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57825" w14:textId="77777777" w:rsidR="00373844" w:rsidRDefault="00373844" w:rsidP="00373844">
      <w:pPr>
        <w:pStyle w:val="Heading3"/>
      </w:pPr>
      <w:bookmarkStart w:id="0" w:name="_Toc64857058"/>
      <w:bookmarkStart w:id="1" w:name="_Toc371244160"/>
      <w:bookmarkStart w:id="2" w:name="_Toc376255016"/>
      <w:r>
        <w:t>Security</w:t>
      </w:r>
      <w:bookmarkEnd w:id="0"/>
      <w:r>
        <w:t xml:space="preserve"> </w:t>
      </w:r>
      <w:bookmarkEnd w:id="1"/>
      <w:bookmarkEnd w:id="2"/>
    </w:p>
    <w:p w14:paraId="5CAEEC92" w14:textId="77777777" w:rsidR="00373844" w:rsidRDefault="00373844" w:rsidP="00373844">
      <w:pPr>
        <w:pStyle w:val="Heading4"/>
      </w:pPr>
      <w:bookmarkStart w:id="3" w:name="_Toc49253917"/>
      <w:r>
        <w:t>Access Control</w:t>
      </w:r>
      <w:bookmarkEnd w:id="3"/>
    </w:p>
    <w:p w14:paraId="3DB681AB" w14:textId="77777777" w:rsidR="00373844" w:rsidRPr="003134D1" w:rsidRDefault="00373844" w:rsidP="00373844">
      <w:pPr>
        <w:pStyle w:val="Heading5"/>
        <w:rPr>
          <w:rStyle w:val="Strong"/>
          <w:b w:val="0"/>
          <w:bCs w:val="0"/>
          <w:smallCaps w:val="0"/>
          <w:color w:val="auto"/>
        </w:rPr>
      </w:pPr>
      <w:bookmarkStart w:id="4" w:name="_Toc49253918"/>
      <w:r w:rsidRPr="003134D1">
        <w:rPr>
          <w:rStyle w:val="Strong"/>
          <w:color w:val="auto"/>
        </w:rPr>
        <w:t>Authentication</w:t>
      </w:r>
      <w:bookmarkEnd w:id="4"/>
    </w:p>
    <w:p w14:paraId="1D9954CA" w14:textId="77777777" w:rsidR="00373844" w:rsidRPr="00BA7C62" w:rsidRDefault="00373844" w:rsidP="00373844">
      <w:pPr>
        <w:pStyle w:val="ListParagraph"/>
        <w:numPr>
          <w:ilvl w:val="0"/>
          <w:numId w:val="2"/>
        </w:numPr>
      </w:pPr>
      <w:r w:rsidRPr="00BA7C62">
        <w:t>Solution must support authentication via [-AD | -ADFS | -Azure AD | -Azure B2B | -OKTA | -Kerberos | -SAML2].</w:t>
      </w:r>
    </w:p>
    <w:p w14:paraId="1E5690CB" w14:textId="77777777" w:rsidR="00373844" w:rsidRPr="00BA7C62" w:rsidRDefault="00373844" w:rsidP="00373844">
      <w:pPr>
        <w:pStyle w:val="ListParagraph"/>
        <w:numPr>
          <w:ilvl w:val="0"/>
          <w:numId w:val="2"/>
        </w:numPr>
      </w:pPr>
      <w:r w:rsidRPr="00BA7C62">
        <w:t>Solution must support single sign on.</w:t>
      </w:r>
    </w:p>
    <w:p w14:paraId="79FD7331" w14:textId="77777777" w:rsidR="00373844" w:rsidRPr="00BA7C62" w:rsidRDefault="00373844" w:rsidP="00373844">
      <w:pPr>
        <w:pStyle w:val="ListParagraph"/>
        <w:numPr>
          <w:ilvl w:val="0"/>
          <w:numId w:val="2"/>
        </w:numPr>
      </w:pPr>
      <w:r w:rsidRPr="00BA7C62">
        <w:t>Solution must support two-factor authentication.</w:t>
      </w:r>
    </w:p>
    <w:p w14:paraId="0B390887" w14:textId="77777777" w:rsidR="00373844" w:rsidRPr="000618D2" w:rsidRDefault="00373844" w:rsidP="00373844">
      <w:pPr>
        <w:pStyle w:val="Heading5"/>
        <w:rPr>
          <w:rStyle w:val="Strong"/>
          <w:b w:val="0"/>
          <w:bCs w:val="0"/>
          <w:smallCaps w:val="0"/>
          <w:color w:val="auto"/>
        </w:rPr>
      </w:pPr>
      <w:bookmarkStart w:id="5" w:name="_Toc49253919"/>
      <w:r w:rsidRPr="000618D2">
        <w:rPr>
          <w:rStyle w:val="Strong"/>
          <w:color w:val="auto"/>
        </w:rPr>
        <w:t>Authorization</w:t>
      </w:r>
      <w:bookmarkEnd w:id="5"/>
    </w:p>
    <w:p w14:paraId="2608E1E9" w14:textId="77777777" w:rsidR="00373844" w:rsidRPr="00BA7C62" w:rsidRDefault="00373844" w:rsidP="00373844">
      <w:pPr>
        <w:pStyle w:val="ListParagraph"/>
        <w:numPr>
          <w:ilvl w:val="0"/>
          <w:numId w:val="3"/>
        </w:numPr>
      </w:pPr>
      <w:r w:rsidRPr="00BA7C62">
        <w:t>Solution must grant access to users based on roles (RBAC).</w:t>
      </w:r>
    </w:p>
    <w:p w14:paraId="3DCF6A55" w14:textId="77777777" w:rsidR="00373844" w:rsidRPr="000618D2" w:rsidRDefault="00373844" w:rsidP="00373844">
      <w:pPr>
        <w:pStyle w:val="Heading5"/>
        <w:rPr>
          <w:rStyle w:val="Strong"/>
          <w:b w:val="0"/>
          <w:bCs w:val="0"/>
          <w:smallCaps w:val="0"/>
          <w:color w:val="auto"/>
        </w:rPr>
      </w:pPr>
      <w:bookmarkStart w:id="6" w:name="_Toc49253920"/>
      <w:r w:rsidRPr="000618D2">
        <w:rPr>
          <w:rStyle w:val="Strong"/>
          <w:color w:val="auto"/>
        </w:rPr>
        <w:t>Data Isolation &amp; Quarantine</w:t>
      </w:r>
      <w:bookmarkEnd w:id="6"/>
    </w:p>
    <w:p w14:paraId="592F0BAE" w14:textId="77777777" w:rsidR="00373844" w:rsidRPr="000A380B" w:rsidRDefault="00373844" w:rsidP="00373844">
      <w:pPr>
        <w:pStyle w:val="ListParagraph"/>
        <w:numPr>
          <w:ilvl w:val="0"/>
          <w:numId w:val="3"/>
        </w:numPr>
      </w:pPr>
      <w:r w:rsidRPr="000A380B">
        <w:t>Sensitive Data must be accessed only by privileged users and through authenticated channels.</w:t>
      </w:r>
    </w:p>
    <w:p w14:paraId="7CDFF304" w14:textId="77777777" w:rsidR="00373844" w:rsidRPr="000A380B" w:rsidRDefault="00373844" w:rsidP="00373844">
      <w:pPr>
        <w:pStyle w:val="ListParagraph"/>
        <w:numPr>
          <w:ilvl w:val="0"/>
          <w:numId w:val="3"/>
        </w:numPr>
      </w:pPr>
      <w:r w:rsidRPr="000A380B">
        <w:t>Solution must support data encryption at rest using [ -HSMs | -database file encryption | -database column encryption | -storage encryption | -disk encryption] without affecting performance.</w:t>
      </w:r>
    </w:p>
    <w:p w14:paraId="367AD45E" w14:textId="77777777" w:rsidR="00373844" w:rsidRPr="000A380B" w:rsidRDefault="00373844" w:rsidP="00373844">
      <w:pPr>
        <w:pStyle w:val="ListParagraph"/>
        <w:numPr>
          <w:ilvl w:val="0"/>
          <w:numId w:val="3"/>
        </w:numPr>
      </w:pPr>
      <w:r w:rsidRPr="000A380B">
        <w:t>Solution must support data tokenization, or any other form of data privacy protection methods.</w:t>
      </w:r>
    </w:p>
    <w:p w14:paraId="2131F3FD" w14:textId="77777777" w:rsidR="00373844" w:rsidRPr="000A380B" w:rsidRDefault="00373844" w:rsidP="00373844">
      <w:pPr>
        <w:pStyle w:val="ListParagraph"/>
        <w:numPr>
          <w:ilvl w:val="0"/>
          <w:numId w:val="3"/>
        </w:numPr>
      </w:pPr>
      <w:r w:rsidRPr="000A380B">
        <w:t>For cloud solutions/services, (tenant) data must be logically or physically isolated/segregated from other customers’ data.</w:t>
      </w:r>
    </w:p>
    <w:p w14:paraId="146A0296" w14:textId="77777777" w:rsidR="00373844" w:rsidRPr="000A380B" w:rsidRDefault="00373844" w:rsidP="00373844">
      <w:pPr>
        <w:pStyle w:val="ListParagraph"/>
        <w:numPr>
          <w:ilvl w:val="0"/>
          <w:numId w:val="3"/>
        </w:numPr>
        <w:rPr>
          <w:color w:val="7F7F7F" w:themeColor="text1" w:themeTint="80"/>
        </w:rPr>
      </w:pPr>
      <w:r w:rsidRPr="000A380B">
        <w:t>Solution should support Microsoft CASB through APIs or CAAC for file labeling and/or protection.</w:t>
      </w:r>
      <w:r w:rsidRPr="000A380B">
        <w:rPr>
          <w:color w:val="7F7F7F" w:themeColor="text1" w:themeTint="80"/>
        </w:rPr>
        <w:tab/>
      </w:r>
    </w:p>
    <w:p w14:paraId="41F1E785" w14:textId="77777777" w:rsidR="00373844" w:rsidRPr="000618D2" w:rsidRDefault="00373844" w:rsidP="00373844">
      <w:pPr>
        <w:pStyle w:val="Heading4"/>
      </w:pPr>
      <w:bookmarkStart w:id="7" w:name="_Toc49253921"/>
      <w:r w:rsidRPr="000618D2">
        <w:t>Integrity</w:t>
      </w:r>
      <w:bookmarkEnd w:id="7"/>
    </w:p>
    <w:p w14:paraId="784BA78A" w14:textId="77777777" w:rsidR="00373844" w:rsidRPr="000618D2" w:rsidRDefault="00373844" w:rsidP="00373844">
      <w:pPr>
        <w:pStyle w:val="Heading5"/>
        <w:rPr>
          <w:rStyle w:val="Strong"/>
          <w:b w:val="0"/>
          <w:bCs w:val="0"/>
          <w:smallCaps w:val="0"/>
          <w:color w:val="auto"/>
        </w:rPr>
      </w:pPr>
      <w:bookmarkStart w:id="8" w:name="_Toc49253922"/>
      <w:r w:rsidRPr="000618D2">
        <w:rPr>
          <w:rStyle w:val="Strong"/>
          <w:color w:val="auto"/>
        </w:rPr>
        <w:t>System &amp; Communication Security</w:t>
      </w:r>
      <w:bookmarkEnd w:id="8"/>
    </w:p>
    <w:p w14:paraId="09674B41" w14:textId="77777777" w:rsidR="00373844" w:rsidRPr="00F16C9E" w:rsidRDefault="00373844" w:rsidP="00373844">
      <w:pPr>
        <w:pStyle w:val="ListParagraph"/>
        <w:numPr>
          <w:ilvl w:val="0"/>
          <w:numId w:val="4"/>
        </w:numPr>
      </w:pPr>
      <w:r w:rsidRPr="00F16C9E">
        <w:t>Database connectivity credentials, passwords, keys, or any other restricted information/data must not be stored in plain text.</w:t>
      </w:r>
    </w:p>
    <w:p w14:paraId="5ABEA24D" w14:textId="77777777" w:rsidR="00373844" w:rsidRPr="00F16C9E" w:rsidRDefault="00373844" w:rsidP="00373844">
      <w:pPr>
        <w:pStyle w:val="ListParagraph"/>
        <w:numPr>
          <w:ilvl w:val="0"/>
          <w:numId w:val="4"/>
        </w:numPr>
      </w:pPr>
      <w:r w:rsidRPr="00F16C9E">
        <w:t>Solution must support strong algorithms and key sizes (such as AES 256) for symmetric encryption use cases (if applicable).</w:t>
      </w:r>
    </w:p>
    <w:p w14:paraId="5E654BD2" w14:textId="77777777" w:rsidR="00373844" w:rsidRPr="00F16C9E" w:rsidRDefault="00373844" w:rsidP="00373844">
      <w:pPr>
        <w:pStyle w:val="ListParagraph"/>
        <w:numPr>
          <w:ilvl w:val="0"/>
          <w:numId w:val="4"/>
        </w:numPr>
      </w:pPr>
      <w:r w:rsidRPr="00F16C9E">
        <w:t>Data must be accessible only through service layers. Direct data access should not be allowed e.g. DB links.</w:t>
      </w:r>
    </w:p>
    <w:p w14:paraId="6F1AAE0C" w14:textId="77777777" w:rsidR="00373844" w:rsidRPr="00F16C9E" w:rsidRDefault="00373844" w:rsidP="00373844">
      <w:pPr>
        <w:pStyle w:val="ListParagraph"/>
        <w:numPr>
          <w:ilvl w:val="0"/>
          <w:numId w:val="4"/>
        </w:numPr>
      </w:pPr>
      <w:r w:rsidRPr="00F16C9E">
        <w:t>Solution must support encryption in transit using TLS 1.2.</w:t>
      </w:r>
    </w:p>
    <w:p w14:paraId="6D93FEBD" w14:textId="77777777" w:rsidR="00373844" w:rsidRPr="00F16C9E" w:rsidRDefault="00373844" w:rsidP="00373844">
      <w:pPr>
        <w:pStyle w:val="ListParagraph"/>
        <w:numPr>
          <w:ilvl w:val="0"/>
          <w:numId w:val="4"/>
        </w:numPr>
      </w:pPr>
      <w:r w:rsidRPr="00F16C9E">
        <w:t>Cloud-based solutions/services must be protected against general and web attacks via [ -Intrusion Prevention System | -WAF | -DDOS protection] and must provide -application security logging and monitoring.</w:t>
      </w:r>
    </w:p>
    <w:p w14:paraId="61A08694" w14:textId="77777777" w:rsidR="00373844" w:rsidRPr="00F16C9E" w:rsidRDefault="00373844" w:rsidP="00373844">
      <w:pPr>
        <w:pStyle w:val="ListParagraph"/>
        <w:numPr>
          <w:ilvl w:val="0"/>
          <w:numId w:val="4"/>
        </w:numPr>
      </w:pPr>
      <w:r w:rsidRPr="00F16C9E">
        <w:t>All systems and components must be configured and developed securely (hardened / locked down).</w:t>
      </w:r>
    </w:p>
    <w:p w14:paraId="6657C796" w14:textId="77777777" w:rsidR="00373844" w:rsidRPr="000618D2" w:rsidRDefault="00373844" w:rsidP="00373844">
      <w:pPr>
        <w:pStyle w:val="Heading4"/>
      </w:pPr>
      <w:bookmarkStart w:id="9" w:name="_Toc49253923"/>
      <w:r w:rsidRPr="000618D2">
        <w:t>Audit &amp; Accountability</w:t>
      </w:r>
      <w:bookmarkEnd w:id="9"/>
    </w:p>
    <w:p w14:paraId="5090ADF1" w14:textId="77777777" w:rsidR="00373844" w:rsidRPr="000618D2" w:rsidRDefault="00373844" w:rsidP="00373844">
      <w:pPr>
        <w:pStyle w:val="Heading5"/>
        <w:rPr>
          <w:rStyle w:val="Strong"/>
          <w:b w:val="0"/>
          <w:bCs w:val="0"/>
          <w:smallCaps w:val="0"/>
          <w:color w:val="auto"/>
        </w:rPr>
      </w:pPr>
      <w:bookmarkStart w:id="10" w:name="_Toc49253924"/>
      <w:r w:rsidRPr="000618D2">
        <w:rPr>
          <w:rStyle w:val="Strong"/>
          <w:color w:val="auto"/>
        </w:rPr>
        <w:t>Audit Trail</w:t>
      </w:r>
      <w:bookmarkEnd w:id="10"/>
    </w:p>
    <w:p w14:paraId="596DD855" w14:textId="77777777" w:rsidR="00373844" w:rsidRPr="005706D1" w:rsidRDefault="00373844" w:rsidP="00373844">
      <w:pPr>
        <w:pStyle w:val="ListParagraph"/>
        <w:numPr>
          <w:ilvl w:val="0"/>
          <w:numId w:val="5"/>
        </w:numPr>
      </w:pPr>
      <w:r w:rsidRPr="005706D1">
        <w:t>Audit trails exist for user management and administrator activities.</w:t>
      </w:r>
    </w:p>
    <w:p w14:paraId="6611104A" w14:textId="77777777" w:rsidR="00373844" w:rsidRPr="005706D1" w:rsidRDefault="00373844" w:rsidP="00373844">
      <w:pPr>
        <w:pStyle w:val="ListParagraph"/>
        <w:numPr>
          <w:ilvl w:val="0"/>
          <w:numId w:val="5"/>
        </w:numPr>
      </w:pPr>
      <w:r w:rsidRPr="005706D1">
        <w:t>Audit trails exist for all business transactions performed in the system. User Information &amp; timestamp is a must.</w:t>
      </w:r>
    </w:p>
    <w:p w14:paraId="37AAD7CD" w14:textId="77777777" w:rsidR="00373844" w:rsidRPr="005706D1" w:rsidRDefault="00373844" w:rsidP="00373844">
      <w:pPr>
        <w:pStyle w:val="ListParagraph"/>
        <w:numPr>
          <w:ilvl w:val="0"/>
          <w:numId w:val="5"/>
        </w:numPr>
      </w:pPr>
      <w:r w:rsidRPr="005706D1">
        <w:t>Auditing must be enabled for all transactions. In additional to the audit context data, following information is required with each audit &lt;&lt; created by&gt;&gt; &lt;&lt;last modified by&gt;&gt; &lt;&lt;created date &amp; time&gt;&gt; &lt;&lt;last modified date &amp; time&gt;&gt;.</w:t>
      </w:r>
    </w:p>
    <w:p w14:paraId="3025A30C" w14:textId="77777777" w:rsidR="00373844" w:rsidRPr="005706D1" w:rsidRDefault="00373844" w:rsidP="00373844">
      <w:pPr>
        <w:pStyle w:val="ListParagraph"/>
        <w:numPr>
          <w:ilvl w:val="0"/>
          <w:numId w:val="5"/>
        </w:numPr>
      </w:pPr>
      <w:r w:rsidRPr="005706D1">
        <w:t>Original values as well as new values must be captured in audit logs in key transactions (if applicable).</w:t>
      </w:r>
    </w:p>
    <w:p w14:paraId="2EECD974" w14:textId="77777777" w:rsidR="00373844" w:rsidRPr="005706D1" w:rsidRDefault="00373844" w:rsidP="00373844">
      <w:pPr>
        <w:pStyle w:val="ListParagraph"/>
        <w:numPr>
          <w:ilvl w:val="0"/>
          <w:numId w:val="5"/>
        </w:numPr>
      </w:pPr>
      <w:r w:rsidRPr="005706D1">
        <w:t>Personal, credentials and other confidential information must not be saved in log files.</w:t>
      </w:r>
    </w:p>
    <w:p w14:paraId="4F5F05AA" w14:textId="77777777" w:rsidR="00373844" w:rsidRPr="005706D1" w:rsidRDefault="00373844" w:rsidP="00373844">
      <w:pPr>
        <w:pStyle w:val="ListParagraph"/>
        <w:numPr>
          <w:ilvl w:val="0"/>
          <w:numId w:val="5"/>
        </w:numPr>
      </w:pPr>
      <w:r w:rsidRPr="005706D1">
        <w:lastRenderedPageBreak/>
        <w:t>Access of sensitive information must be tracked through Audit logs.</w:t>
      </w:r>
    </w:p>
    <w:p w14:paraId="0B693263" w14:textId="77777777" w:rsidR="00373844" w:rsidRPr="000618D2" w:rsidRDefault="00373844" w:rsidP="00373844">
      <w:pPr>
        <w:pStyle w:val="Heading5"/>
        <w:rPr>
          <w:rStyle w:val="Strong"/>
          <w:b w:val="0"/>
          <w:bCs w:val="0"/>
          <w:smallCaps w:val="0"/>
          <w:color w:val="auto"/>
        </w:rPr>
      </w:pPr>
      <w:bookmarkStart w:id="11" w:name="_Toc49253925"/>
      <w:r w:rsidRPr="000618D2">
        <w:rPr>
          <w:rStyle w:val="Strong"/>
          <w:color w:val="auto"/>
        </w:rPr>
        <w:t>System/Transaction Logs</w:t>
      </w:r>
      <w:bookmarkEnd w:id="11"/>
    </w:p>
    <w:p w14:paraId="5DBEBB75" w14:textId="77777777" w:rsidR="00373844" w:rsidRPr="00AA6565" w:rsidRDefault="00373844" w:rsidP="00373844">
      <w:pPr>
        <w:pStyle w:val="ListParagraph"/>
        <w:numPr>
          <w:ilvl w:val="0"/>
          <w:numId w:val="6"/>
        </w:numPr>
      </w:pPr>
      <w:r w:rsidRPr="00AA6565">
        <w:t>Number of Users logging attempts (successful &amp; failure) must be logged</w:t>
      </w:r>
    </w:p>
    <w:p w14:paraId="792A59E2" w14:textId="77777777" w:rsidR="00373844" w:rsidRPr="00AA6565" w:rsidRDefault="00373844" w:rsidP="00373844">
      <w:pPr>
        <w:pStyle w:val="ListParagraph"/>
        <w:numPr>
          <w:ilvl w:val="0"/>
          <w:numId w:val="6"/>
        </w:numPr>
      </w:pPr>
      <w:r w:rsidRPr="00AA6565">
        <w:t>Transaction timestamps must be logged and enable tracing the supplier latency &amp; processing time.</w:t>
      </w:r>
    </w:p>
    <w:p w14:paraId="68C71FE5" w14:textId="77777777" w:rsidR="00373844" w:rsidRPr="00AA6565" w:rsidRDefault="00373844" w:rsidP="00373844">
      <w:pPr>
        <w:pStyle w:val="ListParagraph"/>
        <w:numPr>
          <w:ilvl w:val="0"/>
          <w:numId w:val="6"/>
        </w:numPr>
      </w:pPr>
      <w:r w:rsidRPr="00AA6565">
        <w:t>Interface related transactions and exceptions must be logged in transaction logs with transaction details.</w:t>
      </w:r>
    </w:p>
    <w:p w14:paraId="3A1F8A81" w14:textId="77777777" w:rsidR="00373844" w:rsidRPr="00BD4D31" w:rsidRDefault="00373844" w:rsidP="00373844">
      <w:pPr>
        <w:pStyle w:val="Heading4"/>
        <w:rPr>
          <w:rStyle w:val="Strong"/>
          <w:b/>
          <w:bCs/>
          <w:smallCaps/>
          <w:color w:val="auto"/>
        </w:rPr>
      </w:pPr>
      <w:bookmarkStart w:id="12" w:name="_Toc49253926"/>
      <w:r w:rsidRPr="00BD4D31">
        <w:rPr>
          <w:rStyle w:val="Strong"/>
          <w:color w:val="auto"/>
        </w:rPr>
        <w:t>SOC Integration</w:t>
      </w:r>
      <w:bookmarkEnd w:id="12"/>
    </w:p>
    <w:p w14:paraId="6711496F" w14:textId="77777777" w:rsidR="00373844" w:rsidRPr="00551955" w:rsidRDefault="00373844" w:rsidP="00373844">
      <w:pPr>
        <w:pStyle w:val="ListParagraph"/>
        <w:numPr>
          <w:ilvl w:val="0"/>
          <w:numId w:val="7"/>
        </w:numPr>
      </w:pPr>
      <w:r w:rsidRPr="00551955">
        <w:t xml:space="preserve">Solution </w:t>
      </w:r>
      <w:r>
        <w:t>should</w:t>
      </w:r>
      <w:r w:rsidRPr="00551955">
        <w:t xml:space="preserve"> be integrated with </w:t>
      </w:r>
      <w:proofErr w:type="spellStart"/>
      <w:r w:rsidRPr="00551955">
        <w:t>AlFuttaim</w:t>
      </w:r>
      <w:proofErr w:type="spellEnd"/>
      <w:r w:rsidRPr="00551955">
        <w:t xml:space="preserve"> Security Operations Centers and integration Log entries must contain:</w:t>
      </w:r>
    </w:p>
    <w:p w14:paraId="1D3B079C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The name of the Application/system (on which the change was done) and its IP address.</w:t>
      </w:r>
    </w:p>
    <w:p w14:paraId="7C9FAECE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The date and time of the log entry</w:t>
      </w:r>
    </w:p>
    <w:p w14:paraId="15020B73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The date and time of the event.</w:t>
      </w:r>
    </w:p>
    <w:p w14:paraId="0A7E02F0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The true client IP address of the client system which triggered the event.</w:t>
      </w:r>
    </w:p>
    <w:p w14:paraId="1F436198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User ID that triggered the event.</w:t>
      </w:r>
    </w:p>
    <w:p w14:paraId="7703C4BB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Successful and failed changes done to the Application/system.</w:t>
      </w:r>
    </w:p>
    <w:p w14:paraId="669F22D5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Success and failure login attempts.</w:t>
      </w:r>
    </w:p>
    <w:p w14:paraId="02082A9C" w14:textId="77777777" w:rsidR="00373844" w:rsidRPr="00551955" w:rsidRDefault="00373844" w:rsidP="00373844">
      <w:pPr>
        <w:pStyle w:val="ListParagraph"/>
        <w:numPr>
          <w:ilvl w:val="1"/>
          <w:numId w:val="7"/>
        </w:numPr>
      </w:pPr>
      <w:r w:rsidRPr="00551955">
        <w:t>Values before and after the change (if applicable).</w:t>
      </w:r>
    </w:p>
    <w:p w14:paraId="0E57655D" w14:textId="77777777" w:rsidR="00373844" w:rsidRPr="00BD4D31" w:rsidRDefault="00373844" w:rsidP="00373844">
      <w:pPr>
        <w:pStyle w:val="Heading4"/>
        <w:rPr>
          <w:rStyle w:val="Strong"/>
          <w:b/>
          <w:bCs/>
          <w:smallCaps/>
          <w:color w:val="auto"/>
        </w:rPr>
      </w:pPr>
      <w:bookmarkStart w:id="13" w:name="_Toc49253927"/>
      <w:r w:rsidRPr="00BD4D31">
        <w:rPr>
          <w:rStyle w:val="Strong"/>
          <w:color w:val="auto"/>
        </w:rPr>
        <w:t>Security Assurance</w:t>
      </w:r>
      <w:bookmarkEnd w:id="13"/>
    </w:p>
    <w:p w14:paraId="49D8473A" w14:textId="77777777" w:rsidR="00373844" w:rsidRPr="003C1435" w:rsidRDefault="00373844" w:rsidP="00373844">
      <w:pPr>
        <w:pStyle w:val="ListParagraph"/>
        <w:numPr>
          <w:ilvl w:val="0"/>
          <w:numId w:val="7"/>
        </w:numPr>
      </w:pPr>
      <w:r w:rsidRPr="003C1435">
        <w:t xml:space="preserve">All vulnerability assessment and/or penetration test findings reported and/or conducted by </w:t>
      </w:r>
      <w:proofErr w:type="spellStart"/>
      <w:r w:rsidRPr="003C1435">
        <w:t>AlFuttaim</w:t>
      </w:r>
      <w:proofErr w:type="spellEnd"/>
      <w:r w:rsidRPr="003C1435">
        <w:t>, any 3rd party, or independent entities must be mitigated.</w:t>
      </w:r>
    </w:p>
    <w:p w14:paraId="09314D85" w14:textId="77777777" w:rsidR="00373844" w:rsidRPr="003C1435" w:rsidRDefault="00373844" w:rsidP="00373844">
      <w:pPr>
        <w:pStyle w:val="ListParagraph"/>
        <w:numPr>
          <w:ilvl w:val="0"/>
          <w:numId w:val="7"/>
        </w:numPr>
      </w:pPr>
      <w:bookmarkStart w:id="14" w:name="_GoBack"/>
      <w:r w:rsidRPr="003C1435">
        <w:t>Cloud providers must undergo a 3rd party risk assessment and must provide a response to a cloud security questionnaire</w:t>
      </w:r>
      <w:bookmarkEnd w:id="14"/>
      <w:r w:rsidRPr="003C1435">
        <w:t>.</w:t>
      </w:r>
    </w:p>
    <w:p w14:paraId="4377ABCD" w14:textId="77777777" w:rsidR="00373844" w:rsidRPr="003C1435" w:rsidRDefault="00373844" w:rsidP="00373844">
      <w:pPr>
        <w:pStyle w:val="ListParagraph"/>
        <w:numPr>
          <w:ilvl w:val="0"/>
          <w:numId w:val="7"/>
        </w:numPr>
      </w:pPr>
      <w:r w:rsidRPr="003C1435">
        <w:t xml:space="preserve">All security testing use cases and requirements must be successfully met </w:t>
      </w:r>
    </w:p>
    <w:p w14:paraId="6106B20F" w14:textId="77777777" w:rsidR="00373844" w:rsidRPr="000618D2" w:rsidRDefault="00373844" w:rsidP="00373844">
      <w:pPr>
        <w:pStyle w:val="Heading4"/>
      </w:pPr>
      <w:bookmarkStart w:id="15" w:name="_Toc49253928"/>
      <w:r w:rsidRPr="000618D2">
        <w:t>Interfaces</w:t>
      </w:r>
      <w:bookmarkEnd w:id="15"/>
    </w:p>
    <w:p w14:paraId="58E9DA71" w14:textId="77777777" w:rsidR="00373844" w:rsidRPr="003C1435" w:rsidRDefault="00373844" w:rsidP="00373844">
      <w:pPr>
        <w:pStyle w:val="ListParagraph"/>
        <w:numPr>
          <w:ilvl w:val="0"/>
          <w:numId w:val="8"/>
        </w:numPr>
      </w:pPr>
      <w:bookmarkStart w:id="16" w:name="_Toc49253929"/>
      <w:r w:rsidRPr="003C1435">
        <w:t>Secure APIs</w:t>
      </w:r>
      <w:bookmarkEnd w:id="16"/>
    </w:p>
    <w:p w14:paraId="1E6DF798" w14:textId="77777777" w:rsidR="00373844" w:rsidRPr="003C1435" w:rsidRDefault="00373844" w:rsidP="00373844">
      <w:pPr>
        <w:pStyle w:val="ListParagraph"/>
        <w:numPr>
          <w:ilvl w:val="0"/>
          <w:numId w:val="8"/>
        </w:numPr>
      </w:pPr>
      <w:r w:rsidRPr="003C1435">
        <w:t>Solution APIs must support:</w:t>
      </w:r>
    </w:p>
    <w:p w14:paraId="7BC05430" w14:textId="77777777" w:rsidR="00373844" w:rsidRPr="003C1435" w:rsidRDefault="00373844" w:rsidP="00373844">
      <w:pPr>
        <w:pStyle w:val="ListParagraph"/>
        <w:numPr>
          <w:ilvl w:val="1"/>
          <w:numId w:val="8"/>
        </w:numPr>
      </w:pPr>
      <w:r w:rsidRPr="003C1435">
        <w:t xml:space="preserve">Certificates or secure token-based authentication </w:t>
      </w:r>
    </w:p>
    <w:p w14:paraId="1C6AAAB4" w14:textId="77777777" w:rsidR="00373844" w:rsidRPr="003C1435" w:rsidRDefault="00373844" w:rsidP="00373844">
      <w:pPr>
        <w:pStyle w:val="ListParagraph"/>
        <w:numPr>
          <w:ilvl w:val="1"/>
          <w:numId w:val="8"/>
        </w:numPr>
      </w:pPr>
      <w:r w:rsidRPr="003C1435">
        <w:t>oAuth2 for authorization</w:t>
      </w:r>
    </w:p>
    <w:p w14:paraId="43237935" w14:textId="77777777" w:rsidR="00373844" w:rsidRPr="003C1435" w:rsidRDefault="00373844" w:rsidP="00373844">
      <w:pPr>
        <w:pStyle w:val="ListParagraph"/>
        <w:numPr>
          <w:ilvl w:val="1"/>
          <w:numId w:val="8"/>
        </w:numPr>
      </w:pPr>
      <w:r w:rsidRPr="003C1435">
        <w:t>IP whitelisting to allow connection only from known source</w:t>
      </w:r>
    </w:p>
    <w:p w14:paraId="42EDBA79" w14:textId="77777777" w:rsidR="00373844" w:rsidRPr="003C1435" w:rsidRDefault="00373844" w:rsidP="00373844">
      <w:pPr>
        <w:pStyle w:val="ListParagraph"/>
        <w:numPr>
          <w:ilvl w:val="1"/>
          <w:numId w:val="8"/>
        </w:numPr>
      </w:pPr>
      <w:r w:rsidRPr="003C1435">
        <w:t xml:space="preserve">API calls must not have direct connectivity to/from </w:t>
      </w:r>
      <w:proofErr w:type="spellStart"/>
      <w:r w:rsidRPr="003C1435">
        <w:t>AlFuttaim</w:t>
      </w:r>
      <w:proofErr w:type="spellEnd"/>
      <w:r w:rsidRPr="003C1435">
        <w:t xml:space="preserve"> network and must be inspected for intrusions, contracts validity, rate limiting, etc.</w:t>
      </w:r>
    </w:p>
    <w:p w14:paraId="35179417" w14:textId="77777777" w:rsidR="00373844" w:rsidRDefault="00373844" w:rsidP="00373844">
      <w:pPr>
        <w:pStyle w:val="Heading4"/>
      </w:pPr>
      <w:bookmarkStart w:id="17" w:name="_Toc49253930"/>
      <w:r>
        <w:t>Compliance</w:t>
      </w:r>
      <w:bookmarkEnd w:id="17"/>
    </w:p>
    <w:p w14:paraId="649911EA" w14:textId="77777777" w:rsidR="00373844" w:rsidRPr="00752618" w:rsidRDefault="00373844" w:rsidP="00373844">
      <w:pPr>
        <w:pStyle w:val="ListParagraph"/>
        <w:numPr>
          <w:ilvl w:val="0"/>
          <w:numId w:val="9"/>
        </w:numPr>
      </w:pPr>
      <w:r w:rsidRPr="00752618">
        <w:t>All assets (including technology, processes &amp; people) within scope shall adhere to applicable industry, national &amp; international laws and regulations such as GDPR, PCI-DSS, SWIFT, etc.</w:t>
      </w:r>
    </w:p>
    <w:p w14:paraId="70FB8533" w14:textId="77777777" w:rsidR="002A40F2" w:rsidRDefault="002A40F2"/>
    <w:sectPr w:rsidR="002A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5DF"/>
    <w:multiLevelType w:val="hybridMultilevel"/>
    <w:tmpl w:val="2878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A457F"/>
    <w:multiLevelType w:val="hybridMultilevel"/>
    <w:tmpl w:val="B4BC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70A17"/>
    <w:multiLevelType w:val="hybridMultilevel"/>
    <w:tmpl w:val="7A6E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012"/>
    <w:multiLevelType w:val="hybridMultilevel"/>
    <w:tmpl w:val="4108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77CE0"/>
    <w:multiLevelType w:val="multilevel"/>
    <w:tmpl w:val="5F4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207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86B71B7"/>
    <w:multiLevelType w:val="hybridMultilevel"/>
    <w:tmpl w:val="8FA4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66662"/>
    <w:multiLevelType w:val="hybridMultilevel"/>
    <w:tmpl w:val="BD64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721CD"/>
    <w:multiLevelType w:val="hybridMultilevel"/>
    <w:tmpl w:val="F57A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F053F"/>
    <w:multiLevelType w:val="hybridMultilevel"/>
    <w:tmpl w:val="C6BE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4"/>
    <w:rsid w:val="001F0902"/>
    <w:rsid w:val="002A40F2"/>
    <w:rsid w:val="00373844"/>
    <w:rsid w:val="00552C0C"/>
    <w:rsid w:val="00B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E27"/>
  <w15:chartTrackingRefBased/>
  <w15:docId w15:val="{55E013FB-1F72-487B-BC27-1C6155E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44"/>
    <w:pPr>
      <w:keepNext/>
      <w:keepLines/>
      <w:numPr>
        <w:numId w:val="1"/>
      </w:numPr>
      <w:spacing w:before="240" w:after="40" w:line="276" w:lineRule="auto"/>
      <w:jc w:val="both"/>
      <w:outlineLvl w:val="0"/>
    </w:pPr>
    <w:rPr>
      <w:rFonts w:ascii="Tahoma" w:eastAsiaTheme="majorEastAsia" w:hAnsi="Tahoma" w:cs="Tahoma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3844"/>
    <w:pPr>
      <w:keepNext/>
      <w:keepLines/>
      <w:numPr>
        <w:ilvl w:val="1"/>
        <w:numId w:val="1"/>
      </w:numPr>
      <w:spacing w:before="240" w:after="40" w:line="276" w:lineRule="auto"/>
      <w:jc w:val="both"/>
      <w:outlineLvl w:val="1"/>
    </w:pPr>
    <w:rPr>
      <w:rFonts w:ascii="Tahoma" w:eastAsiaTheme="majorEastAsia" w:hAnsi="Tahoma" w:cs="Tahoma"/>
      <w:b/>
      <w:bCs/>
      <w:smallCap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3844"/>
    <w:pPr>
      <w:keepNext/>
      <w:keepLines/>
      <w:numPr>
        <w:ilvl w:val="2"/>
        <w:numId w:val="1"/>
      </w:numPr>
      <w:spacing w:before="240" w:after="40" w:line="276" w:lineRule="auto"/>
      <w:ind w:left="806" w:hanging="806"/>
      <w:jc w:val="both"/>
      <w:outlineLvl w:val="2"/>
    </w:pPr>
    <w:rPr>
      <w:rFonts w:ascii="Tahoma" w:eastAsiaTheme="majorEastAsia" w:hAnsi="Tahoma" w:cs="Tahoma"/>
      <w:b/>
      <w:bCs/>
      <w:smallCap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73844"/>
    <w:pPr>
      <w:keepNext/>
      <w:keepLines/>
      <w:numPr>
        <w:ilvl w:val="3"/>
        <w:numId w:val="1"/>
      </w:numPr>
      <w:spacing w:before="80" w:after="40" w:line="276" w:lineRule="auto"/>
      <w:jc w:val="both"/>
      <w:outlineLvl w:val="3"/>
    </w:pPr>
    <w:rPr>
      <w:rFonts w:ascii="Tahoma" w:eastAsiaTheme="majorEastAsia" w:hAnsi="Tahoma" w:cs="Tahoma"/>
      <w:b/>
      <w:bCs/>
      <w:iCs/>
      <w:small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3844"/>
    <w:pPr>
      <w:keepNext/>
      <w:keepLines/>
      <w:numPr>
        <w:ilvl w:val="4"/>
        <w:numId w:val="1"/>
      </w:numPr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3844"/>
    <w:pPr>
      <w:keepNext/>
      <w:keepLines/>
      <w:numPr>
        <w:ilvl w:val="5"/>
        <w:numId w:val="1"/>
      </w:numPr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44"/>
    <w:pPr>
      <w:keepNext/>
      <w:keepLines/>
      <w:numPr>
        <w:ilvl w:val="6"/>
        <w:numId w:val="1"/>
      </w:numPr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44"/>
    <w:pPr>
      <w:keepNext/>
      <w:keepLines/>
      <w:numPr>
        <w:ilvl w:val="7"/>
        <w:numId w:val="1"/>
      </w:numPr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44"/>
    <w:pPr>
      <w:keepNext/>
      <w:keepLines/>
      <w:numPr>
        <w:ilvl w:val="8"/>
        <w:numId w:val="1"/>
      </w:numPr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44"/>
    <w:rPr>
      <w:rFonts w:ascii="Tahoma" w:eastAsiaTheme="majorEastAsia" w:hAnsi="Tahoma" w:cs="Tahoma"/>
      <w:b/>
      <w:bCs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844"/>
    <w:rPr>
      <w:rFonts w:ascii="Tahoma" w:eastAsiaTheme="majorEastAsia" w:hAnsi="Tahoma" w:cs="Tahoma"/>
      <w:b/>
      <w:bCs/>
      <w:small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3844"/>
    <w:rPr>
      <w:rFonts w:ascii="Tahoma" w:eastAsiaTheme="majorEastAsia" w:hAnsi="Tahoma" w:cs="Tahoma"/>
      <w:b/>
      <w:bCs/>
      <w:small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3844"/>
    <w:rPr>
      <w:rFonts w:ascii="Tahoma" w:eastAsiaTheme="majorEastAsia" w:hAnsi="Tahoma" w:cs="Tahoma"/>
      <w:b/>
      <w:bCs/>
      <w:iCs/>
      <w:small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73844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7384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73844"/>
    <w:pPr>
      <w:spacing w:before="40" w:after="80" w:line="276" w:lineRule="auto"/>
      <w:ind w:left="720"/>
      <w:contextualSpacing/>
      <w:jc w:val="both"/>
    </w:pPr>
    <w:rPr>
      <w:rFonts w:ascii="Calibri" w:hAnsi="Calibri" w:cstheme="minorHAns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73844"/>
    <w:rPr>
      <w:rFonts w:ascii="Calibri" w:hAnsi="Calibr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373844"/>
    <w:rPr>
      <w:rFonts w:ascii="Tahoma" w:hAnsi="Tahoma" w:cs="Tahoma"/>
      <w:b/>
      <w:bCs/>
      <w:smallCaps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E0957A2F2E447A7A10D6F5594F038" ma:contentTypeVersion="11" ma:contentTypeDescription="Create a new document." ma:contentTypeScope="" ma:versionID="9c6807f8fef4046b055825a4cc001eb7">
  <xsd:schema xmlns:xsd="http://www.w3.org/2001/XMLSchema" xmlns:xs="http://www.w3.org/2001/XMLSchema" xmlns:p="http://schemas.microsoft.com/office/2006/metadata/properties" xmlns:ns3="e562fdc7-4731-414e-bd33-c672a2ba8484" xmlns:ns4="dc8bf2a1-dd93-453a-96d7-ea68a43a8f90" targetNamespace="http://schemas.microsoft.com/office/2006/metadata/properties" ma:root="true" ma:fieldsID="06fa25b4a4e13b03e4ef4e3fd0f5190e" ns3:_="" ns4:_="">
    <xsd:import namespace="e562fdc7-4731-414e-bd33-c672a2ba8484"/>
    <xsd:import namespace="dc8bf2a1-dd93-453a-96d7-ea68a43a8f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fdc7-4731-414e-bd33-c672a2ba8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bf2a1-dd93-453a-96d7-ea68a43a8f9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BC7C1-1C05-461D-B4C1-9D5472A2B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2fdc7-4731-414e-bd33-c672a2ba8484"/>
    <ds:schemaRef ds:uri="dc8bf2a1-dd93-453a-96d7-ea68a43a8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C46AB-4A46-4735-82A4-0ADD9670D7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9010F-6AA5-43C1-8E4B-B783CD55198A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dc8bf2a1-dd93-453a-96d7-ea68a43a8f90"/>
    <ds:schemaRef ds:uri="http://purl.org/dc/elements/1.1/"/>
    <ds:schemaRef ds:uri="e562fdc7-4731-414e-bd33-c672a2ba848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Balagopal Kaimal-Business Partner</dc:creator>
  <cp:keywords/>
  <dc:description/>
  <cp:lastModifiedBy>Balagopal Kaimal-Business Partner</cp:lastModifiedBy>
  <cp:revision>4</cp:revision>
  <dcterms:created xsi:type="dcterms:W3CDTF">2021-03-10T10:05:00Z</dcterms:created>
  <dcterms:modified xsi:type="dcterms:W3CDTF">2021-03-10T10:16:00Z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0x010100461E0957A2F2E447A7A10D6F5594F038</vt:lpwstr>
  </property>
</Properties>
</file>