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bookmarkStart w:colFirst="0" w:colLast="0" w:name="_3i9ut2pdk4t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/>
      </w:pPr>
      <w:bookmarkStart w:colFirst="0" w:colLast="0" w:name="_wpmwglrmup1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jc w:val="center"/>
        <w:rPr/>
      </w:pPr>
      <w:bookmarkStart w:colFirst="0" w:colLast="0" w:name="_km8sp347lh1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jc w:val="center"/>
        <w:rPr/>
      </w:pPr>
      <w:bookmarkStart w:colFirst="0" w:colLast="0" w:name="_emh38f5zxhg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bookmarkStart w:colFirst="0" w:colLast="0" w:name="_12isdxmu8ou" w:id="4"/>
      <w:bookmarkEnd w:id="4"/>
      <w:r w:rsidDel="00000000" w:rsidR="00000000" w:rsidRPr="00000000">
        <w:rPr>
          <w:rtl w:val="0"/>
        </w:rPr>
        <w:t xml:space="preserve">Nuevo enfoque de aprendizaje semi-supervisado para la identificación de secuencias en bioinformática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omcr1xf37uf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contextualSpacing w:val="0"/>
        <w:jc w:val="center"/>
        <w:rPr/>
      </w:pPr>
      <w:bookmarkStart w:colFirst="0" w:colLast="0" w:name="_isojl2vzx1p7" w:id="6"/>
      <w:bookmarkEnd w:id="6"/>
      <w:r w:rsidDel="00000000" w:rsidR="00000000" w:rsidRPr="00000000">
        <w:rPr>
          <w:rtl w:val="0"/>
        </w:rPr>
        <w:t xml:space="preserve">Doctorando: Ing. Cristian Yones</w:t>
      </w:r>
    </w:p>
    <w:p w:rsidR="00000000" w:rsidDel="00000000" w:rsidP="00000000" w:rsidRDefault="00000000" w:rsidRPr="00000000" w14:paraId="00000007">
      <w:pPr>
        <w:pStyle w:val="Subtitle"/>
        <w:contextualSpacing w:val="0"/>
        <w:jc w:val="center"/>
        <w:rPr/>
      </w:pPr>
      <w:bookmarkStart w:colFirst="0" w:colLast="0" w:name="_isojl2vzx1p7" w:id="6"/>
      <w:bookmarkEnd w:id="6"/>
      <w:r w:rsidDel="00000000" w:rsidR="00000000" w:rsidRPr="00000000">
        <w:rPr>
          <w:rtl w:val="0"/>
        </w:rPr>
        <w:t xml:space="preserve">Director: Dr. Diego H. Milone</w:t>
      </w:r>
    </w:p>
    <w:p w:rsidR="00000000" w:rsidDel="00000000" w:rsidP="00000000" w:rsidRDefault="00000000" w:rsidRPr="00000000" w14:paraId="00000008">
      <w:pPr>
        <w:pStyle w:val="Subtitle"/>
        <w:contextualSpacing w:val="0"/>
        <w:jc w:val="center"/>
        <w:rPr/>
      </w:pPr>
      <w:bookmarkStart w:colFirst="0" w:colLast="0" w:name="_isojl2vzx1p7" w:id="6"/>
      <w:bookmarkEnd w:id="6"/>
      <w:r w:rsidDel="00000000" w:rsidR="00000000" w:rsidRPr="00000000">
        <w:rPr>
          <w:rtl w:val="0"/>
        </w:rPr>
        <w:t xml:space="preserve">Co-directora: Dra. Georgina Stegmayer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4i86di5qcqqu" w:id="7"/>
      <w:bookmarkEnd w:id="7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Los microARN (miARN) son un grupo de pequeñas secuencias de ácido ribonucleico (ARN) no codificante que desempeñan un papel muy importante en la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regulación génica. En los últimos años, se han desarrollado una gran cantidad de métodos que intentan detectar nuevos miARNs utilizando sólo información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secuencial, es decir, sin medir niveles de expresión. El primer paso en estos métodos generalmente consiste en extraer del genoma subcadenas que cumplan con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ciertos requerimientos estructurales. En segundo lugar se extraen características numéricas de estas subcadenas para finalmente usar aprendizaje maquinal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predecir cuáles probablemente contengan miARN. Existen varias deficiencias en las metodologías propuestas. En primer lugar, muy poco se ha tratado el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de la extracción de subcadenas del genoma completo. Este paso normalmente desatendido es muy importante ya que: i) los miARNs que se pierdan en esta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etapa no se podrán recuperar en etapas posteriores y ii) definir correctamente los límites de las subcadenas extraídas es muy importante para que los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algoritmos de aprendizaje maquinal generen predicciones correctas. Por otro lado, en paralelo con los métodos de predicción de miARN se han propuesto una gran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cantidad de características para representar numéricamente las subcadenas de ARN. Algunas de estas características se pueden calcular con distintas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herramientas, pero estas se desarrollaron con distintos lenguajes de programación y presentan interfaces muy variadas (línea de comandos, web, etc.). Para</w:t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algunas características directamente no se cuenta con herramientas de acceso libre. Finalmente, la mayoría de los métodos actuales usan aprendizaje</w:t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supervisado para la etapa de predicción. Este tipo de métodos tienen importantes limitaciones prácticas cuando deben aplicarse a tareas de predicción real.</w:t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Existe el desafío de lidiar con un número escaso de ejemplos de pre-miARN positivos. Además, es muy difícil construir un buen conjunto de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ejemplos negativos para representar el espectro completo de secuencias no miARN. Por otro lado, en cualquier genoma, existe un enorme desequilibrio de clase</w:t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($1:10000$) que es bien conocido por afectar particularmente a los clasificadores supervisados.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permitir predicciones precisas y rápidas de nuevos miARNs en genomas completos, en esta tesis se realizaron aportas en las tres etapas del proceso de predicción de miARN.</w:t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primer lugar, se desarrollo una metodología para extraer subcadenas del genomas completo que cumplan con los requerimientos mínimos para ser candidatas a</w:t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miARN. En segundo lugar, se desarrollo una herramienta que permite calcular la mayoría de las características utilizadas para predicciones de miARN en el estado</w:t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del arte. La tercer contribución consiste en un algoritmo novedoso de aprendizaje maquinal semi-supervisado que permite realizar predicciones a partir de muy pocos</w:t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ejemplos. Este tipo de aprendizaje aprovecha la información provista por las subcadenas desconocidas (sobre las que se desea generar predicciones)</w:t>
      </w:r>
    </w:p>
    <w:p w:rsidR="00000000" w:rsidDel="00000000" w:rsidP="00000000" w:rsidRDefault="00000000" w:rsidRPr="00000000" w14:paraId="0000001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mejorar las tasas de predicción. Esta información extra permite atenuar el efecto del número reducido de ejemplos etiquetados y la pobre</w:t>
      </w:r>
    </w:p>
    <w:p w:rsidR="00000000" w:rsidDel="00000000" w:rsidP="00000000" w:rsidRDefault="00000000" w:rsidRPr="00000000" w14:paraId="0000002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representatividad de las clases.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comparó el método propuesto de extracción de secuencias tipo horquilla con el único método disponible para tal tarea en la actualidad en 6 especies y se obtuvo</w:t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todos los casos mejores resultados, tanto en cantidad de horquillas como en cantidad de pre-miARNs conocidos encontrados. Se realizaron pruebas para validar los</w:t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algoritmos de extracción de características, obteniendo resultados correctos en todos los casos. Finalmente, se realizaron pruebas del método de aprendizaje maquinal</w:t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propuesto con datos genómicos de tres especies modelo, con más de un millón de subcadenas cada una. Se hicieron comparaciones con una gran cantidad de métodos del estado del arte,</w:t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obteniéndose mejores tasas de predicción y tiempos de ejecución más cortos.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jc w:val="both"/>
        <w:rPr/>
      </w:pPr>
      <w:bookmarkStart w:colFirst="0" w:colLast="0" w:name="_ro4az022icdv" w:id="8"/>
      <w:bookmarkEnd w:id="8"/>
      <w:r w:rsidDel="00000000" w:rsidR="00000000" w:rsidRPr="00000000">
        <w:rPr>
          <w:rtl w:val="0"/>
        </w:rPr>
        <w:t xml:space="preserve">\chapter{Introducción}</w:t>
      </w:r>
    </w:p>
    <w:p w:rsidR="00000000" w:rsidDel="00000000" w:rsidP="00000000" w:rsidRDefault="00000000" w:rsidRPr="00000000" w14:paraId="00000029">
      <w:pPr>
        <w:pStyle w:val="Heading2"/>
        <w:contextualSpacing w:val="0"/>
        <w:jc w:val="both"/>
        <w:rPr/>
      </w:pPr>
      <w:bookmarkStart w:colFirst="0" w:colLast="0" w:name="_gqt93hogkiih" w:id="9"/>
      <w:bookmarkEnd w:id="9"/>
      <w:r w:rsidDel="00000000" w:rsidR="00000000" w:rsidRPr="00000000">
        <w:rPr>
          <w:rtl w:val="0"/>
        </w:rPr>
        <w:t xml:space="preserve">\section{Aprendizaje automático semi-supervisado}</w:t>
      </w:r>
    </w:p>
    <w:p w:rsidR="00000000" w:rsidDel="00000000" w:rsidP="00000000" w:rsidRDefault="00000000" w:rsidRPr="00000000" w14:paraId="0000002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aprendizaje automático es un campo de las ciencias de la computación que intenta dotar a los sistemas informáticos de la capacidad de aumentar</w:t>
      </w:r>
    </w:p>
    <w:p w:rsidR="00000000" w:rsidDel="00000000" w:rsidP="00000000" w:rsidRDefault="00000000" w:rsidRPr="00000000" w14:paraId="0000002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progresivamente su habilidad en una tarea específica, sin la necesidad de ser específicamente programados para tal tarea. Dentro de este campo podemos</w:t>
      </w:r>
    </w:p>
    <w:p w:rsidR="00000000" w:rsidDel="00000000" w:rsidP="00000000" w:rsidRDefault="00000000" w:rsidRPr="00000000" w14:paraId="0000002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identificar dos grandes grupos de técnicas: las de aprendizaje supervisado y las de aprendizaje no supervisado. Las primeras utilizan un conjunto de datos que</w:t>
      </w:r>
    </w:p>
    <w:p w:rsidR="00000000" w:rsidDel="00000000" w:rsidP="00000000" w:rsidRDefault="00000000" w:rsidRPr="00000000" w14:paraId="0000002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traen asociados una etiqueta de clase (que indica a qué clase pertenece el objeto) o valor de salida deseado. El proceso de aprendizaje consiste en generar un</w:t>
      </w:r>
    </w:p>
    <w:p w:rsidR="00000000" w:rsidDel="00000000" w:rsidP="00000000" w:rsidRDefault="00000000" w:rsidRPr="00000000" w14:paraId="0000002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modelo que logre mapear los datos de entrada a los valores de salida deseados. El modelo además debe ser capaz de generalizar, es decir, generar salidas correctas</w:t>
      </w:r>
    </w:p>
    <w:p w:rsidR="00000000" w:rsidDel="00000000" w:rsidP="00000000" w:rsidRDefault="00000000" w:rsidRPr="00000000" w14:paraId="0000003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cuando se alimente con datos no vistos durante el proceso de aprendizaje. Por otro lado, en el aprendizaje no supervisado el objetivo es generar modelos que</w:t>
      </w:r>
    </w:p>
    <w:p w:rsidR="00000000" w:rsidDel="00000000" w:rsidP="00000000" w:rsidRDefault="00000000" w:rsidRPr="00000000" w14:paraId="0000003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descubran grupos o relaciones subyacentes en los datos sin utilizar ningún tipo de etiqueta o valor de salida esperado.</w:t>
      </w:r>
    </w:p>
    <w:p w:rsidR="00000000" w:rsidDel="00000000" w:rsidP="00000000" w:rsidRDefault="00000000" w:rsidRPr="00000000" w14:paraId="0000003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Como punto intermedio entre los dos grupos de técnicas antes mencionados, recientemente apareció un nuevo grupo de algoritmos, llamados de aprendizaje</w:t>
      </w:r>
    </w:p>
    <w:p w:rsidR="00000000" w:rsidDel="00000000" w:rsidP="00000000" w:rsidRDefault="00000000" w:rsidRPr="00000000" w14:paraId="0000003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semi-supervisado. Este tipo de algoritmos utiliza ejemplos etiquetados para aprender la distribución de las clases de la misma forma que los métodos de</w:t>
      </w:r>
    </w:p>
    <w:p w:rsidR="00000000" w:rsidDel="00000000" w:rsidP="00000000" w:rsidRDefault="00000000" w:rsidRPr="00000000" w14:paraId="0000003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aprendizaje supervisado, pero además aprovecha ejemplos no etiquetados para mejorar las tasas de clasificación. Como los ejemplos no etiquetados proveen</w:t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información extra sobre la distribución de los datos en el espacio de las características, este grupo de técnicas obtiene buenas tasas de clasificación en</w:t>
      </w:r>
    </w:p>
    <w:p w:rsidR="00000000" w:rsidDel="00000000" w:rsidP="00000000" w:rsidRDefault="00000000" w:rsidRPr="00000000" w14:paraId="0000003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problemas donde la cantidad de datos etiquetados es muy baja o no es representativa de su clase \citep{chapelle2006semi}. En la Figura~\ref{fig:semivssuperv}</w:t>
      </w:r>
    </w:p>
    <w:p w:rsidR="00000000" w:rsidDel="00000000" w:rsidP="00000000" w:rsidRDefault="00000000" w:rsidRPr="00000000" w14:paraId="0000003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podemos ver un ejemplo muy simple de como datos sin etiqueta pueden ayudar a reconocer los límites de las clases de interés.</w:t>
      </w:r>
    </w:p>
    <w:p w:rsidR="00000000" w:rsidDel="00000000" w:rsidP="00000000" w:rsidRDefault="00000000" w:rsidRPr="00000000" w14:paraId="0000003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Durante la última década, una gran parte de las técnicas que se han desarrollado en el campo del aprendizaje semi-supervisado utiliza representaciones de</w:t>
      </w:r>
    </w:p>
    <w:p w:rsidR="00000000" w:rsidDel="00000000" w:rsidP="00000000" w:rsidRDefault="00000000" w:rsidRPr="00000000" w14:paraId="0000003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los datos en forma de grafos. Estas técnicas representan cada dato como un nodo del grafo y una arista conecta dos nodos si son de alguna manera similares.</w:t>
      </w:r>
    </w:p>
    <w:p w:rsidR="00000000" w:rsidDel="00000000" w:rsidP="00000000" w:rsidRDefault="00000000" w:rsidRPr="00000000" w14:paraId="0000003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Luego, utilizando los nodos etiquetados, se predicen etiquetas para el resto de los nodos. Estos métodos han mostrado buenas tasas de desempeño</w:t>
      </w:r>
    </w:p>
    <w:p w:rsidR="00000000" w:rsidDel="00000000" w:rsidP="00000000" w:rsidRDefault="00000000" w:rsidRPr="00000000" w14:paraId="0000003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\citep{joachims2003transductive} y además son algoritmos muy escalables que, correctamente implementados, permiten el manejo de grandes volúmenes de datos.</w:t>
      </w:r>
    </w:p>
    <w:p w:rsidR="00000000" w:rsidDel="00000000" w:rsidP="00000000" w:rsidRDefault="00000000" w:rsidRPr="00000000" w14:paraId="0000003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 concepto que está estrechamente relacionado con el aprendizaje semi-supervisado es el de aprendizaje transductivo. En esta configuración, los datos de</w:t>
      </w:r>
    </w:p>
    <w:p w:rsidR="00000000" w:rsidDel="00000000" w:rsidP="00000000" w:rsidRDefault="00000000" w:rsidRPr="00000000" w14:paraId="0000004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entrenamiento se utilizan para hacer directamente inferencias en datos de prueba. A diferencia de la mayoría de los métodos inductivos, donde el algoritmo</w:t>
      </w:r>
    </w:p>
    <w:p w:rsidR="00000000" w:rsidDel="00000000" w:rsidP="00000000" w:rsidRDefault="00000000" w:rsidRPr="00000000" w14:paraId="0000004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tiene dos etapas (entrenamiento e inferencia), los métodos transductivos tienen solo una etapa, como se muestra en la figura ~\ref{fig:schemes}. En el esquema</w:t>
      </w:r>
    </w:p>
    <w:p w:rsidR="00000000" w:rsidDel="00000000" w:rsidP="00000000" w:rsidRDefault="00000000" w:rsidRPr="00000000" w14:paraId="0000004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inductivo (a), el algoritmo de aprendizaje utiliza datos de entrenamiento etiquetados para ajustar un modelo. En la segunda etapa, el modelo ya ajustado se usa</w:t>
      </w:r>
    </w:p>
    <w:p w:rsidR="00000000" w:rsidDel="00000000" w:rsidP="00000000" w:rsidRDefault="00000000" w:rsidRPr="00000000" w14:paraId="0000004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hacer predicciones sobre datos nuevos no vistos durante el entrenamiento. En el esquema transductivo (b), tanto los datos etiquetados como los no</w:t>
      </w:r>
    </w:p>
    <w:p w:rsidR="00000000" w:rsidDel="00000000" w:rsidP="00000000" w:rsidRDefault="00000000" w:rsidRPr="00000000" w14:paraId="0000004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etiquetados se procesan juntos, en la misma etapa. Como resultado, se obtiene una inferencia sobre los datos no etiquetadas, pero ninguna función de</w:t>
      </w:r>
    </w:p>
    <w:p w:rsidR="00000000" w:rsidDel="00000000" w:rsidP="00000000" w:rsidRDefault="00000000" w:rsidRPr="00000000" w14:paraId="0000004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decisión, modelo entrenado o regla de clasificación se devuelve como resultado. Cabe señalar que la validación de cualquier método de transducción es</w:t>
      </w:r>
    </w:p>
    <w:p w:rsidR="00000000" w:rsidDel="00000000" w:rsidP="00000000" w:rsidRDefault="00000000" w:rsidRPr="00000000" w14:paraId="0000004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bastante diferente de una estándar (inductiva). Dado que el entrenamiento y la predicción se combinan en una etapa, tanto los datos de entrenamiento como los</w:t>
      </w:r>
    </w:p>
    <w:p w:rsidR="00000000" w:rsidDel="00000000" w:rsidP="00000000" w:rsidRDefault="00000000" w:rsidRPr="00000000" w14:paraId="0000004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prueba se proporcionan al algoritmo, pero los segundos sin etiquetas. Este tipo especial de validación se utiliza en todos los algoritmos transductivos</w:t>
      </w:r>
    </w:p>
    <w:p w:rsidR="00000000" w:rsidDel="00000000" w:rsidP="00000000" w:rsidRDefault="00000000" w:rsidRPr="00000000" w14:paraId="0000004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\citep{chapelle2006semi}, donde las etiquetas de los casos de prueba nunca se utilizan en ningún paso de la etapa de predicción.</w:t>
      </w:r>
    </w:p>
    <w:p w:rsidR="00000000" w:rsidDel="00000000" w:rsidP="00000000" w:rsidRDefault="00000000" w:rsidRPr="00000000" w14:paraId="0000004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\begin{figure}[tpb]</w:t>
      </w:r>
    </w:p>
    <w:p w:rsidR="00000000" w:rsidDel="00000000" w:rsidP="00000000" w:rsidRDefault="00000000" w:rsidRPr="00000000" w14:paraId="0000004B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\centering</w:t>
      </w:r>
    </w:p>
    <w:p w:rsidR="00000000" w:rsidDel="00000000" w:rsidP="00000000" w:rsidRDefault="00000000" w:rsidRPr="00000000" w14:paraId="0000004C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\includegraphics[width=\linewidth]{fig/semivssuperv.eps}</w:t>
      </w:r>
    </w:p>
    <w:p w:rsidR="00000000" w:rsidDel="00000000" w:rsidP="00000000" w:rsidRDefault="00000000" w:rsidRPr="00000000" w14:paraId="0000004D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\caption[Aprendizaje semi-supervisado vs supervisado]{ejemplo de predicción con aprendizaje supervisado (a-b) y con aprendizaje semi-supervisado (c-d).}</w:t>
      </w:r>
    </w:p>
    <w:p w:rsidR="00000000" w:rsidDel="00000000" w:rsidP="00000000" w:rsidRDefault="00000000" w:rsidRPr="00000000" w14:paraId="0000004E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\label{fig:semivssuperv}</w:t>
      </w:r>
    </w:p>
    <w:p w:rsidR="00000000" w:rsidDel="00000000" w:rsidP="00000000" w:rsidRDefault="00000000" w:rsidRPr="00000000" w14:paraId="0000004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\end{figure}</w:t>
      </w:r>
    </w:p>
    <w:p w:rsidR="00000000" w:rsidDel="00000000" w:rsidP="00000000" w:rsidRDefault="00000000" w:rsidRPr="00000000" w14:paraId="0000005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contextualSpacing w:val="0"/>
        <w:jc w:val="both"/>
        <w:rPr/>
      </w:pPr>
      <w:bookmarkStart w:colFirst="0" w:colLast="0" w:name="_3xw4vwf0wmyi" w:id="10"/>
      <w:bookmarkEnd w:id="10"/>
      <w:r w:rsidDel="00000000" w:rsidR="00000000" w:rsidRPr="00000000">
        <w:rPr>
          <w:rtl w:val="0"/>
        </w:rPr>
        <w:t xml:space="preserve">\section{Predicción automática de microARN}</w:t>
      </w:r>
    </w:p>
    <w:p w:rsidR="00000000" w:rsidDel="00000000" w:rsidP="00000000" w:rsidRDefault="00000000" w:rsidRPr="00000000" w14:paraId="0000005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los últimos años, la biología molecular demostró un importante avance en distintas áreas de la investigación. Esta disciplina científica</w:t>
      </w:r>
    </w:p>
    <w:p w:rsidR="00000000" w:rsidDel="00000000" w:rsidP="00000000" w:rsidRDefault="00000000" w:rsidRPr="00000000" w14:paraId="0000005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estudia la estructura, función y composición de las moléculas biológicamente importantes y se relaciona fuertemente con otras áreas como la</w:t>
      </w:r>
    </w:p>
    <w:p w:rsidR="00000000" w:rsidDel="00000000" w:rsidP="00000000" w:rsidRDefault="00000000" w:rsidRPr="00000000" w14:paraId="0000005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genética y la bioquímica. En la actualidad se invierte un gran esfuerzo en estudiar las interacciones entre los numerosos sistemas de las células,</w:t>
      </w:r>
    </w:p>
    <w:p w:rsidR="00000000" w:rsidDel="00000000" w:rsidP="00000000" w:rsidRDefault="00000000" w:rsidRPr="00000000" w14:paraId="0000005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incluyendo las interacciones entre los diferentes tipos de ácido desoxirribonucleico (ADN), ácido ribonucleico (ARN) y los procesos de síntesis de</w:t>
      </w:r>
    </w:p>
    <w:p w:rsidR="00000000" w:rsidDel="00000000" w:rsidP="00000000" w:rsidRDefault="00000000" w:rsidRPr="00000000" w14:paraId="0000005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proteínas, y también cómo estas interacciones son reguladas. Los avances en este campo permiten la generación de una gran cantidad de información</w:t>
      </w:r>
    </w:p>
    <w:p w:rsidR="00000000" w:rsidDel="00000000" w:rsidP="00000000" w:rsidRDefault="00000000" w:rsidRPr="00000000" w14:paraId="0000005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que requiere el uso de herramientas de cálculo altamente especializadas para el análisis. En este contexto, la bioinformática ha tomado un papel muy</w:t>
      </w:r>
    </w:p>
    <w:p w:rsidR="00000000" w:rsidDel="00000000" w:rsidP="00000000" w:rsidRDefault="00000000" w:rsidRPr="00000000" w14:paraId="0000005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importante ya que aporta herramientas que posibilitan la explotación de estos datos.</w:t>
      </w:r>
    </w:p>
    <w:p w:rsidR="00000000" w:rsidDel="00000000" w:rsidP="00000000" w:rsidRDefault="00000000" w:rsidRPr="00000000" w14:paraId="0000005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 problema abierto en Bioinformática desde hace más de una década es el de la predicción automática de microARNs (miARNs). Los miARNs son una clase de</w:t>
      </w:r>
    </w:p>
    <w:p w:rsidR="00000000" w:rsidDel="00000000" w:rsidP="00000000" w:rsidRDefault="00000000" w:rsidRPr="00000000" w14:paraId="0000005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pequeñas moléculas ($\sim$21 nucleótidos) monocatenarias de ácido desoxirribonucleico no codificante que regulan la expresión de otros genes. Se</w:t>
      </w:r>
    </w:p>
    <w:p w:rsidR="00000000" w:rsidDel="00000000" w:rsidP="00000000" w:rsidRDefault="00000000" w:rsidRPr="00000000" w14:paraId="0000005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encuentran presentes tanto en animales como en plantas y su importancia en procesos biológicos clave ha sido ampliamente documentada</w:t>
      </w:r>
    </w:p>
    <w:p w:rsidR="00000000" w:rsidDel="00000000" w:rsidP="00000000" w:rsidRDefault="00000000" w:rsidRPr="00000000" w14:paraId="0000005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\citep{rosenzvit2013microrna}. Los miARNs están implicados, por ejemplo, en la evolución del cáncer (sea como inhibidores o promotores de éste)</w:t>
      </w:r>
    </w:p>
    <w:p w:rsidR="00000000" w:rsidDel="00000000" w:rsidP="00000000" w:rsidRDefault="00000000" w:rsidRPr="00000000" w14:paraId="0000005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\citep{yu2015microrna}, en procesos de infección viral \citep{lecellier2005}. Además, identificar los microARNs de ciertas especies tiene aplicaciones</w:t>
      </w:r>
    </w:p>
    <w:p w:rsidR="00000000" w:rsidDel="00000000" w:rsidP="00000000" w:rsidRDefault="00000000" w:rsidRPr="00000000" w14:paraId="0000006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directas, como puede en plantas ser la mejora de cultivos \citep{liu2010new} o, en animales,  el desarrollo de nuevas vacunas y antibióticos</w:t>
      </w:r>
    </w:p>
    <w:p w:rsidR="00000000" w:rsidDel="00000000" w:rsidP="00000000" w:rsidRDefault="00000000" w:rsidRPr="00000000" w14:paraId="0000006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\citep{tsetsarkin2017synergistic}. Estas pequeñas moléculas normalmente se transcriben a partir de secuencias primarias de mayor tamaño, llamadas</w:t>
      </w:r>
    </w:p>
    <w:p w:rsidR="00000000" w:rsidDel="00000000" w:rsidP="00000000" w:rsidRDefault="00000000" w:rsidRPr="00000000" w14:paraId="0000006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pri-miARNs. Durante la biogénesis, las secuencias precursoras se pliegan sobre sí mismas formando una estructura secundaria tipo tallo-horquilla como se</w:t>
      </w:r>
    </w:p>
    <w:p w:rsidR="00000000" w:rsidDel="00000000" w:rsidP="00000000" w:rsidRDefault="00000000" w:rsidRPr="00000000" w14:paraId="0000006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puede ver en la Figura~\ref{fig:mirna}. Luego son separadas de la secuencia principal y trasladadas fuera del núcleo. En este paso, la estructura toma el</w:t>
      </w:r>
    </w:p>
    <w:p w:rsidR="00000000" w:rsidDel="00000000" w:rsidP="00000000" w:rsidRDefault="00000000" w:rsidRPr="00000000" w14:paraId="0000006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nombre de precursora del miARN o pre-miARN. Finalmente el miARN es liberado del precursor para tomar un papel activo en la regulación de la expresión de los</w:t>
      </w:r>
    </w:p>
    <w:p w:rsidR="00000000" w:rsidDel="00000000" w:rsidP="00000000" w:rsidRDefault="00000000" w:rsidRPr="00000000" w14:paraId="0000006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genes.</w:t>
      </w:r>
    </w:p>
    <w:p w:rsidR="00000000" w:rsidDel="00000000" w:rsidP="00000000" w:rsidRDefault="00000000" w:rsidRPr="00000000" w14:paraId="0000006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\begin{figure}[tpb]</w:t>
      </w:r>
    </w:p>
    <w:p w:rsidR="00000000" w:rsidDel="00000000" w:rsidP="00000000" w:rsidRDefault="00000000" w:rsidRPr="00000000" w14:paraId="00000068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\centering</w:t>
      </w:r>
    </w:p>
    <w:p w:rsidR="00000000" w:rsidDel="00000000" w:rsidP="00000000" w:rsidRDefault="00000000" w:rsidRPr="00000000" w14:paraId="00000069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\includegraphics[width=\linewidth]{fig/paradigmas.eps}</w:t>
      </w:r>
    </w:p>
    <w:p w:rsidR="00000000" w:rsidDel="00000000" w:rsidP="00000000" w:rsidRDefault="00000000" w:rsidRPr="00000000" w14:paraId="0000006A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\caption[Aprendizaje inductivo vs. transductivo]{aprendizaje inductivo y transductivo. a) Esquema tradicional inductivo con dos etapas separadas; b) Esquema transductivo con solo una etapa.}</w:t>
      </w:r>
    </w:p>
    <w:p w:rsidR="00000000" w:rsidDel="00000000" w:rsidP="00000000" w:rsidRDefault="00000000" w:rsidRPr="00000000" w14:paraId="0000006B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\label{fig:schemes}</w:t>
      </w:r>
    </w:p>
    <w:p w:rsidR="00000000" w:rsidDel="00000000" w:rsidP="00000000" w:rsidRDefault="00000000" w:rsidRPr="00000000" w14:paraId="0000006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\end{figure}</w:t>
      </w:r>
    </w:p>
    <w:p w:rsidR="00000000" w:rsidDel="00000000" w:rsidP="00000000" w:rsidRDefault="00000000" w:rsidRPr="00000000" w14:paraId="0000006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la última década, numerosos enfoques experimentales y computacionales fueron utilizados para identificar nuevos miARNs. Los métodos experimentales que se</w:t>
      </w:r>
    </w:p>
    <w:p w:rsidR="00000000" w:rsidDel="00000000" w:rsidP="00000000" w:rsidRDefault="00000000" w:rsidRPr="00000000" w14:paraId="0000006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han usado tradicionalmente como el clonado directo son capaces de detectar solo miARNs que se expresan de forma abundante \citep{kleftogiannis2013where}. Los</w:t>
      </w:r>
    </w:p>
    <w:p w:rsidR="00000000" w:rsidDel="00000000" w:rsidP="00000000" w:rsidRDefault="00000000" w:rsidRPr="00000000" w14:paraId="0000007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últimos avances en secuenciación permiten un alto nivel de cobertura, mitigando estos efectos \citep{an2013mirdeep}. Sin embargo, aquellos que se expresan en</w:t>
      </w:r>
    </w:p>
    <w:p w:rsidR="00000000" w:rsidDel="00000000" w:rsidP="00000000" w:rsidRDefault="00000000" w:rsidRPr="00000000" w14:paraId="0000007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ciertas etapas de una especie, o en tejidos específicos, pueden no ser detectados. Por otro lado, el desarrollo y posterior análisis de los modelos</w:t>
      </w:r>
    </w:p>
    <w:p w:rsidR="00000000" w:rsidDel="00000000" w:rsidP="00000000" w:rsidRDefault="00000000" w:rsidRPr="00000000" w14:paraId="0000007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computacionales entrenados para reconocer miARNs puede brindar pistas que permitan caracterizar mejor estas moléculas y su biogénesis. Los enfoques</w:t>
      </w:r>
    </w:p>
    <w:p w:rsidR="00000000" w:rsidDel="00000000" w:rsidP="00000000" w:rsidRDefault="00000000" w:rsidRPr="00000000" w14:paraId="0000007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computacionales utilizados para la identificación pre-miARN pueden dividirse en dos grupos: métodos de homología y métodos de aprendizaje automático. Los</w:t>
      </w:r>
    </w:p>
    <w:p w:rsidR="00000000" w:rsidDel="00000000" w:rsidP="00000000" w:rsidRDefault="00000000" w:rsidRPr="00000000" w14:paraId="0000007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primeros se basan en la conservación de miARNs entre especies estrechamente relacionadas y, por lo tanto, no pueden usarse para miARNs que son específicos de</w:t>
      </w:r>
    </w:p>
    <w:p w:rsidR="00000000" w:rsidDel="00000000" w:rsidP="00000000" w:rsidRDefault="00000000" w:rsidRPr="00000000" w14:paraId="0000007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una especie \citep{ng2007novo}. Los métodos de aprendizaje automático utilizan un enfoque diferente, que consiste en extraer primero características de</w:t>
      </w:r>
    </w:p>
    <w:p w:rsidR="00000000" w:rsidDel="00000000" w:rsidP="00000000" w:rsidRDefault="00000000" w:rsidRPr="00000000" w14:paraId="0000007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pre-miARNs conocidos, de secuencias que se utilizarán como ejemplos negativos y de las secuencias desconocidas que se desea clasificar. Después se utilizan</w:t>
      </w:r>
    </w:p>
    <w:p w:rsidR="00000000" w:rsidDel="00000000" w:rsidP="00000000" w:rsidRDefault="00000000" w:rsidRPr="00000000" w14:paraId="0000007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las características de las secuencias conocidas (tanto positivas como negativas) para entrenar un clasificador de forma supervisada, para finalmente aplicarlo</w:t>
      </w:r>
    </w:p>
    <w:p w:rsidR="00000000" w:rsidDel="00000000" w:rsidP="00000000" w:rsidRDefault="00000000" w:rsidRPr="00000000" w14:paraId="0000007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las secuencias no conocidas y obtener una predicción \citep{kleftogiannis2013where}. Las características que pueden usarse para representar secuencias de</w:t>
      </w:r>
    </w:p>
    <w:p w:rsidR="00000000" w:rsidDel="00000000" w:rsidP="00000000" w:rsidRDefault="00000000" w:rsidRPr="00000000" w14:paraId="0000007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ARN han sido ampliamente estudiadas \citep{Lopes2014}. Además, muchos algoritmos de aprendizaje supervisado han sido aplicados a este problema: máquinas de</w:t>
      </w:r>
    </w:p>
    <w:p w:rsidR="00000000" w:rsidDel="00000000" w:rsidP="00000000" w:rsidRDefault="00000000" w:rsidRPr="00000000" w14:paraId="0000007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soporte vectorial, modelos ocultos de Markov y ensambles de clasificadores, entre otros \citep{kleftogiannis2013where}. Sin embargo todavía existen muchos</w:t>
      </w:r>
    </w:p>
    <w:p w:rsidR="00000000" w:rsidDel="00000000" w:rsidP="00000000" w:rsidRDefault="00000000" w:rsidRPr="00000000" w14:paraId="0000007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problemas abiertos en la predicción de pre-miARNs con técnicas de aprendizaje maquinal.</w:t>
      </w:r>
    </w:p>
    <w:p w:rsidR="00000000" w:rsidDel="00000000" w:rsidP="00000000" w:rsidRDefault="00000000" w:rsidRPr="00000000" w14:paraId="0000007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gran mayoría de los métodos de predicción del estado del arte toman como entrada secuencias con estructura secundaria tipo tallo-horquilla y se encargan</w:t>
      </w:r>
    </w:p>
    <w:p w:rsidR="00000000" w:rsidDel="00000000" w:rsidP="00000000" w:rsidRDefault="00000000" w:rsidRPr="00000000" w14:paraId="0000007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luego de extraer características, entrenar un clasificador y hacer predicciones. Si bien este primer paso generalmente es ignorado, es fundamental para lograr</w:t>
      </w:r>
    </w:p>
    <w:p w:rsidR="00000000" w:rsidDel="00000000" w:rsidP="00000000" w:rsidRDefault="00000000" w:rsidRPr="00000000" w14:paraId="0000007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buenos resultados en las etapas posteriores. No solo es importante lograr capturar todas las secuencias con estructura secundaria tipo tallo horquilla del</w:t>
      </w:r>
    </w:p>
    <w:p w:rsidR="00000000" w:rsidDel="00000000" w:rsidP="00000000" w:rsidRDefault="00000000" w:rsidRPr="00000000" w14:paraId="0000008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genoma, sino que también es fundamental que estas secuencias se corten en los lugares correctos. Si un pre-miARN se corta erróneamente con una longitud mayor</w:t>
      </w:r>
    </w:p>
    <w:p w:rsidR="00000000" w:rsidDel="00000000" w:rsidP="00000000" w:rsidRDefault="00000000" w:rsidRPr="00000000" w14:paraId="0000008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menor a la real, las características calculadas pueden variar mucho y generar resultados erróneos durante la etapa de predicción. Actualmente, la única</w:t>
      </w:r>
    </w:p>
    <w:p w:rsidR="00000000" w:rsidDel="00000000" w:rsidP="00000000" w:rsidRDefault="00000000" w:rsidRPr="00000000" w14:paraId="0000008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herramienta disponible para esta tarea \citep{durbin1999einverted} no aprovecha los últimos avances en cuanto a la estimación de estructuras secundarias, por</w:t>
      </w:r>
    </w:p>
    <w:p w:rsidR="00000000" w:rsidDel="00000000" w:rsidP="00000000" w:rsidRDefault="00000000" w:rsidRPr="00000000" w14:paraId="0000008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 que el número de secuencias que detecta es bajo y muchos pre-miARN se pierden durante esta temprana etapa. Además, no se tiene en cuenta el contexto de la</w:t>
      </w:r>
    </w:p>
    <w:p w:rsidR="00000000" w:rsidDel="00000000" w:rsidP="00000000" w:rsidRDefault="00000000" w:rsidRPr="00000000" w14:paraId="0000008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secuencia para detectar dónde son los mejores puntos de corte. Las características utilizadas en la predicción de miARN son muy sensibles a pequeñas</w:t>
      </w:r>
    </w:p>
    <w:p w:rsidR="00000000" w:rsidDel="00000000" w:rsidP="00000000" w:rsidRDefault="00000000" w:rsidRPr="00000000" w14:paraId="0000008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diferencias en el corte, por lo que elegir el punto óptimo es crucial para obtener buenos resultados en la clasificación.</w:t>
      </w:r>
    </w:p>
    <w:p w:rsidR="00000000" w:rsidDel="00000000" w:rsidP="00000000" w:rsidRDefault="00000000" w:rsidRPr="00000000" w14:paraId="0000008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\begin{figure}[t]</w:t>
      </w:r>
    </w:p>
    <w:p w:rsidR="00000000" w:rsidDel="00000000" w:rsidP="00000000" w:rsidRDefault="00000000" w:rsidRPr="00000000" w14:paraId="0000008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\centering</w:t>
      </w:r>
    </w:p>
    <w:p w:rsidR="00000000" w:rsidDel="00000000" w:rsidP="00000000" w:rsidRDefault="00000000" w:rsidRPr="00000000" w14:paraId="0000008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\includegraphics[width=\textwidth]{fig/mirna.pdf}</w:t>
      </w:r>
    </w:p>
    <w:p w:rsidR="00000000" w:rsidDel="00000000" w:rsidP="00000000" w:rsidRDefault="00000000" w:rsidRPr="00000000" w14:paraId="0000008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\caption[Estructura secundaria de un pre-miARN]{estructura secundaria de un pre-miARN humano. En rojo se puede ver resaltado el miARN hsa-let-7e.}</w:t>
      </w:r>
    </w:p>
    <w:p w:rsidR="00000000" w:rsidDel="00000000" w:rsidP="00000000" w:rsidRDefault="00000000" w:rsidRPr="00000000" w14:paraId="0000008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\label{fig:mirna}</w:t>
      </w:r>
    </w:p>
    <w:p w:rsidR="00000000" w:rsidDel="00000000" w:rsidP="00000000" w:rsidRDefault="00000000" w:rsidRPr="00000000" w14:paraId="0000008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\end{figure}</w:t>
      </w:r>
    </w:p>
    <w:p w:rsidR="00000000" w:rsidDel="00000000" w:rsidP="00000000" w:rsidRDefault="00000000" w:rsidRPr="00000000" w14:paraId="0000008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Por otro lado, durante la última década se han desarrollado una gran cantidad de características específicamente para el problema de predicción de</w:t>
      </w:r>
    </w:p>
    <w:p w:rsidR="00000000" w:rsidDel="00000000" w:rsidP="00000000" w:rsidRDefault="00000000" w:rsidRPr="00000000" w14:paraId="0000008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microARN, que se pueden extraer tanto de las secuencias o sus estructuras secundarias. Se han publicado muchas herramientas para calcular algunas de estas</w:t>
      </w:r>
    </w:p>
    <w:p w:rsidR="00000000" w:rsidDel="00000000" w:rsidP="00000000" w:rsidRDefault="00000000" w:rsidRPr="00000000" w14:paraId="0000009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características, pero estas están codificados en diferentes lenguajes de programación y tienen diferentes modos de acceso (web, línea de comandos, etc.).</w:t>
      </w:r>
    </w:p>
    <w:p w:rsidR="00000000" w:rsidDel="00000000" w:rsidP="00000000" w:rsidRDefault="00000000" w:rsidRPr="00000000" w14:paraId="0000009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Además, varias de estas herramientas son software propietario y el código fuente no está disponible \footnote{http://www.insybio.com/pages/ncrnaseq}. Estas</w:t>
      </w:r>
    </w:p>
    <w:p w:rsidR="00000000" w:rsidDel="00000000" w:rsidP="00000000" w:rsidRDefault="00000000" w:rsidRPr="00000000" w14:paraId="0000009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cuestiones dificultan en gran medida el uso de muchas de estas características.</w:t>
      </w:r>
    </w:p>
    <w:p w:rsidR="00000000" w:rsidDel="00000000" w:rsidP="00000000" w:rsidRDefault="00000000" w:rsidRPr="00000000" w14:paraId="0000009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Por último, la etapa de predicción o clasificación de secuencias como posibles candidatos a pre-miARN aún presenta importantes dificultades que no han sido</w:t>
      </w:r>
    </w:p>
    <w:p w:rsidR="00000000" w:rsidDel="00000000" w:rsidP="00000000" w:rsidRDefault="00000000" w:rsidRPr="00000000" w14:paraId="0000009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resueltas satisfactoriamente. En primer lugar, aunque el número de secuencias no-miARN que se pueden encontrar en cualquier genoma es grande, los ejemplos</w:t>
      </w:r>
    </w:p>
    <w:p w:rsidR="00000000" w:rsidDel="00000000" w:rsidP="00000000" w:rsidRDefault="00000000" w:rsidRPr="00000000" w14:paraId="0000009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negativos que se utilicen deben ser representativos de la gran variedad de secuencias no-miARN. Un estudio reciente \citep{wei2014improved} analizó la importancia</w:t>
      </w:r>
    </w:p>
    <w:p w:rsidR="00000000" w:rsidDel="00000000" w:rsidP="00000000" w:rsidRDefault="00000000" w:rsidRPr="00000000" w14:paraId="0000009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los ejemplos negativos utilizados y cómo esto limita el rendimiento de los clasificadores. En la mayoría de los casos, los conjuntos negativos que se usan</w:t>
      </w:r>
    </w:p>
    <w:p w:rsidR="00000000" w:rsidDel="00000000" w:rsidP="00000000" w:rsidRDefault="00000000" w:rsidRPr="00000000" w14:paraId="0000009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ajustar los modelos de clasificación se definen principalmente con secuencias tomadas de regiones de codificación de proteínas, ARNm u otras regiones</w:t>
      </w:r>
    </w:p>
    <w:p w:rsidR="00000000" w:rsidDel="00000000" w:rsidP="00000000" w:rsidRDefault="00000000" w:rsidRPr="00000000" w14:paraId="0000009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donde es poco probable encontrar miARN \citep{peace2015framework, tempel2015mirboost}. Nada puede asegurar que estas secuencias sean buenos representantes de</w:t>
      </w:r>
    </w:p>
    <w:p w:rsidR="00000000" w:rsidDel="00000000" w:rsidP="00000000" w:rsidRDefault="00000000" w:rsidRPr="00000000" w14:paraId="0000009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todas las posibles secuencias no-miARN, o que estén lo suficientemente cerca de los límites de la verdadera clase de miARN. Por ejemplo, si el poder de</w:t>
      </w:r>
    </w:p>
    <w:p w:rsidR="00000000" w:rsidDel="00000000" w:rsidP="00000000" w:rsidRDefault="00000000" w:rsidRPr="00000000" w14:paraId="0000009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predicción de un clasificador se prueba en un conjunto de datos que tiene miARNs y ncARNs, lo que realmente se está midiendo es la capacidad de diferenciar</w:t>
      </w:r>
    </w:p>
    <w:p w:rsidR="00000000" w:rsidDel="00000000" w:rsidP="00000000" w:rsidRDefault="00000000" w:rsidRPr="00000000" w14:paraId="0000009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miARNs de ncARNs, pero el clasificador no puede descartar correctamente otras secuencias que no sean miARN. Ningún método ha informado tasas de error</w:t>
      </w:r>
    </w:p>
    <w:p w:rsidR="00000000" w:rsidDel="00000000" w:rsidP="00000000" w:rsidRDefault="00000000" w:rsidRPr="00000000" w14:paraId="0000009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teniendo en cuenta este punto crucial. Para abordar este problema, algunos métodos utilizan secuencias tomadas de posiciones aleatorias de un genoma como</w:t>
      </w:r>
    </w:p>
    <w:p w:rsidR="00000000" w:rsidDel="00000000" w:rsidP="00000000" w:rsidRDefault="00000000" w:rsidRPr="00000000" w14:paraId="0000009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ejemplos negativos \citep{wenyuan2013training, gudys2013huntmi}. Sin embargo, en este caso, nada puede garantizar que un miARN no conocido se utilice</w:t>
      </w:r>
    </w:p>
    <w:p w:rsidR="00000000" w:rsidDel="00000000" w:rsidP="00000000" w:rsidRDefault="00000000" w:rsidRPr="00000000" w14:paraId="0000009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erróneamente como un ejemplo negativo. En ambas estrategias de construcción de conjuntos de ejemplos negativos, no se puede garantizar que los ejemplos sean</w:t>
      </w:r>
    </w:p>
    <w:p w:rsidR="00000000" w:rsidDel="00000000" w:rsidP="00000000" w:rsidRDefault="00000000" w:rsidRPr="00000000" w14:paraId="000000A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representativos de toda la clase negativa; y, lo que es peor, algunos de ellos podrían ser falsos negativos. Otra característica de este problema que</w:t>
      </w:r>
    </w:p>
    <w:p w:rsidR="00000000" w:rsidDel="00000000" w:rsidP="00000000" w:rsidRDefault="00000000" w:rsidRPr="00000000" w14:paraId="000000A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dificulta la aplicación simple de técnicas de aprendizaje maquinal es el hecho de que el número de ejemplos positivos es muy bajo en cualquier genoma, por</w:t>
      </w:r>
    </w:p>
    <w:p w:rsidR="00000000" w:rsidDel="00000000" w:rsidP="00000000" w:rsidRDefault="00000000" w:rsidRPr="00000000" w14:paraId="000000A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 cual este constituye un problema con muy alto desbalance entre clases. Este problema es aún peor en especies no modelo, donde la cantidad de secuencias</w:t>
      </w:r>
    </w:p>
    <w:p w:rsidR="00000000" w:rsidDel="00000000" w:rsidP="00000000" w:rsidRDefault="00000000" w:rsidRPr="00000000" w14:paraId="000000A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anotadas es menor. Una alternativa puede ser utilizar pre-miARNs de especies cercanas como ejemplos positivos, pero recientemente se ha demostrado</w:t>
      </w:r>
    </w:p>
    <w:p w:rsidR="00000000" w:rsidDel="00000000" w:rsidP="00000000" w:rsidRDefault="00000000" w:rsidRPr="00000000" w14:paraId="000000A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\citep{lopes2016automatic} que el problema de predicción de pre-miARNs es muy dependiente de la especie, por lo que esta estrategia puede afectar el desempeño de</w:t>
      </w:r>
    </w:p>
    <w:p w:rsidR="00000000" w:rsidDel="00000000" w:rsidP="00000000" w:rsidRDefault="00000000" w:rsidRPr="00000000" w14:paraId="000000A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las técnicas de predicción. Por otro lado, la gran variedad de secuencias que se pueden utilizar como ejemplos negativos y el bajo número de ejemplos</w:t>
      </w:r>
    </w:p>
    <w:p w:rsidR="00000000" w:rsidDel="00000000" w:rsidP="00000000" w:rsidRDefault="00000000" w:rsidRPr="00000000" w14:paraId="000000A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positivos obliga a entrenar clasificadores con un desbalance muy grande entre el número de secuencias positivas y las potencialmente negativas. Esto presenta</w:t>
      </w:r>
    </w:p>
    <w:p w:rsidR="00000000" w:rsidDel="00000000" w:rsidP="00000000" w:rsidRDefault="00000000" w:rsidRPr="00000000" w14:paraId="000000A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una dificultad adicional ya que está demostrado que las  técnicas estándar de aprendizaje maquinal son muy sensibles al desbalance de clases</w:t>
      </w:r>
    </w:p>
    <w:p w:rsidR="00000000" w:rsidDel="00000000" w:rsidP="00000000" w:rsidRDefault="00000000" w:rsidRPr="00000000" w14:paraId="000000A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\citep{guo2008class}.</w:t>
      </w:r>
    </w:p>
    <w:p w:rsidR="00000000" w:rsidDel="00000000" w:rsidP="00000000" w:rsidRDefault="00000000" w:rsidRPr="00000000" w14:paraId="000000A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contextualSpacing w:val="0"/>
        <w:jc w:val="both"/>
        <w:rPr/>
      </w:pPr>
      <w:bookmarkStart w:colFirst="0" w:colLast="0" w:name="_ern75r535ctd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contextualSpacing w:val="0"/>
        <w:jc w:val="both"/>
        <w:rPr/>
      </w:pPr>
      <w:bookmarkStart w:colFirst="0" w:colLast="0" w:name="_6sunkju7llc3" w:id="12"/>
      <w:bookmarkEnd w:id="12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contextualSpacing w:val="0"/>
        <w:jc w:val="both"/>
        <w:rPr/>
      </w:pPr>
      <w:bookmarkStart w:colFirst="0" w:colLast="0" w:name="_3rqrqaoyugex" w:id="13"/>
      <w:bookmarkEnd w:id="13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A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objetivo general de esta tesis es desarrollar nuevos métodos para la clasificación de candidatos a pre-miARN a partir del  genoma completo tanto de animales como de plantas, y capaces de desempeñarse adecuadamente en un contexto de gran desbalance entre la clase de interés y una alta proporción de secuencias no etiquetadas. </w:t>
      </w:r>
    </w:p>
    <w:p w:rsidR="00000000" w:rsidDel="00000000" w:rsidP="00000000" w:rsidRDefault="00000000" w:rsidRPr="00000000" w14:paraId="000000AF">
      <w:pPr>
        <w:pStyle w:val="Heading2"/>
        <w:contextualSpacing w:val="0"/>
        <w:jc w:val="both"/>
        <w:rPr/>
      </w:pPr>
      <w:bookmarkStart w:colFirst="0" w:colLast="0" w:name="_63fzeqix3ed1" w:id="14"/>
      <w:bookmarkEnd w:id="14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B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continuación se detallan los objetivos específicos de la presente investigación: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Revisar e integrar todas las características utilizadas en la actualidad para la predicción de pre-miARNs.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Desarrollar una metodología integrada y simple que permita   encontrar automáticamente secuencias tipo tallo-horquilla en genomas completos.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Desarrollar nuevos algoritmos de clasificación que incorporen etapas de aprendizaje semi-supervisado para atacar los problemas de gran desbalance de clases y alta proporción  de ejemplos no etiquetados.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Validar las propuestas con genomas reales a través del trabajo multidisciplinario con expertos del dominio.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