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both"/>
        <w:rPr/>
      </w:pPr>
      <w:bookmarkStart w:colFirst="0" w:colLast="0" w:name="_lo9b99icsx6i" w:id="0"/>
      <w:bookmarkEnd w:id="0"/>
      <w:r w:rsidDel="00000000" w:rsidR="00000000" w:rsidRPr="00000000">
        <w:rPr>
          <w:rtl w:val="0"/>
        </w:rPr>
        <w:t xml:space="preserve">\chapter{Metodología}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Siguiendo las ideas presentadas previamente, en la Figura 2 se presenta la metodología general diseñada para la clasificación y predicción de nuevos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microARNs. La metodología o proceso consiste en tres etapas, en primer lugar se deben extraer todas las subcadenas del genoma que tengan una estructura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secundaria similar a la de un pre-miARN. Luego, a estas secuencias candidatas se les extraen características para convertirlas en vectores numéricos,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procesables con métodos de aprendizaje maquinal. En paralelo, se comparan todas las subcadenas con los pre-miARNs de conocidos (tomados de la base de datos mirBase)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marcar los ejemplos positivos. Finalmente, se obtienen predicciones para las secuencias no etiquetadas utilizando un algoritmo de aprendizaje maquinal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semi-supervisado. En las siguientes subsecciones se describe con más detalle cada etapa del proceso.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jc w:val="both"/>
        <w:rPr/>
      </w:pPr>
      <w:bookmarkStart w:colFirst="0" w:colLast="0" w:name="_t1kro2shkicf" w:id="1"/>
      <w:bookmarkEnd w:id="1"/>
      <w:r w:rsidDel="00000000" w:rsidR="00000000" w:rsidRPr="00000000">
        <w:rPr>
          <w:rtl w:val="0"/>
        </w:rPr>
        <w:t xml:space="preserve">\section{Procesamiento de secuencias de ARN de tipo tallo-horquilla}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se mencionó antes, los pre-miARNs se pliegan en estructuras secundarias tipo tallo- horquilla. Estas secuencias tienen una longitud promedio que depende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la especie, y un nivel de emparejamiento relativamente alto. Estas características especiales de los pre-miARNs, además de ser útiles para una primer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etapa de filtrado, se pueden utilizar para cortar el genoma completo en subcadenas que pueden ser procesadas más fácilmente por las siguientes etapas. El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objetivo de esta etapa es entonces extraer todas las secuencias tipo tallo-horquilla de un genoma cortando en los puntos donde se obtienen las estructuras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secundarias con la mayor estabilidad termodinámica posible. Para ello se sigue el esquema de pasos presentado en la Figura~\ref{fig:hextractor}. A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continuación se detalla cada paso de este proceso: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\begin{figure}[h]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\centering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\includegraphics[width=\textwidth]{fig/diagrama.eps}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\caption[Etapas de la predicción de microARN]{proceso completo de predicción de nuevos pre-miARNs, separado en sus tres etapas principales.}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\label{fig:esquema}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\end{figure}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jc w:val="both"/>
        <w:rPr/>
      </w:pPr>
      <w:bookmarkStart w:colFirst="0" w:colLast="0" w:name="_ddx1bwwzg6xr" w:id="2"/>
      <w:bookmarkEnd w:id="2"/>
      <w:r w:rsidDel="00000000" w:rsidR="00000000" w:rsidRPr="00000000">
        <w:rPr>
          <w:rtl w:val="0"/>
        </w:rPr>
        <w:t xml:space="preserve">\subsection{Ventaneo del genoma}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comienza cortando el genoma completo en ventanas solapadas de una longitud varias veces mayor (~500 nt.) a la de un pre-miARN promedio. La ventana debe ser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 suficientemente larga para poder capturar la horquilla completa pero además para que se tenga en cuenta el entorno de cualquier posible horquilla al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estimar la estructura secundaria. Esto último es muy importante ya que los resultados de estimar la estructura secundaria se ven muy afectados por el entorno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la secuencia. Por ejemplo, sin considerar el entorno de una secuencia, la estructura secundaria estimada puede presentar una estabilidad menor a la que se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formaría si se habría considerado el entorno.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jc w:val="both"/>
        <w:rPr/>
      </w:pPr>
      <w:bookmarkStart w:colFirst="0" w:colLast="0" w:name="_qmzcpbpb8t1" w:id="3"/>
      <w:bookmarkEnd w:id="3"/>
      <w:r w:rsidDel="00000000" w:rsidR="00000000" w:rsidRPr="00000000">
        <w:rPr>
          <w:rtl w:val="0"/>
        </w:rPr>
        <w:t xml:space="preserve">\subsection{Plegado y poda}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\begin{figure}[t]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\includegraphics[width=\textwidth]{fig/hextractor.eps}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\caption[Extracción de secuencias tipo tallo-horquilla]{proceso de extracción de secuencias tipo tallo-horquilla del genoma completo.}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\label{fig:hextractor}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predice la estructura secundaria que formaría cada una de las ventanas al plegarse. Para ello se utiliza el algoritmo de mínima energía libre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\citep{zuker1981optimal}. Este algoritmo utiliza programación dinámica para encontrar la estructura secundaria que minimiza la energía liberada. Dado que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ventanas utilizadas son relativamente largas, las estructuras normalmente presentan múltiples bucles. Por lo tanto, el siguiente paso es buscar los puntos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corte que logren separar la estructura completa en varias estructuras tipo horquilla, como se puede ver en la Figura~\ref{fig:hextractor}. De las horquillas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extraídas, se eliminan las que no superan una longitud y nivel de emparejamiento mínimo y el resto pasa a la siguiente etapa.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both"/>
        <w:rPr>
          <w:sz w:val="32"/>
          <w:szCs w:val="32"/>
        </w:rPr>
      </w:pPr>
      <w:bookmarkStart w:colFirst="0" w:colLast="0" w:name="_z7ae61hzhrid" w:id="4"/>
      <w:bookmarkEnd w:id="4"/>
      <w:r w:rsidDel="00000000" w:rsidR="00000000" w:rsidRPr="00000000">
        <w:rPr>
          <w:sz w:val="32"/>
          <w:szCs w:val="32"/>
          <w:rtl w:val="0"/>
        </w:rPr>
        <w:t xml:space="preserve">\subsection{Recorte de secuencias}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se utilizaron ventanas de una longitud varias veces mayor a la de un pre-miARN promedio, generalmente las secuencias encontradas forman estructuras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secundarias mayores a la de un pre-miARN. Por este motivo es importante analizar cada secuencia para detectar si es necesario un recorte. Como aún se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desconoce el funcionamiento de las enzimas que se encargan de separar el pre-miARN de la secuencia, se utilizan ciertas heurísticas que permiten obtener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con longitudes y estabilidad similares a las de un pre-miARN. Estas reglas intentan optimizar la Mínima Energía Libre Normalizada (NMFE, por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sus siglas en ingles \textit{Normalized Minimum Free Energy}), que se sabe es muy baja en las estructuras secundarias de los pre-miARNs, respetando ciertos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límites en la longitud de la secuencia. La NMFE es la energía termodinámica que libera la secuencia al plegarse, por lo tanto, cuanto mayor es la energía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 se libera más estable es la estructura secundaria.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 bien se podrían encontrar de forma óptima los puntos de corte óptimo, re-estimando la estructura secundaria para todos los cortes posibles, se decidió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utilizar un conjunto de reglas que aproximan esta solución. De esta forma, además de acelerar en gran medida el procesamiento, se logra una mayor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flexibilidad en el proceso. Las reglas que se utilizan para elegir el punto de corte son: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\item La secuencia debe superar una longitud mínima que se selecciona de acuerdo a la especie. De esta forma nos aseguramos que la estructura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secundaria tenga suficiente longitud para contener un miARN maduro.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\item Los cortes se realizan en el primer nucleótido no emparejado de algún bucle interno o bulto de la estructura secundaria (comenzando desde la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horquilla). Recortar bases que están emparejadas daría como resultado una NMFE mayor.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\item Si las imperfecciones en la estructura secundaria son grandes, es probable que al cortar la secuencia en esos puntos se obtenga una estructura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con menor NMFE. Cuanto menor es la longitud de la secuencia (independientemente del emparejamiento), mayor es la NMFE.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both"/>
        <w:rPr>
          <w:sz w:val="32"/>
          <w:szCs w:val="32"/>
        </w:rPr>
      </w:pPr>
      <w:bookmarkStart w:colFirst="0" w:colLast="0" w:name="_z2p8ce3wwf4k" w:id="5"/>
      <w:bookmarkEnd w:id="5"/>
      <w:r w:rsidDel="00000000" w:rsidR="00000000" w:rsidRPr="00000000">
        <w:rPr>
          <w:sz w:val="32"/>
          <w:szCs w:val="32"/>
          <w:rtl w:val="0"/>
        </w:rPr>
        <w:t xml:space="preserve">\subsection{Filtrado de repetidas}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eliminan las secuencias repetidas para evitar costo computacional extra en las siguientes etapas. Estas secuencias repetidas además perturban los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resultados de los algoritmos de predicción utilizados en la última etapa, ya que cada repetición aumenta la “importancia” que se le da a una secuencia.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repeticiones pueden aparecer debido al ventaneo solapado, o ser repeticiones del genoma. Cada una de estos tipos de repetición se elimina siguiendo una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estrategia diferente: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\item Ventana solapada: Dado que la ventana se mueve de forma solapada, es posible que una estructura secundaría sea capturada más de una vez. Estas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repeticiones aparecen de forma consecutiva y son secuencias casi idénticas. Lo único que puede variar es la longitud dado que una horquilla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puede caer en uno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de los extremos de la ventana, generando una horquilla más corta. Para eliminarlas se realiza una comparación de cada secuencia con las</w:t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últimas secuencias</w:t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extraídas. Si una de las secuencias contiene a la otra, la más corta se elimina.</w:t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\item Repeticiones en el genoma: Para eliminar las repeticiones se ordenan lexicográficamente y se compara caractér a caractér cada secuencia con la</w:t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siguiente, encontrando de esta forma todas las repeticiones.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Finalmente las secuencias extraídas se comparan con secuencias de distintas bases de datos utilizando BLAST y se las separa en distintos archivos de salida.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contextualSpacing w:val="0"/>
        <w:jc w:val="both"/>
        <w:rPr/>
      </w:pPr>
      <w:bookmarkStart w:colFirst="0" w:colLast="0" w:name="_3kkkbjq4qudw" w:id="6"/>
      <w:bookmarkEnd w:id="6"/>
      <w:r w:rsidDel="00000000" w:rsidR="00000000" w:rsidRPr="00000000">
        <w:rPr>
          <w:rtl w:val="0"/>
        </w:rPr>
        <w:t xml:space="preserve">\section{Extracción de características}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extracción de características de pre-miARN consiste en convertir las secuencias de nucleótidos (representadas como cadenas de caracteres) en vectores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numéricos. De esta manera se pueden aplicar técnicas de aprendizaje maquinal para lograr separar las secuencias pre-miARN de las que no lo son. Como antes se</w:t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expresó, se han presentado muchas características que pueden usarse para representar secuencias de ARN \cite{Lopes2014}, pero la variedad de herramientas</w:t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extraerlas son un problema que dificulta su utilización. Estas tienen diferentes interfaces de acceso (web, línea de comandos, interfaz gráfica, etc.)</w:t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no siempre son de libre acceso. Para resolver este problema se creó una biblioteca que implementa estos procesos de extracción unificada</w:t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acceso a todos los procesos de extracción de características publicados en la literatura en los últimos 10 años. Esta herramienta puede extraer características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la mayoría de los métodos de predicción de miARN de los últimos años: Triplet-SVM \citep{xue2005classification}, RNAmicro \citep{hertel2006hairpins},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BayesMiRNAfind \citep{yousef2006combining}, MiRFinder \citep{huang2007mirfinder}, MiPred \citep{jiang2007mipred}, miRRim \citep{terai2007mirrim}, microPred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\citep{batuwita2009micropred}, miRanalyzer \citep{hackenberg2009miranalyzer}, MiRenSVM \citep{ding2010mirensvm} y miPredGA \citep{xuan2011genetic}. La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biblioteca se construyó de forma modular, para facilitar el proceso de agregar nuevos algoritmos de extracción de características en el futuro. Además de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biblioteca, se creó una interfaz web para simplificar el acceso a usuarios del dominio de aplicación sin conocimientos de programación.</w:t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Tanto la biblioteca como la versión web pueden calcular hasta 80 características donde muchas son matrices multidimensionales. Las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características se han dividido en seis grupos predefinidos: secuencia primaria, estructura secundaria, estabilidad termodinámica, estabilidad estadística,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conservación entre genomas de diferentes especies y análisis de subcadenas de las secuencias. En las próximas secciones se detalla en qué consiste cada grupo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características. Una lista completa de las características descritas con mayor detalle se presentan en el Anexo~\ref{sec:mirnafe}.</w:t>
      </w:r>
    </w:p>
    <w:p w:rsidR="00000000" w:rsidDel="00000000" w:rsidP="00000000" w:rsidRDefault="00000000" w:rsidRPr="00000000" w14:paraId="0000006A">
      <w:pPr>
        <w:pStyle w:val="Heading2"/>
        <w:contextualSpacing w:val="0"/>
        <w:jc w:val="both"/>
        <w:rPr/>
      </w:pPr>
      <w:bookmarkStart w:colFirst="0" w:colLast="0" w:name="_kq916y7s4rym" w:id="7"/>
      <w:bookmarkEnd w:id="7"/>
      <w:r w:rsidDel="00000000" w:rsidR="00000000" w:rsidRPr="00000000">
        <w:rPr>
          <w:rtl w:val="0"/>
        </w:rPr>
        <w:t xml:space="preserve">\subsection{Secuencia}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Estas son las características más simples y representan información de la secuencia principal. MiRNAfe puede extraer un total de 5 características en este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grupo: longitud de la secuencia ($\ell$), proporción de cada base en la secuencia, proporción de dinucleótidos, contenido de guanina y citosina y relación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guanina-citosina. Las dos últimas características se definen como: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 \label{eq:contenidoGC}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{G+C}_{content} = \frac{G+C}{G+C+A+U},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 \label{eq:GCratio}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{GC}_{ratio} = \frac{G}{C},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$G$, $C$, $A$ y $U$ representan la cantidad de cada base encontrada en la secuencia \citep{hertel2006hairpins}. Todas estas características forman un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vector de 23 elementos, compuesto por: las 4 proporciones base, las 16 proporciones de dinucleótidos, la longitud de la secuencia, ${G+C}_{contenido}$ y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${GC}_{ratio}$. Aunque estas características son bastante simples, han mostrado un alto poder discriminatorio \citep{batuwita2009micropred}, y por lo tanto se usan en la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mayoría de herramientas de predicción.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\subsection{Estructura secundaria}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Estas características representan información de la estructura secundaria y son el grupo más numeroso. La característica más utilizada de este grupo,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quizás por ser una de las primeras publicadas para la predicción de pre-miARN, es la proporción de tripletas \citep{xue2005classification}. Una tripleta es un elemento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formado con el estado de estructura (emparejado o no emparejado) de tres nucleótidos y el tipo de base del nucleótido del medio. Un ejemplo de una tripleta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 ``. ((A '', donde el paréntesis representa un nucleótido emparejado, un punto uno no emparejado, y la letra es la base del nucleótido del medio. Como hay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 estados posibles para un nucleótido y 4 bases diferentes, se pueden formar 32 tripletas ($4\times2^{3} $). El número de ocurrencias de cada elemento</w:t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en la secuencia se cuenta y se normaliza para producir un vector de 32 características. Un enfoque similar a las tripletas fue utilizado por</w:t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\cite{huang2007mirfinder}, que propuso otra representación para la estructura secundaria. En primer lugar, se definen cinco símbolos para indicar el estado de cada par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bases en el tallo: `$=$'', ``$:$'', ``$-$'', ``$.$'' y ``$\wedge$''. Cada uno de ellos corresponde al estado de coincidencia, falta de coincidencia,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eliminación, inserción por bucle interior e inserción por bulto, respectivamente. Luego, al tomar dos símbolos adyacentes, se pueden formar 14 posibles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combinaciones, cada una de las cuales tiene un significado especial. Por ejemplo: ``$=-$'', ``$=.$'', y``$=:$'' representan el límite del bucle principal, y</w:t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``$:\wedge$'' representa que el bucle es asimétrico. La frecuencia de cada combinación se usa como un vector de características. Esta representación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también se puede usar para calcular cuatro características: $pMatch$, $pMismatch$, $pDI$ y $pBulge$. Estas características se calculan sobre supuestos miARN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maduros, seleccionados como la región de 22 nucleótidos donde el apareamiento de bases es máximo. Representan la frecuencia de emparejamiento de bases, la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frecuencia de no emparejamiento, las frecuencias de borrado e inserción y la simetría de los bucles abombados, respectivamente.</w:t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Otro tipo de características se relaciona con estructuras llamadas tallos, que son motivos estructurales que contienen más de tres pares de bases contiguas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\citep{ng2007novo}. Estas características son el número de tallos, la proporción de cada posible par de bases por tallo, el número promedio de pares de bases por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tallo y la longitud del tallo más largo. El resto de las características son la longitud de la región del tallo (la cantidad de nucleótidos de la horquilla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sin contar los que se encuentran en el bucle principal, no confundir con los tallos de \cite{ng2007novo}), longitud del bucle terminal, número de bucles, número de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bultos, longitud de bucle más larga, número de bucles simétricos y asimétricos, nucleótidos en bucles simétricos y asimétricos, región simétrica más</w:t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larga, longitud promedio de bucles simétricos, longitud promedio de bucles asimétricos, cantidad de bultos y bucles de longitud $ 1,2, ..., 7&gt;$, número de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pares de bases, proporción de pares de bases, proporción de pares de bases ajustada y $G+C_{contenido}$ en el bucle terminal \citep{Lopes2014}. Finalmente,</w:t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biblioteca permite calcular el recuento de lecturas a partir de los datos de RNAseq. Esta característica necesita que el usuario proporcione un archivo adicional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lecturas, que se alinea con las secuencias analizadas y cuenta las correspondencias correspondientes.</w:t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\subsection{Estabilidad termodinámica}</w:t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características de este grupo están relacionadas con la estabilidad termodinámica de las secuencias. La característica más utilizada es la energía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mínima libre ($MFE$, por sus siglas en ingles \textit{Minimum Free Energy}): la energía estimada que una secuencia libera cuando se pliega en la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estructura secundaria más estable \citep{zuker1981optimal}. La energía libre del conjunto ($EFE$) tiene un significado similar y se obtiene con el</w:t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algoritmo de \cite{mccaskill1990}. Otras características de este grupo se calculan como combinaciones de esos valores. Por ejemplo, el índice MFE 1</w:t>
      </w:r>
    </w:p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($MFEI_{1}$) es la relación entre la energía libre mínima y el ${G+C}_{contenido}$ definido en \ref{eq:contenidoGC}. Del mismo modo, se puede calcular</w:t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diferencia $MFE-EFE$, $MFE$ ajustado, $MFEI_{2}$, $MFEI_{3}$ y $MFEI_{4}$ \citep{batuwita2009micropred}. También hay algunas características que</w:t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utilizan enfoques teóricos de información para estimar la confianza de la estructura secundaria predicha, como la entropía ajustada de Shannon de las</w:t>
      </w:r>
    </w:p>
    <w:p w:rsidR="00000000" w:rsidDel="00000000" w:rsidP="00000000" w:rsidRDefault="00000000" w:rsidRPr="00000000" w14:paraId="000000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probabilidades de emparejamiento \citep{ng2007novo}, definida como</w:t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\label{eq:dQ}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dQ = \frac{1}{\ell} \sum_{i&lt;j} p_{ij} \log_2 p_{ij} ,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$p_{ij}$ es la probabilidad de que el nucleótido $i$ forme un par con el nucleótido $j$ y $l$ es la longitud de la secuencia. Las</w:t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probabilidades de cada par se calculan con el algoritmo de \cite{mccaskill1990}. Otro ejemplo es la distancia de pares ajustada, definida como</w:t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\label{eq:dD}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dD = \frac{1}{\ell} \sum_{i&lt;j} p_{ij} (1 - p_{ij}).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Además, en este grupo se puede calcular la frecuencia del conjunto, la diversidad, el potencial del tallo 3 \textquoteright~ y 5 \textquoteright~, y el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potencial del bucle \citep{terai2007mirrim}. Hay 15 funciones en este grupo, que se describen con más detalle en el Anexo~\ref{sec:mirnafe}.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\subsection{Estabilidad estadística}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sabe que los precursores que contienen un miARN son más estables que las secuencias aleatorias. Las características de este grupo se calculan como la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puntuación estándar (z-score) de cualquier característica relacionada con la estabilidad \citep{bonnet2004evidence}. Para calcular este valor, se debe generar una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población aleatoria de secuencias intercambiando las bases de la secuencia analizada. De esta forma, las secuencias generadas artificialmente conservan las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proporciones de nucleótidos o incluso la proporción de dinucleótidos si algunos intercambios están restringidos (la herramienta tiene una opción para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elegir qué método de intercambio usar). Utilizando las secuencias generadas, la estabilidad de la secuencia original se puede medir con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z = \frac{x-\mu}{\sigma},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$x$ es el valor original de alguna característica relacionada con la estabilidad, $\mu$ es la media y $\sigma$ es la desviación estándar de</w:t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población de secuencias generada aleatoriamente. Este puntaje representa cuántas desviaciones estándar un valor está por encima de la media de la</w:t>
      </w:r>
    </w:p>
    <w:p w:rsidR="00000000" w:rsidDel="00000000" w:rsidP="00000000" w:rsidRDefault="00000000" w:rsidRPr="00000000" w14:paraId="000000C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población. Por lo tanto, un puntaje z negativo indica una secuencia que es estadísticamente más estable que la media de la población. Otra estadística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utilizada para medir la estabilidad de la secuencia en comparación con secuencias aleatorias es el valor $p$. Se calcula como la proporción de secuencias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aleatorias que son más estables que la secuencia analizada. Por lo tanto, un bajo valor de $p$ indica que la secuencia analizada es una de las secuencias más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estables generadas con esa proporción de nucleótidos / dinucleótidos. Las medidas de estabilidad que se pueden normalizar con z-score son: $ MFE $ ($ zMFE</w:t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$), $ EFE $ ($ zEFE $), $ MFE $ ($ zG $) ajustado, entropía de Shannon ($ zQ $), propensión de par de bases ($ zP $) \citep{ng2007novo} y distancia de pares de</w:t>
      </w:r>
    </w:p>
    <w:p w:rsidR="00000000" w:rsidDel="00000000" w:rsidP="00000000" w:rsidRDefault="00000000" w:rsidRPr="00000000" w14:paraId="000000C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bases ($ zD $) \citep{ding2010mirensvm}. El valor $p$ se puede usar para normalizar $ MFE $ ($ pMFE $) \citep{bonnet2004evidence} y $ EFE $ ($ pEFE $) \citep{ding2010mirensvm}. Aunque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z-score y el $p$-value son similares, a menudo se usan juntas en predicción ya que pueden tomar valores muy diferentes \citep{ding2010mirensvm}. En resumen,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pueden calcular 8 características en este grupo. Además se puede especificar el método de mezcla (preservación de la composición de nucleótidos o</w:t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dinucleótidos) y el número de secuencias aleatorias generadas.</w:t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\subsection{Conservación filogenética}</w:t>
      </w:r>
    </w:p>
    <w:p w:rsidR="00000000" w:rsidDel="00000000" w:rsidP="00000000" w:rsidRDefault="00000000" w:rsidRPr="00000000" w14:paraId="000000C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Cuando una parte del genoma se conserva entre especies relacionadas, es muy probable que tenga un papel importante en el genoma. Las características de este</w:t>
      </w:r>
    </w:p>
    <w:p w:rsidR="00000000" w:rsidDel="00000000" w:rsidP="00000000" w:rsidRDefault="00000000" w:rsidRPr="00000000" w14:paraId="000000C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grupo miden el nivel de conservación entre secuencias de especies relacionadas filogenéticamente. Todas las características se calculan sobre alineaciones</w:t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dos o más secuencias que el usuario debe proporcionar. Algunas características no solo tienen en cuenta el nivel de conservación, sino también la</w:t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estabilidad termodinámica. Las características en este grupo son: la frecuencia de mutación \citep{huang2007mirfinder}, que es la proporción de bases que difieren de</w:t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secuencia a otra y es aplicable solo a un par de secuencias; la entropía del brazo 5\textquoteright~, el brazo 3\textquoteright~, la región del bucle y</w:t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entropía mínima que es la menor entropía de las calculadas sobre una región de 21 nucleótidos \citep{hertel2006hairpins}; el número de diferencias en la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estructura secundaria dividido por el número de diferencias entre las secuencias \citep{huang2007mirfinder}; el promedio de $MFE$; la diferencia de $MFE$ entre dos</w:t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alineadas dividida por el número de diferencias entre las secuencias \citep{huang2007mirfinder}; promedio $dG$; promedio $ MFEI_{1} $; energía libre de la</w:t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estructura secundaria de consenso; conservación del brazo 3\textquoteright~ y conservación del brazo 5\textquoteright~; y finalmente, el puntaje de</w:t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conservación. Esta es la característica más compleja para obtener \citep{terai2007mirrim}, ya que se calcula usando dos procesos de Markov, uno que se mueve en la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dimensión de tiempo (sobre las ramas del árbol de evolución) y el otro en dimensión espacial (sobre la secuencia) . Se pueden extraer un total de 14</w:t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características en este grupo, que se describen en detalle en el Anexo~\ref{sec:mirnafe}.</w:t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\subsection{Análisis de subcadenas de 22-nt}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Estas características se calculan en todas las subcadenas de 22 nt dentro de una secuencia determinada. Se basan en el hecho de que si una secuencia es un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pre-miARN, una de las subcadenas analizadas tiene que ser el miARN maduro y las características calculadas deben capturar sus particularidades. Como</w:t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resultado, se obtiene una matriz con longitud $ n = \ell - 22 $, donde el elemento $i$-th representa el valor de la característica calculada sobre la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subcadena que comienza en la base $i$. MiRNAfe puede extraer las siguientes 5 características en este grupo: la probabilidad de emparejamiento de bases en la</w:t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subcadena \citep{lim2003}, que es la suma de probabilidades de emparejamiento de bases sobre la subcadena; la suma de bases no emparejadas en la subcadena; la</w:t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suma de probabilidades de emparejamiento de bases en la estructura secundaria sin las probabilidades de los nucleótidos de la subcadena; la simetría de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bultos, como la diferencia entre la cantidad de bases no emparejadas en cada brazo de la subcadena; y la distancia desde la subcadena hasta el bucle terminal.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contextualSpacing w:val="0"/>
        <w:jc w:val="both"/>
        <w:rPr/>
      </w:pPr>
      <w:bookmarkStart w:colFirst="0" w:colLast="0" w:name="_5sp1qn36yqtp" w:id="8"/>
      <w:bookmarkEnd w:id="8"/>
      <w:r w:rsidDel="00000000" w:rsidR="00000000" w:rsidRPr="00000000">
        <w:rPr>
          <w:rtl w:val="0"/>
        </w:rPr>
        <w:t xml:space="preserve">\section{Predicción de pre-miARNs}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esta etapa se utilizan pre-miARNs conocidos del genoma de la especie de interés para entrenar un clasificador que luego realizará predicciones sobre otras</w:t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de ARN, sobre las cuales no se  conoce su función. Las secuencias de pre-miARN utilizadas como ejemplos para el entrenamiento pueden ser tomadas de</w:t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alguna base de datos de pre-miARNs como  mirBase \cite{kozomara2014mirbase}, mientras que las secuencias no etiquetadas son el resultado del corte y plegado del genoma</w:t>
      </w:r>
    </w:p>
    <w:p w:rsidR="00000000" w:rsidDel="00000000" w:rsidP="00000000" w:rsidRDefault="00000000" w:rsidRPr="00000000" w14:paraId="000000E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crudo. Como antes se mencionó, utilizar métodos de aprendizaje maquinal supervisado presenta numerosas dificultades. Para mitigarlas, se desarrolló</w:t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clasificador semi-supervisado que aprenda la distribución de secuencias del genoma analizado en el espacio de las características, utilizando las</w:t>
      </w:r>
    </w:p>
    <w:p w:rsidR="00000000" w:rsidDel="00000000" w:rsidP="00000000" w:rsidRDefault="00000000" w:rsidRPr="00000000" w14:paraId="000000E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secuencias no etiquetadas. Aprovechando la información que aportan estas secuencias, se pretende mejorar las tasas de predicción en situaciones donde la</w:t>
      </w:r>
    </w:p>
    <w:p w:rsidR="00000000" w:rsidDel="00000000" w:rsidP="00000000" w:rsidRDefault="00000000" w:rsidRPr="00000000" w14:paraId="000000E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cantidad de ejemplos es baja o cuando no son representativos de sus respectivas clases.</w:t>
      </w:r>
    </w:p>
    <w:p w:rsidR="00000000" w:rsidDel="00000000" w:rsidP="00000000" w:rsidRDefault="00000000" w:rsidRPr="00000000" w14:paraId="000000E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Durante la última década, una de las áreas más activas en el aprendizaje semi-supervisado ha sido la de los métodos basados en grafos, donde cada nodo</w:t>
      </w:r>
    </w:p>
    <w:p w:rsidR="00000000" w:rsidDel="00000000" w:rsidP="00000000" w:rsidRDefault="00000000" w:rsidRPr="00000000" w14:paraId="000000E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un punto de datos, y un borde conecta nodos si son de alguna manera similares. Luego, utilizando los nodos etiquetados, se obtienen etiquetas</w:t>
      </w:r>
    </w:p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pronosticadas para el resto de los nodos sin etiqueta. Estos métodos han mostrado buenas tasas de predicción \citep{joachims2003transductive} y han podido</w:t>
      </w:r>
    </w:p>
    <w:p w:rsidR="00000000" w:rsidDel="00000000" w:rsidP="00000000" w:rsidRDefault="00000000" w:rsidRPr="00000000" w14:paraId="000000F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manejar grandes volúmenes de datos. Por este motivo se ha elegido este tipo de métodos para atacar el problema de predicción de microARNs en genomas</w:t>
      </w:r>
    </w:p>
    <w:p w:rsidR="00000000" w:rsidDel="00000000" w:rsidP="00000000" w:rsidRDefault="00000000" w:rsidRPr="00000000" w14:paraId="000000F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completos. Se ha desarrollado un nuevo algoritmo de predicción de este tipo que tiene en cuenta las características particulares del problema: a) grandes</w:t>
      </w:r>
    </w:p>
    <w:p w:rsidR="00000000" w:rsidDel="00000000" w:rsidP="00000000" w:rsidRDefault="00000000" w:rsidRPr="00000000" w14:paraId="000000F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volúmenes de datos; b) desbalance de clases muy alto; c) clase negativa mal representada o directamente ausencia de ejemplos negativos. A continuación se</w:t>
      </w:r>
    </w:p>
    <w:p w:rsidR="00000000" w:rsidDel="00000000" w:rsidP="00000000" w:rsidRDefault="00000000" w:rsidRPr="00000000" w14:paraId="000000F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describe el proceso general.</w:t>
      </w:r>
    </w:p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%****************************************************************************************</w:t>
      </w:r>
    </w:p>
    <w:p w:rsidR="00000000" w:rsidDel="00000000" w:rsidP="00000000" w:rsidRDefault="00000000" w:rsidRPr="00000000" w14:paraId="000000F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\begin{figure}[tpb]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F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\includegraphics[width=\linewidth]{fig/workflow.eps}</w:t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\caption[Evolución del grafo]{evolución del grafo, el vector de etiquetas y el vector de puntajes de predicción en los 4 pasos del método propuesto: a) Construcción de grafo; b)</w:t>
      </w:r>
    </w:p>
    <w:p w:rsidR="00000000" w:rsidDel="00000000" w:rsidP="00000000" w:rsidRDefault="00000000" w:rsidRPr="00000000" w14:paraId="000000F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inicialización de conjunto negativo; c) Estimación de puntajes de predicción; d) optimización del umbral.}</w:t>
      </w:r>
    </w:p>
    <w:p w:rsidR="00000000" w:rsidDel="00000000" w:rsidP="00000000" w:rsidRDefault="00000000" w:rsidRPr="00000000" w14:paraId="000000F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\label{fig:workflow}</w:t>
      </w:r>
    </w:p>
    <w:p w:rsidR="00000000" w:rsidDel="00000000" w:rsidP="00000000" w:rsidRDefault="00000000" w:rsidRPr="00000000" w14:paraId="000000F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F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%****************************************************************************************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MiRNAss recibe como entrada un conjunto de vectores de características $m$-dimensional $\mathbf{x}_{i}$, que representan secuencias, y un vector</w:t>
      </w:r>
    </w:p>
    <w:p w:rsidR="00000000" w:rsidDel="00000000" w:rsidP="00000000" w:rsidRDefault="00000000" w:rsidRPr="00000000" w14:paraId="000001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correspondiente de etiquetas $\Bell$. El elemento $i$-th en el vector de etiquetas tiene un valor positivo $\gamma_{+}$ si la secuencia $i$-th es un pre-miARN</w:t>
      </w:r>
    </w:p>
    <w:p w:rsidR="00000000" w:rsidDel="00000000" w:rsidP="00000000" w:rsidRDefault="00000000" w:rsidRPr="00000000" w14:paraId="000001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conocido, un valor negativo $\gamma_{-}$ si no es un pre-miARN, y cero si es una secuencia desconocida que debe ser clasificada por el método. El método</w:t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tiene cuatro pasos: 1) construcción de un grafo donde cada nodo representa una secuencia; 2) buscar ejemplos negativos, si no se proporcionan; 3) estimación</w:t>
      </w:r>
    </w:p>
    <w:p w:rsidR="00000000" w:rsidDel="00000000" w:rsidP="00000000" w:rsidRDefault="00000000" w:rsidRPr="00000000" w14:paraId="000001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los puntajes de predicción para cada nodo en el grafo; y 4) estimación de un umbral óptimo para finalmente separar las secuencias en dos clases. Cada</w:t>
      </w:r>
    </w:p>
    <w:p w:rsidR="00000000" w:rsidDel="00000000" w:rsidP="00000000" w:rsidRDefault="00000000" w:rsidRPr="00000000" w14:paraId="000001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paso se explica en detalle en las siguientes subsecciones.</w:t>
      </w:r>
    </w:p>
    <w:p w:rsidR="00000000" w:rsidDel="00000000" w:rsidP="00000000" w:rsidRDefault="00000000" w:rsidRPr="00000000" w14:paraId="000001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Figura~\ref{fig:workflow} muestra un ejemplo de la evolución del método. En este ejemplo, 15 secuencias son verdaderos pre-miARN y el resto son secuencias</w:t>
      </w:r>
    </w:p>
    <w:p w:rsidR="00000000" w:rsidDel="00000000" w:rsidP="00000000" w:rsidRDefault="00000000" w:rsidRPr="00000000" w14:paraId="000001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 pre-miARN. En la Figura.~\ref{fig:workflow}.a, el grafo se construye y se asignan los valores iniciales a $\Bell$: valores positivos ($\gamma_{+}$) a los</w:t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conocidos de pre-miARNs. En la Figura.~\ref{fig:workflow} .b, algunos nodos que están topológicamente lejos de los ejemplos positivos se etiquetan como</w:t>
      </w:r>
    </w:p>
    <w:p w:rsidR="00000000" w:rsidDel="00000000" w:rsidP="00000000" w:rsidRDefault="00000000" w:rsidRPr="00000000" w14:paraId="000001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negativos ($\gamma_{-}$). Los nodos del grafo están coloreados de acuerdo con los valores en el vector $\Bell$. En la Figura.~\ref{fig:workflow}.c,</w:t>
      </w:r>
    </w:p>
    <w:p w:rsidR="00000000" w:rsidDel="00000000" w:rsidP="00000000" w:rsidRDefault="00000000" w:rsidRPr="00000000" w14:paraId="000001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puntajes de predicción se estiman para todas las secuencias, teniendo en cuenta que: i) tienen que ser suaves; es decir, las secuencias topológicamente</w:t>
      </w:r>
    </w:p>
    <w:p w:rsidR="00000000" w:rsidDel="00000000" w:rsidP="00000000" w:rsidRDefault="00000000" w:rsidRPr="00000000" w14:paraId="000001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cercanas en el gráfico deben tener puntajes de predicción similares; y ii) los puntajes tienen que ser similares a los valores distintos de cero dados en el</w:t>
      </w:r>
    </w:p>
    <w:p w:rsidR="00000000" w:rsidDel="00000000" w:rsidP="00000000" w:rsidRDefault="00000000" w:rsidRPr="00000000" w14:paraId="000001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vector de etiqueta $\Bell$. Finalmente, usando los puntajes de predicción asignados a los ejemplos marcados, se estima un umbral óptimo para separar los</w:t>
      </w:r>
    </w:p>
    <w:p w:rsidR="00000000" w:rsidDel="00000000" w:rsidP="00000000" w:rsidRDefault="00000000" w:rsidRPr="00000000" w14:paraId="000001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pre-miARN de las otras secuencias. Las secuencias que pasan el umbral están coloreadas en verde; el resto, en rojo.</w:t>
      </w:r>
    </w:p>
    <w:p w:rsidR="00000000" w:rsidDel="00000000" w:rsidP="00000000" w:rsidRDefault="00000000" w:rsidRPr="00000000" w14:paraId="000001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\subsection{Construcción del grafo}</w:t>
      </w:r>
    </w:p>
    <w:p w:rsidR="00000000" w:rsidDel="00000000" w:rsidP="00000000" w:rsidRDefault="00000000" w:rsidRPr="00000000" w14:paraId="000001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construir el grafo, donde cada nodo representa una secuencia y cada arista une dos nodos si las secuencias son similares en el espacio de las</w:t>
      </w:r>
    </w:p>
    <w:p w:rsidR="00000000" w:rsidDel="00000000" w:rsidP="00000000" w:rsidRDefault="00000000" w:rsidRPr="00000000" w14:paraId="000001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características. Para medir la similaridad se utiliza la distancia euclidiana entre los vectores de características. Si una característica no ayuda</w:t>
      </w:r>
    </w:p>
    <w:p w:rsidR="00000000" w:rsidDel="00000000" w:rsidP="00000000" w:rsidRDefault="00000000" w:rsidRPr="00000000" w14:paraId="000001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realmente a discriminar entre clases, puede empeorar el rendimiento del clasificador. Por lo tanto, es importante preprocesar los vectores de características</w:t>
      </w:r>
    </w:p>
    <w:p w:rsidR="00000000" w:rsidDel="00000000" w:rsidP="00000000" w:rsidRDefault="00000000" w:rsidRPr="00000000" w14:paraId="000001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ponderar adecuadamente cada característica de acuerdo con su poder de predicción. Un algoritmo que ha demostrado mejorar los resultados en</w:t>
      </w:r>
    </w:p>
    <w:p w:rsidR="00000000" w:rsidDel="00000000" w:rsidP="00000000" w:rsidRDefault="00000000" w:rsidRPr="00000000" w14:paraId="000001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clasificadores que son sensibles a la función de distancia es el algoritmo RELIEF-F \citep{kononenko1994estimating, wettschereck1997review}. Además, es</w:t>
      </w:r>
    </w:p>
    <w:p w:rsidR="00000000" w:rsidDel="00000000" w:rsidP="00000000" w:rsidRDefault="00000000" w:rsidRPr="00000000" w14:paraId="000001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computacionalmente eficiente y puede usarse para grandes volúmenes de datos.</w:t>
      </w:r>
    </w:p>
    <w:p w:rsidR="00000000" w:rsidDel="00000000" w:rsidP="00000000" w:rsidRDefault="00000000" w:rsidRPr="00000000" w14:paraId="000001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Funciona de la siguiente manera: comenzando con un vector de pesos con $m$ ceros, para cada ejemplo busca el ejemplo más cercano de la misma clase y el</w:t>
      </w:r>
    </w:p>
    <w:p w:rsidR="00000000" w:rsidDel="00000000" w:rsidP="00000000" w:rsidRDefault="00000000" w:rsidRPr="00000000" w14:paraId="000001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 más cercano que pertenezca a la otra clase. Luego, aumenta los pesos de las características que son similares al ejemplo de la misma clase y</w:t>
      </w:r>
    </w:p>
    <w:p w:rsidR="00000000" w:rsidDel="00000000" w:rsidP="00000000" w:rsidRDefault="00000000" w:rsidRPr="00000000" w14:paraId="000001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diferente al ejemplo de la otra clase. Por el contrario, se reducen los pesos de las características que son diferentes al ejemplo de la misma clase o similar</w:t>
      </w:r>
    </w:p>
    <w:p w:rsidR="00000000" w:rsidDel="00000000" w:rsidP="00000000" w:rsidRDefault="00000000" w:rsidRPr="00000000" w14:paraId="000001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 ejemplo de la otra clase. El resultado se llama vector de relevancia y tiene valores altos para las características más discriminativas. Si la relevancia</w:t>
      </w:r>
    </w:p>
    <w:p w:rsidR="00000000" w:rsidDel="00000000" w:rsidP="00000000" w:rsidRDefault="00000000" w:rsidRPr="00000000" w14:paraId="000001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una característica es negativa, no ayuda a discriminar entre clases; por lo tanto puede ser eliminada. El resto de las características se escala por su</w:t>
      </w:r>
    </w:p>
    <w:p w:rsidR="00000000" w:rsidDel="00000000" w:rsidP="00000000" w:rsidRDefault="00000000" w:rsidRPr="00000000" w14:paraId="000001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puntaje de relevancia para dar más peso a las más discriminativas.</w:t>
      </w:r>
    </w:p>
    <w:p w:rsidR="00000000" w:rsidDel="00000000" w:rsidP="00000000" w:rsidRDefault="00000000" w:rsidRPr="00000000" w14:paraId="000001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la construcción del grafo, una opción común es el algoritmo de $k$-vecinos más cercanos (KNN), dado que es simple, rápido, eficiente en uso de</w:t>
      </w:r>
    </w:p>
    <w:p w:rsidR="00000000" w:rsidDel="00000000" w:rsidP="00000000" w:rsidRDefault="00000000" w:rsidRPr="00000000" w14:paraId="000001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memoria y fácilmente paralelizable. KNN construye una matriz de adyacencia ponderada por similitud con elementos</w:t>
      </w:r>
    </w:p>
    <w:p w:rsidR="00000000" w:rsidDel="00000000" w:rsidP="00000000" w:rsidRDefault="00000000" w:rsidRPr="00000000" w14:paraId="000001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2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a_{ij} =</w:t>
      </w:r>
    </w:p>
    <w:p w:rsidR="00000000" w:rsidDel="00000000" w:rsidP="00000000" w:rsidRDefault="00000000" w:rsidRPr="00000000" w14:paraId="0000012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\begin{cases}</w:t>
      </w:r>
    </w:p>
    <w:p w:rsidR="00000000" w:rsidDel="00000000" w:rsidP="00000000" w:rsidRDefault="00000000" w:rsidRPr="00000000" w14:paraId="0000012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\frac{\mu}{\mu + ||\mathbf{x}_{i} - \mathbf{x}_{j}||^2} &amp; \text{si} \ \mathbf{x}_{j} \in  \mathcal{K}(\mathbf{x}_{i}) \ \text{y} \ \ell_{i}</w:t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\ell_{j} \geq 0 \\</w:t>
      </w:r>
    </w:p>
    <w:p w:rsidR="00000000" w:rsidDel="00000000" w:rsidP="00000000" w:rsidRDefault="00000000" w:rsidRPr="00000000" w14:paraId="0000012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0 &amp; \text{en otro caso,} \\</w:t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\end{cases}</w:t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$\mathbf{x}_{i}$ es el vector de características correspondiente a la secuencia $i$-th, $\mathcal{K} (\mathbf{x}_{i})$ es el conjunto de los</w:t>
      </w:r>
    </w:p>
    <w:p w:rsidR="00000000" w:rsidDel="00000000" w:rsidP="00000000" w:rsidRDefault="00000000" w:rsidRPr="00000000" w14:paraId="000001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$k$ vecinos más cercanos de $\mathbf{x}_{i}$, y $\mu$ es la media de las distancias entre las secuencias conectadas y se  utiliza para normalizar los pesos de</w:t>
      </w:r>
    </w:p>
    <w:p w:rsidR="00000000" w:rsidDel="00000000" w:rsidP="00000000" w:rsidRDefault="00000000" w:rsidRPr="00000000" w14:paraId="000001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aristas.</w:t>
      </w:r>
    </w:p>
    <w:p w:rsidR="00000000" w:rsidDel="00000000" w:rsidP="00000000" w:rsidRDefault="00000000" w:rsidRPr="00000000" w14:paraId="000001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\subsection{Búsqueda de ejemplos negativos}</w:t>
      </w:r>
    </w:p>
    <w:p w:rsidR="00000000" w:rsidDel="00000000" w:rsidP="00000000" w:rsidRDefault="00000000" w:rsidRPr="00000000" w14:paraId="000001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\renewcommand{\algorithmicrequire}{\textbf{Entrada:}}</w:t>
      </w:r>
    </w:p>
    <w:p w:rsidR="00000000" w:rsidDel="00000000" w:rsidP="00000000" w:rsidRDefault="00000000" w:rsidRPr="00000000" w14:paraId="0000013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\renewcommand{\algorithmicensure}{\textbf{Salida:}}</w:t>
      </w:r>
    </w:p>
    <w:p w:rsidR="00000000" w:rsidDel="00000000" w:rsidP="00000000" w:rsidRDefault="00000000" w:rsidRPr="00000000" w14:paraId="000001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\renewcommand{\algorithmicrepeat}{\textbf{repetir}}</w:t>
      </w:r>
    </w:p>
    <w:p w:rsidR="00000000" w:rsidDel="00000000" w:rsidP="00000000" w:rsidRDefault="00000000" w:rsidRPr="00000000" w14:paraId="0000013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\renewcommand{\algorithmicuntil}{\textbf{mientras}}</w:t>
      </w:r>
    </w:p>
    <w:p w:rsidR="00000000" w:rsidDel="00000000" w:rsidP="00000000" w:rsidRDefault="00000000" w:rsidRPr="00000000" w14:paraId="000001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\renewcommand{\algorithmicreturn}{\textbf{delvolver}}</w:t>
      </w:r>
    </w:p>
    <w:p w:rsidR="00000000" w:rsidDel="00000000" w:rsidP="00000000" w:rsidRDefault="00000000" w:rsidRPr="00000000" w14:paraId="000001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\begin{algorithm}[tpb]</w:t>
      </w:r>
    </w:p>
    <w:p w:rsidR="00000000" w:rsidDel="00000000" w:rsidP="00000000" w:rsidRDefault="00000000" w:rsidRPr="00000000" w14:paraId="0000013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\caption{Búsqueda automática de ejemplos negativos}</w:t>
      </w:r>
    </w:p>
    <w:p w:rsidR="00000000" w:rsidDel="00000000" w:rsidP="00000000" w:rsidRDefault="00000000" w:rsidRPr="00000000" w14:paraId="0000013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\label{algNS}</w:t>
      </w:r>
    </w:p>
    <w:p w:rsidR="00000000" w:rsidDel="00000000" w:rsidP="00000000" w:rsidRDefault="00000000" w:rsidRPr="00000000" w14:paraId="0000013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\begin{algorithmic}[1]</w:t>
      </w:r>
    </w:p>
    <w:p w:rsidR="00000000" w:rsidDel="00000000" w:rsidP="00000000" w:rsidRDefault="00000000" w:rsidRPr="00000000" w14:paraId="0000013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\REQUIRE{matriz de adyacencia $A$, vector de etiquetas $\Bell$ con ceros y valores positivos únicamente, número de ejemplos negativos a etiquetar $T$.}</w:t>
      </w:r>
    </w:p>
    <w:p w:rsidR="00000000" w:rsidDel="00000000" w:rsidP="00000000" w:rsidRDefault="00000000" w:rsidRPr="00000000" w14:paraId="0000013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\ENSURE{el vector $\Bell$ con $T$ etiquetas negativas asignadas.}</w:t>
      </w:r>
    </w:p>
    <w:p w:rsidR="00000000" w:rsidDel="00000000" w:rsidP="00000000" w:rsidRDefault="00000000" w:rsidRPr="00000000" w14:paraId="0000013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\STATE{$s_{i} = \begin{cases}</w:t>
      </w:r>
    </w:p>
    <w:p w:rsidR="00000000" w:rsidDel="00000000" w:rsidP="00000000" w:rsidRDefault="00000000" w:rsidRPr="00000000" w14:paraId="0000013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1 &amp; \text{si} \quad \ell_{i} &gt; 0 \\</w:t>
      </w:r>
    </w:p>
    <w:p w:rsidR="00000000" w:rsidDel="00000000" w:rsidP="00000000" w:rsidRDefault="00000000" w:rsidRPr="00000000" w14:paraId="0000013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0 &amp; \text{en otro caso} \\</w:t>
      </w:r>
    </w:p>
    <w:p w:rsidR="00000000" w:rsidDel="00000000" w:rsidP="00000000" w:rsidRDefault="00000000" w:rsidRPr="00000000" w14:paraId="0000013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\end{cases}$}</w:t>
      </w:r>
    </w:p>
    <w:p w:rsidR="00000000" w:rsidDel="00000000" w:rsidP="00000000" w:rsidRDefault="00000000" w:rsidRPr="00000000" w14:paraId="0000014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\REPEAT</w:t>
      </w:r>
    </w:p>
    <w:p w:rsidR="00000000" w:rsidDel="00000000" w:rsidP="00000000" w:rsidRDefault="00000000" w:rsidRPr="00000000" w14:paraId="0000014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\STATE{$s_{i} = \max_{\forall j \neq i}\limits \, \{s_{i}, a_{ij} s_{j} \}, \quad \forall i$}</w:t>
      </w:r>
    </w:p>
    <w:p w:rsidR="00000000" w:rsidDel="00000000" w:rsidP="00000000" w:rsidRDefault="00000000" w:rsidRPr="00000000" w14:paraId="0000014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\UNTIL{no hay cambios en $\mathbf{s}$}</w:t>
      </w:r>
    </w:p>
    <w:p w:rsidR="00000000" w:rsidDel="00000000" w:rsidP="00000000" w:rsidRDefault="00000000" w:rsidRPr="00000000" w14:paraId="0000014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\STATE{$p_i=e^{1-s_i}-1,\quad \forall i$}</w:t>
      </w:r>
    </w:p>
    <w:p w:rsidR="00000000" w:rsidDel="00000000" w:rsidP="00000000" w:rsidRDefault="00000000" w:rsidRPr="00000000" w14:paraId="0000014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\STATE{Muestrear $T$ elementos de $\Bell$ usando $\mathbf{p}$ como pesos para la selección}</w:t>
      </w:r>
    </w:p>
    <w:p w:rsidR="00000000" w:rsidDel="00000000" w:rsidP="00000000" w:rsidRDefault="00000000" w:rsidRPr="00000000" w14:paraId="0000014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\STATE{Etiquetar elementos elegidos como clase negativa}</w:t>
      </w:r>
    </w:p>
    <w:p w:rsidR="00000000" w:rsidDel="00000000" w:rsidP="00000000" w:rsidRDefault="00000000" w:rsidRPr="00000000" w14:paraId="0000014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\RETURN $\Bell$</w:t>
      </w:r>
    </w:p>
    <w:p w:rsidR="00000000" w:rsidDel="00000000" w:rsidP="00000000" w:rsidRDefault="00000000" w:rsidRPr="00000000" w14:paraId="0000014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\end{algorithmic}</w:t>
      </w:r>
    </w:p>
    <w:p w:rsidR="00000000" w:rsidDel="00000000" w:rsidP="00000000" w:rsidRDefault="00000000" w:rsidRPr="00000000" w14:paraId="0000014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\end{algorithm}</w:t>
      </w:r>
    </w:p>
    <w:p w:rsidR="00000000" w:rsidDel="00000000" w:rsidP="00000000" w:rsidRDefault="00000000" w:rsidRPr="00000000" w14:paraId="0000014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 solo se cuenta con ejemplos positivos, la matriz de adyacencia se puede utilizar para etiquetar un conjunto de secuencias como ejemplos negativos. La idea</w:t>
      </w:r>
    </w:p>
    <w:p w:rsidR="00000000" w:rsidDel="00000000" w:rsidP="00000000" w:rsidRDefault="00000000" w:rsidRPr="00000000" w14:paraId="0000014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clave es seleccionar aleatoriamente algunas secuencias sin etiqueta entre las más disímiles de los ejemplos positivos. De esta forma, la probabilidad de</w:t>
      </w:r>
    </w:p>
    <w:p w:rsidR="00000000" w:rsidDel="00000000" w:rsidP="00000000" w:rsidRDefault="00000000" w:rsidRPr="00000000" w14:paraId="000001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etiquetar incorrectamente un pre-miARN bien conocido como un ejemplo negativo será baja. Para ello, se calcula una medida de la similitud de cada secuencia</w:t>
      </w:r>
    </w:p>
    <w:p w:rsidR="00000000" w:rsidDel="00000000" w:rsidP="00000000" w:rsidRDefault="00000000" w:rsidRPr="00000000" w14:paraId="000001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 los ejemplos positivos utilizando la distancia topológica. Este vector de similitud, llamado $\mathbf{s}$, se inicializa con $+1$ en los elementos</w:t>
      </w:r>
    </w:p>
    <w:p w:rsidR="00000000" w:rsidDel="00000000" w:rsidP="00000000" w:rsidRDefault="00000000" w:rsidRPr="00000000" w14:paraId="0000014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correspondientes a ejemplos positivos. Los nodos sin etiqueta se inicializan con $0$. Entonces, se puede usar un método iterativo para actualizar las</w:t>
      </w:r>
    </w:p>
    <w:p w:rsidR="00000000" w:rsidDel="00000000" w:rsidP="00000000" w:rsidRDefault="00000000" w:rsidRPr="00000000" w14:paraId="0000014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similitudes en $\mathbf{s}$ (ver Algoritmo~\ref{algNS}). En cada iteración y para cada nodo, el valor de similitud correspondiente de cada vecino se</w:t>
      </w:r>
    </w:p>
    <w:p w:rsidR="00000000" w:rsidDel="00000000" w:rsidP="00000000" w:rsidRDefault="00000000" w:rsidRPr="00000000" w14:paraId="0000015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multiplica por los pesos de aristas correspondientes que los conectan. El valor máximo de los resultados obtenidos para cada vecino se compara luego con el</w:t>
      </w:r>
    </w:p>
    <w:p w:rsidR="00000000" w:rsidDel="00000000" w:rsidP="00000000" w:rsidRDefault="00000000" w:rsidRPr="00000000" w14:paraId="0000015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valor de similitud actual del nodo. Si es más alto, se actualiza el valor de similitud del nodo. Cuando no hay más cambios en $\mathbf{s}$, se seleccionan</w:t>
      </w:r>
    </w:p>
    <w:p w:rsidR="00000000" w:rsidDel="00000000" w:rsidP="00000000" w:rsidRDefault="00000000" w:rsidRPr="00000000" w14:paraId="0000015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$T$ secuencias de forma aleatoria usando como probabilidad de selección $p_{i} = e^{1 - s_{i}} -1$ y se etiquetan como ejemplos negativos.</w:t>
      </w:r>
    </w:p>
    <w:p w:rsidR="00000000" w:rsidDel="00000000" w:rsidP="00000000" w:rsidRDefault="00000000" w:rsidRPr="00000000" w14:paraId="000001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\subsection{Estimación de puntajes de predicción}</w:t>
      </w:r>
    </w:p>
    <w:p w:rsidR="00000000" w:rsidDel="00000000" w:rsidP="00000000" w:rsidRDefault="00000000" w:rsidRPr="00000000" w14:paraId="000001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el tercer paso, los puntajes de predicción se calculan resolviendo un problema de optimización \citep{joachims2003transductive}. Como se dijo</w:t>
      </w:r>
    </w:p>
    <w:p w:rsidR="00000000" w:rsidDel="00000000" w:rsidP="00000000" w:rsidRDefault="00000000" w:rsidRPr="00000000" w14:paraId="000001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anteriormente, se deben considerar dos puntos: i) los puntajes de predicción deben ser topológicamente suaves; y ii) las predicciones deben ser similares a</w:t>
      </w:r>
    </w:p>
    <w:p w:rsidR="00000000" w:rsidDel="00000000" w:rsidP="00000000" w:rsidRDefault="00000000" w:rsidRPr="00000000" w14:paraId="0000015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etiquetas conocidas. Para suavizar la predicción, se minimiza el cuadrado de las diferencias entre las puntuaciones de predicción de las secuencias</w:t>
      </w:r>
    </w:p>
    <w:p w:rsidR="00000000" w:rsidDel="00000000" w:rsidP="00000000" w:rsidRDefault="00000000" w:rsidRPr="00000000" w14:paraId="000001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adyacentes. Una representación conveniente para calcular fácilmente estas diferencias es el laplaciano normalizado del grafo \citep{shi2000normalized}, definido</w:t>
      </w:r>
    </w:p>
    <w:p w:rsidR="00000000" w:rsidDel="00000000" w:rsidP="00000000" w:rsidRDefault="00000000" w:rsidRPr="00000000" w14:paraId="0000015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</w:t>
      </w:r>
    </w:p>
    <w:p w:rsidR="00000000" w:rsidDel="00000000" w:rsidP="00000000" w:rsidRDefault="00000000" w:rsidRPr="00000000" w14:paraId="0000015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\begin{equation*}</w:t>
      </w:r>
    </w:p>
    <w:p w:rsidR="00000000" w:rsidDel="00000000" w:rsidP="00000000" w:rsidRDefault="00000000" w:rsidRPr="00000000" w14:paraId="0000015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L=I-D^{-1/2}AD^{-1/2}</w:t>
      </w:r>
    </w:p>
    <w:p w:rsidR="00000000" w:rsidDel="00000000" w:rsidP="00000000" w:rsidRDefault="00000000" w:rsidRPr="00000000" w14:paraId="000001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\end{equation*}</w:t>
      </w:r>
    </w:p>
    <w:p w:rsidR="00000000" w:rsidDel="00000000" w:rsidP="00000000" w:rsidRDefault="00000000" w:rsidRPr="00000000" w14:paraId="000001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</w:t>
      </w:r>
    </w:p>
    <w:p w:rsidR="00000000" w:rsidDel="00000000" w:rsidP="00000000" w:rsidRDefault="00000000" w:rsidRPr="00000000" w14:paraId="0000016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\begin{equation*}</w:t>
      </w:r>
    </w:p>
    <w:p w:rsidR="00000000" w:rsidDel="00000000" w:rsidP="00000000" w:rsidRDefault="00000000" w:rsidRPr="00000000" w14:paraId="0000016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D_{ij} =</w:t>
      </w:r>
    </w:p>
    <w:p w:rsidR="00000000" w:rsidDel="00000000" w:rsidP="00000000" w:rsidRDefault="00000000" w:rsidRPr="00000000" w14:paraId="0000016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\begin{cases}</w:t>
      </w:r>
    </w:p>
    <w:p w:rsidR="00000000" w:rsidDel="00000000" w:rsidP="00000000" w:rsidRDefault="00000000" w:rsidRPr="00000000" w14:paraId="0000016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\sum_{k=0}^n A_{ik} &amp; \text{si } i=j \\</w:t>
      </w:r>
    </w:p>
    <w:p w:rsidR="00000000" w:rsidDel="00000000" w:rsidP="00000000" w:rsidRDefault="00000000" w:rsidRPr="00000000" w14:paraId="0000016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0 &amp; \text{en otro caso} \\</w:t>
      </w:r>
    </w:p>
    <w:p w:rsidR="00000000" w:rsidDel="00000000" w:rsidP="00000000" w:rsidRDefault="00000000" w:rsidRPr="00000000" w14:paraId="0000016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\end{cases}</w:t>
      </w:r>
    </w:p>
    <w:p w:rsidR="00000000" w:rsidDel="00000000" w:rsidP="00000000" w:rsidRDefault="00000000" w:rsidRPr="00000000" w14:paraId="000001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\end{equation*}</w:t>
      </w:r>
    </w:p>
    <w:p w:rsidR="00000000" w:rsidDel="00000000" w:rsidP="00000000" w:rsidRDefault="00000000" w:rsidRPr="00000000" w14:paraId="000001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Laplaciano tiene una propiedad útil para medir la suavidad de la solución. Supongamos $\mathbf{z} \in \mathbb{R} ^ N$, con una predicción para cada nodo</w:t>
      </w:r>
    </w:p>
    <w:p w:rsidR="00000000" w:rsidDel="00000000" w:rsidP="00000000" w:rsidRDefault="00000000" w:rsidRPr="00000000" w14:paraId="000001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gráfico. Entonces,</w:t>
      </w:r>
    </w:p>
    <w:p w:rsidR="00000000" w:rsidDel="00000000" w:rsidP="00000000" w:rsidRDefault="00000000" w:rsidRPr="00000000" w14:paraId="000001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6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\begin{split}</w:t>
      </w:r>
    </w:p>
    <w:p w:rsidR="00000000" w:rsidDel="00000000" w:rsidP="00000000" w:rsidRDefault="00000000" w:rsidRPr="00000000" w14:paraId="0000016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\mathbf{z}^T L \mathbf{z} &amp; = \mathbf{z}^T I \mathbf{z} - \mathbf{z}^T {D^{-1/2}}^T A D^{-1/2} \mathbf{z} = \\</w:t>
      </w:r>
    </w:p>
    <w:p w:rsidR="00000000" w:rsidDel="00000000" w:rsidP="00000000" w:rsidRDefault="00000000" w:rsidRPr="00000000" w14:paraId="0000017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&amp; = \sum_{i}^{n} z_{i}^{2} -  \sum_{i}^{n}  \sum_{j}^{n} \frac{z_{i}}{\sqrt{d_{ii}}} \frac{z_{j}}{\sqrt{d_{jj}}}</w:t>
      </w:r>
    </w:p>
    <w:p w:rsidR="00000000" w:rsidDel="00000000" w:rsidP="00000000" w:rsidRDefault="00000000" w:rsidRPr="00000000" w14:paraId="0000017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a_{ij} = \\</w:t>
      </w:r>
    </w:p>
    <w:p w:rsidR="00000000" w:rsidDel="00000000" w:rsidP="00000000" w:rsidRDefault="00000000" w:rsidRPr="00000000" w14:paraId="0000017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&amp; = \frac{1}{2} \sum_{i}^{n} \sum_{j}^{n} a_{ij} \left(\frac{z_{i}}{ \sqrt{d_{ii}}} - \frac{z_{j}}{\sqrt{d_{jj}}}</w:t>
      </w:r>
    </w:p>
    <w:p w:rsidR="00000000" w:rsidDel="00000000" w:rsidP="00000000" w:rsidRDefault="00000000" w:rsidRPr="00000000" w14:paraId="0000017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\right)^{2}.</w:t>
      </w:r>
    </w:p>
    <w:p w:rsidR="00000000" w:rsidDel="00000000" w:rsidP="00000000" w:rsidRDefault="00000000" w:rsidRPr="00000000" w14:paraId="0000017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\end{split}</w:t>
      </w:r>
    </w:p>
    <w:p w:rsidR="00000000" w:rsidDel="00000000" w:rsidP="00000000" w:rsidRDefault="00000000" w:rsidRPr="00000000" w14:paraId="0000017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Esta última expresión muestra que $\mathbf {z} ^ T L \mathbf {z}$ mide la diferencia al cuadrado entre las predicciones $z_{i}$ y $z_{j}$,</w:t>
      </w:r>
    </w:p>
    <w:p w:rsidR="00000000" w:rsidDel="00000000" w:rsidP="00000000" w:rsidRDefault="00000000" w:rsidRPr="00000000" w14:paraId="000001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ponderados por $a_{ij} $. Si las secuencias $ i $ y $ j $ son similares, y por lo tanto $ a_{ij} $ tiene un valor relativamente alto, cualquier diferencia</w:t>
      </w:r>
    </w:p>
    <w:p w:rsidR="00000000" w:rsidDel="00000000" w:rsidP="00000000" w:rsidRDefault="00000000" w:rsidRPr="00000000" w14:paraId="000001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entre las dos predicciones tendrá un alto costo. Si no hay arista que conecte las dos secuencias, $a_{ij} = 0 $ y la diferencia entre las predicciones se</w:t>
      </w:r>
    </w:p>
    <w:p w:rsidR="00000000" w:rsidDel="00000000" w:rsidP="00000000" w:rsidRDefault="00000000" w:rsidRPr="00000000" w14:paraId="0000017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ignora. Además, se debe tener en cuenta que las predicciones se ponderan por el inverso de la raíz cuadrada del grado del nodo. Como resultado, los nodos con</w:t>
      </w:r>
    </w:p>
    <w:p w:rsidR="00000000" w:rsidDel="00000000" w:rsidP="00000000" w:rsidRDefault="00000000" w:rsidRPr="00000000" w14:paraId="000001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grado pequeño se consideran tan importantes como los nodos altamente conectados.</w:t>
      </w:r>
    </w:p>
    <w:p w:rsidR="00000000" w:rsidDel="00000000" w:rsidP="00000000" w:rsidRDefault="00000000" w:rsidRPr="00000000" w14:paraId="000001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minimizar la inconsistencia entre las predicciones y las etiquetas conocidas, también se requiere la diferencia cuadrada entre las predicciones y las</w:t>
      </w:r>
    </w:p>
    <w:p w:rsidR="00000000" w:rsidDel="00000000" w:rsidP="00000000" w:rsidRDefault="00000000" w:rsidRPr="00000000" w14:paraId="000001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etiquetas distintas de cero en $\Bell $. Por lo tanto, la función objetivo tiene dos términos: el primer término mide la falta de suavidad de la solución</w:t>
      </w:r>
    </w:p>
    <w:p w:rsidR="00000000" w:rsidDel="00000000" w:rsidP="00000000" w:rsidRDefault="00000000" w:rsidRPr="00000000" w14:paraId="000001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usando la matriz laplaciana normalizada (componente no supervisada del aprendizaje), y el segundo término es la diferencia al cuadrado entre predicciones y</w:t>
      </w:r>
    </w:p>
    <w:p w:rsidR="00000000" w:rsidDel="00000000" w:rsidP="00000000" w:rsidRDefault="00000000" w:rsidRPr="00000000" w14:paraId="000001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etiquetas distintas de cero en $\Bell$ (componente supervisada). Para aprovechar al máximo el aprendizaje semi-supervisado, no debe haber una gran</w:t>
      </w:r>
    </w:p>
    <w:p w:rsidR="00000000" w:rsidDel="00000000" w:rsidP="00000000" w:rsidRDefault="00000000" w:rsidRPr="00000000" w14:paraId="000001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superposición entre las clases que se separarán. Sin embargo, si este requisito previo no se cumple, el primer término de la función objetivo no tendrá</w:t>
      </w:r>
    </w:p>
    <w:p w:rsidR="00000000" w:rsidDel="00000000" w:rsidP="00000000" w:rsidRDefault="00000000" w:rsidRPr="00000000" w14:paraId="0000018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ningún mínimo importante. Por lo tanto, el segundo término de la ecuación (el supervisado) conducirá la búsqueda. Por lo cual, si no hay una separación</w:t>
      </w:r>
    </w:p>
    <w:p w:rsidR="00000000" w:rsidDel="00000000" w:rsidP="00000000" w:rsidRDefault="00000000" w:rsidRPr="00000000" w14:paraId="0000018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clara entre las clases, el método se comportará de forma similar a cualquier otro método supervisado en las mismas condiciones.</w:t>
      </w:r>
    </w:p>
    <w:p w:rsidR="00000000" w:rsidDel="00000000" w:rsidP="00000000" w:rsidRDefault="00000000" w:rsidRPr="00000000" w14:paraId="0000018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problema de optimización completo se define como</w:t>
      </w:r>
    </w:p>
    <w:p w:rsidR="00000000" w:rsidDel="00000000" w:rsidP="00000000" w:rsidRDefault="00000000" w:rsidRPr="00000000" w14:paraId="0000018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8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\begin{split}</w:t>
      </w:r>
    </w:p>
    <w:p w:rsidR="00000000" w:rsidDel="00000000" w:rsidP="00000000" w:rsidRDefault="00000000" w:rsidRPr="00000000" w14:paraId="0000018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\arg\min_{\mathbf{z}} &amp; \qquad \mathbf{z}^TL\mathbf{z} +c(\mathbf{z}-\Bell)^TC(\mathbf{z}-\Bell) \\</w:t>
      </w:r>
    </w:p>
    <w:p w:rsidR="00000000" w:rsidDel="00000000" w:rsidP="00000000" w:rsidRDefault="00000000" w:rsidRPr="00000000" w14:paraId="0000018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s.t. &amp; \qquad \mathbf{z}^T\mathbf{1} = 0, \mathbf{z}^T\mathbf{z} = n,</w:t>
      </w:r>
    </w:p>
    <w:p w:rsidR="00000000" w:rsidDel="00000000" w:rsidP="00000000" w:rsidRDefault="00000000" w:rsidRPr="00000000" w14:paraId="0000018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\end{split}</w:t>
      </w:r>
    </w:p>
    <w:p w:rsidR="00000000" w:rsidDel="00000000" w:rsidP="00000000" w:rsidRDefault="00000000" w:rsidRPr="00000000" w14:paraId="0000018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la combinación de ambas restricciones evita soluciones triviales. En la primera restricción, se requiere que la suma de los elementos de</w:t>
      </w:r>
    </w:p>
    <w:p w:rsidR="00000000" w:rsidDel="00000000" w:rsidP="00000000" w:rsidRDefault="00000000" w:rsidRPr="00000000" w14:paraId="000001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$\mathbf{z}$ sea cero; es decir, las etiquetas de predicción deben tener tanto valores negativos como positivos. La segunda restricción elimina las versiones</w:t>
      </w:r>
    </w:p>
    <w:p w:rsidR="00000000" w:rsidDel="00000000" w:rsidP="00000000" w:rsidRDefault="00000000" w:rsidRPr="00000000" w14:paraId="000001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escaladas de la solución que, para nuestro propósito, son todas equivalentes.</w:t>
      </w:r>
    </w:p>
    <w:p w:rsidR="00000000" w:rsidDel="00000000" w:rsidP="00000000" w:rsidRDefault="00000000" w:rsidRPr="00000000" w14:paraId="0000019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valores $\ell_{i}$ se establecen en $\gamma_{+}$, $\gamma_{-}$ o cero, dependiendo de si la secuencia $ i $-th es positiva, negativa o desconocida,</w:t>
      </w:r>
    </w:p>
    <w:p w:rsidR="00000000" w:rsidDel="00000000" w:rsidP="00000000" w:rsidRDefault="00000000" w:rsidRPr="00000000" w14:paraId="0000019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respectivamente. Como la función objetivo obliga a los valores de $\mathbf{z}$ a acercarse a $\gamma_{+}$ o $\gamma_{-}$, estas constantes deben definirse de</w:t>
      </w:r>
    </w:p>
    <w:p w:rsidR="00000000" w:rsidDel="00000000" w:rsidP="00000000" w:rsidRDefault="00000000" w:rsidRPr="00000000" w14:paraId="0000019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manera tal que la solución óptima $\mathbf{z}^\star$ pueda satisfacer ambas restricciones del problema. Si $n_{+}$ y $n_{-}$ son los números verdaderos de</w:t>
      </w:r>
    </w:p>
    <w:p w:rsidR="00000000" w:rsidDel="00000000" w:rsidP="00000000" w:rsidRDefault="00000000" w:rsidRPr="00000000" w14:paraId="000001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nodos positivos y negativos en la solución, definiendo $\gamma_{+} = \sqrt{n_{-}/n_{+}}$ y $\gamma_{-}=-\sqrt{n_{+}/n_{-}}$ hace $\mathbf{z}^\star$ satisfacer</w:t>
      </w:r>
    </w:p>
    <w:p w:rsidR="00000000" w:rsidDel="00000000" w:rsidP="00000000" w:rsidRDefault="00000000" w:rsidRPr="00000000" w14:paraId="0000019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ambas restricciones. Esto se puede observar al reemplazar $\mathbf{z}^\star$ en las restricciones y asumiendo que este vector tiene $n_{+}$ elementos iguales a</w:t>
      </w:r>
    </w:p>
    <w:p w:rsidR="00000000" w:rsidDel="00000000" w:rsidP="00000000" w:rsidRDefault="00000000" w:rsidRPr="00000000" w14:paraId="000001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$\gamma_{+}$ y $n_{-}$ iguales a $\gamma_{-}$. Los números $n_{+}$ y $n_{-}$ son generalmente desconocidos, pero se pueden estimar fácilmente a partir de los</w:t>
      </w:r>
    </w:p>
    <w:p w:rsidR="00000000" w:rsidDel="00000000" w:rsidP="00000000" w:rsidRDefault="00000000" w:rsidRPr="00000000" w14:paraId="0000019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disponibles. Si se proporcionan ejemplos positivos y negativos para el entrenamiento, se calculará $n_{+}/n_{-}$ como la proporción de ejemplos</w:t>
      </w:r>
    </w:p>
    <w:p w:rsidR="00000000" w:rsidDel="00000000" w:rsidP="00000000" w:rsidRDefault="00000000" w:rsidRPr="00000000" w14:paraId="000001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dados. Si solo hay ejemplos positivos, $n_{+}$ se estima como el doble del número de secuencias de entrenamiento y $n_{-} = n - n_{+}$. Esta estimación</w:t>
      </w:r>
    </w:p>
    <w:p w:rsidR="00000000" w:rsidDel="00000000" w:rsidP="00000000" w:rsidRDefault="00000000" w:rsidRPr="00000000" w14:paraId="000001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podría mejorarse utilizando el conocimiento del dominio, es decir, utilizando el número esperado de miARNs para una especie determinada; sin embargo, no es</w:t>
      </w:r>
    </w:p>
    <w:p w:rsidR="00000000" w:rsidDel="00000000" w:rsidP="00000000" w:rsidRDefault="00000000" w:rsidRPr="00000000" w14:paraId="000001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necesario ya que el método propuesto no es sensible a estos parámetros (ver Figura~S1 en el Material Suplementario del Anexo~\ref{sec:mirnass}). Por lo tanto,</w:t>
      </w:r>
    </w:p>
    <w:p w:rsidR="00000000" w:rsidDel="00000000" w:rsidP="00000000" w:rsidRDefault="00000000" w:rsidRPr="00000000" w14:paraId="000001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cualquier valor entre el número de secuencias de entrenamiento positivas y cuatro veces este número se puede utilizar sin impacto en el rendimiento. Por defecto,</w:t>
      </w:r>
    </w:p>
    <w:p w:rsidR="00000000" w:rsidDel="00000000" w:rsidP="00000000" w:rsidRDefault="00000000" w:rsidRPr="00000000" w14:paraId="000001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usa el doble del número de secuencias de entrenamiento positivas como valor intermedio.</w:t>
      </w:r>
    </w:p>
    <w:p w:rsidR="00000000" w:rsidDel="00000000" w:rsidP="00000000" w:rsidRDefault="00000000" w:rsidRPr="00000000" w14:paraId="0000019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constante $ c $ en la función objetivo se puede usar para establecer el peso relativo del segundo término en comparación con el primero. Un valor grande</w:t>
      </w:r>
    </w:p>
    <w:p w:rsidR="00000000" w:rsidDel="00000000" w:rsidP="00000000" w:rsidRDefault="00000000" w:rsidRPr="00000000" w14:paraId="000001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$ c $ otorga una mayor penalización a las clasificaciones erróneas, lo que lleva los puntajes de predicción a valores similares a las etiquetas distintas</w:t>
      </w:r>
    </w:p>
    <w:p w:rsidR="00000000" w:rsidDel="00000000" w:rsidP="00000000" w:rsidRDefault="00000000" w:rsidRPr="00000000" w14:paraId="000001A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cero $ \Bell $. Por el contrario, si se usa un valor bajo de $ c $, las clasificaciones erróneas son menos penalizadas y el primer término domina la</w:t>
      </w:r>
    </w:p>
    <w:p w:rsidR="00000000" w:rsidDel="00000000" w:rsidP="00000000" w:rsidRDefault="00000000" w:rsidRPr="00000000" w14:paraId="000001A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función objetivo, lo que produce una solución más suave. La matriz $C$ en el segundo término es una matriz diagonal que tiene valor cero en los elementos</w:t>
      </w:r>
    </w:p>
    <w:p w:rsidR="00000000" w:rsidDel="00000000" w:rsidP="00000000" w:rsidRDefault="00000000" w:rsidRPr="00000000" w14:paraId="000001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correspondientes a secuencias desconocidas. De esta manera, las secuencias sin etiqueta se ignoran en este término. En los elementos distintos de cero</w:t>
      </w:r>
    </w:p>
    <w:p w:rsidR="00000000" w:rsidDel="00000000" w:rsidP="00000000" w:rsidRDefault="00000000" w:rsidRPr="00000000" w14:paraId="000001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(correspondientes a los ejemplos etiquetados), el valor asignado permite diferentes penalizaciones por clasificación errónea para cada secuencia. Esta</w:t>
      </w:r>
    </w:p>
    <w:p w:rsidR="00000000" w:rsidDel="00000000" w:rsidP="00000000" w:rsidRDefault="00000000" w:rsidRPr="00000000" w14:paraId="000001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ponderación puede usarse, por ejemplo, para asignar valores inferiores a los pre-miARN que no han sido validados experimentalmente o que son ejemplos</w:t>
      </w:r>
    </w:p>
    <w:p w:rsidR="00000000" w:rsidDel="00000000" w:rsidP="00000000" w:rsidRDefault="00000000" w:rsidRPr="00000000" w14:paraId="000001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negativos poco confiables. También se puede usar para evitar la clasificación errónea de ejemplos etiquetados. En la Sección S2 del Material Complementario</w:t>
      </w:r>
    </w:p>
    <w:p w:rsidR="00000000" w:rsidDel="00000000" w:rsidP="00000000" w:rsidRDefault="00000000" w:rsidRPr="00000000" w14:paraId="000001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del Anexo~\ref{sec:mirnass} se demuestra que si $ C_ {ii}&gt; (n n _ {+}) / (c n _ {-}) $, la clasificación incorrecta de la secuencia $ i $ -th tendrá una mayor penalización</w:t>
      </w:r>
    </w:p>
    <w:p w:rsidR="00000000" w:rsidDel="00000000" w:rsidP="00000000" w:rsidRDefault="00000000" w:rsidRPr="00000000" w14:paraId="000001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 cualquier penalización en el término no supervisado. Entonces, no puede ser mal clasificado. Como valor predeterminado, los elementos distintos de cero</w:t>
      </w:r>
    </w:p>
    <w:p w:rsidR="00000000" w:rsidDel="00000000" w:rsidP="00000000" w:rsidRDefault="00000000" w:rsidRPr="00000000" w14:paraId="000001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$ C $ se establecen en $ 1 $, tanto para los ejemplos positivos como negativos.</w:t>
      </w:r>
    </w:p>
    <w:p w:rsidR="00000000" w:rsidDel="00000000" w:rsidP="00000000" w:rsidRDefault="00000000" w:rsidRPr="00000000" w14:paraId="000001A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resolver este problema de optimización, primero calculamos la descomposición espectral del Laplaciano $ L = U \Sigma U ^ T $. A continuación,</w:t>
      </w:r>
    </w:p>
    <w:p w:rsidR="00000000" w:rsidDel="00000000" w:rsidP="00000000" w:rsidRDefault="00000000" w:rsidRPr="00000000" w14:paraId="000001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utilizamos un nuevo vector de parámetro $ \mathbf {w} $ tal que $ \mathbf {z} = U \mathbf {w} $. Como el vector propio correspondiente al valor propio más</w:t>
      </w:r>
    </w:p>
    <w:p w:rsidR="00000000" w:rsidDel="00000000" w:rsidP="00000000" w:rsidRDefault="00000000" w:rsidRPr="00000000" w14:paraId="000001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bajo siempre es constante, la primera restricción del problema de optimización se convierte en $ w_ {1} = 0 $. Si definimos $ V $ como la matriz con todos</w:t>
      </w:r>
    </w:p>
    <w:p w:rsidR="00000000" w:rsidDel="00000000" w:rsidP="00000000" w:rsidRDefault="00000000" w:rsidRPr="00000000" w14:paraId="000001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vectores propios, excepto el primero, y $ H $ como la matriz diagonal con todos los valores propios, excepto el más bajo, obtenemos el siguiente problema</w:t>
      </w:r>
    </w:p>
    <w:p w:rsidR="00000000" w:rsidDel="00000000" w:rsidP="00000000" w:rsidRDefault="00000000" w:rsidRPr="00000000" w14:paraId="000001A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optimización</w:t>
      </w:r>
    </w:p>
    <w:p w:rsidR="00000000" w:rsidDel="00000000" w:rsidP="00000000" w:rsidRDefault="00000000" w:rsidRPr="00000000" w14:paraId="000001B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B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\begin{split}</w:t>
      </w:r>
    </w:p>
    <w:p w:rsidR="00000000" w:rsidDel="00000000" w:rsidP="00000000" w:rsidRDefault="00000000" w:rsidRPr="00000000" w14:paraId="000001B3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\arg\min_{\mathbf{w}} &amp; \quad \mathbf{w}^T H \mathbf{w} + c (V \mathbf{w} - \Bell)^T C (V \mathbf{w} - \Bell) \\</w:t>
      </w:r>
    </w:p>
    <w:p w:rsidR="00000000" w:rsidDel="00000000" w:rsidP="00000000" w:rsidRDefault="00000000" w:rsidRPr="00000000" w14:paraId="000001B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s.t. &amp; \quad \mathbf{w}^T \mathbf{w} = n.</w:t>
      </w:r>
    </w:p>
    <w:p w:rsidR="00000000" w:rsidDel="00000000" w:rsidP="00000000" w:rsidRDefault="00000000" w:rsidRPr="00000000" w14:paraId="000001B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\end{split}</w:t>
      </w:r>
    </w:p>
    <w:p w:rsidR="00000000" w:rsidDel="00000000" w:rsidP="00000000" w:rsidRDefault="00000000" w:rsidRPr="00000000" w14:paraId="000001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B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Definiendo $ Q = H + c V ^ T C V $ y $ b = c V ^ T C \Bell $, este problema puede reescribirse como</w:t>
      </w:r>
    </w:p>
    <w:p w:rsidR="00000000" w:rsidDel="00000000" w:rsidP="00000000" w:rsidRDefault="00000000" w:rsidRPr="00000000" w14:paraId="000001B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B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\begin{split}</w:t>
      </w:r>
    </w:p>
    <w:p w:rsidR="00000000" w:rsidDel="00000000" w:rsidP="00000000" w:rsidRDefault="00000000" w:rsidRPr="00000000" w14:paraId="000001B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\arg\min_{\mathbf{w}} &amp;\quad \mathbf{w}^T Q \mathbf{w} + 2 b^T \mathbf{w} + c \Bell^T C \Bell \\</w:t>
      </w:r>
    </w:p>
    <w:p w:rsidR="00000000" w:rsidDel="00000000" w:rsidP="00000000" w:rsidRDefault="00000000" w:rsidRPr="00000000" w14:paraId="000001B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s.t. &amp;\quad \mathbf{w}^T \mathbf{w} = n,</w:t>
      </w:r>
    </w:p>
    <w:p w:rsidR="00000000" w:rsidDel="00000000" w:rsidP="00000000" w:rsidRDefault="00000000" w:rsidRPr="00000000" w14:paraId="000001B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\end{split}</w:t>
      </w:r>
    </w:p>
    <w:p w:rsidR="00000000" w:rsidDel="00000000" w:rsidP="00000000" w:rsidRDefault="00000000" w:rsidRPr="00000000" w14:paraId="000001B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C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donde el último término se puede descartar dado que es constante. Usando los multiplicadores de Lagrange, el mínimo global de esta función se</w:t>
      </w:r>
    </w:p>
    <w:p w:rsidR="00000000" w:rsidDel="00000000" w:rsidP="00000000" w:rsidRDefault="00000000" w:rsidRPr="00000000" w14:paraId="000001C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produce en $\mathbf {w}^\star = (Q - \lambda^\star I)^{- 1} \mathbf{b} $. Ahora, usando los resultados de \cite{gander1989contrained}, $ \lambda^\star$</w:t>
      </w:r>
    </w:p>
    <w:p w:rsidR="00000000" w:rsidDel="00000000" w:rsidP="00000000" w:rsidRDefault="00000000" w:rsidRPr="00000000" w14:paraId="000001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puede calcular como el menor autovalor de</w:t>
      </w:r>
    </w:p>
    <w:p w:rsidR="00000000" w:rsidDel="00000000" w:rsidP="00000000" w:rsidRDefault="00000000" w:rsidRPr="00000000" w14:paraId="000001C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1C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 = \left( \begin{array}{cc}</w:t>
      </w:r>
    </w:p>
    <w:p w:rsidR="00000000" w:rsidDel="00000000" w:rsidP="00000000" w:rsidRDefault="00000000" w:rsidRPr="00000000" w14:paraId="000001C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Q &amp; -I \\</w:t>
      </w:r>
    </w:p>
    <w:p w:rsidR="00000000" w:rsidDel="00000000" w:rsidP="00000000" w:rsidRDefault="00000000" w:rsidRPr="00000000" w14:paraId="000001C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\frac{{\mathbf{b} \mathbf{b}^T}}{{n}} &amp; Q \end{array} \right).</w:t>
      </w:r>
    </w:p>
    <w:p w:rsidR="00000000" w:rsidDel="00000000" w:rsidP="00000000" w:rsidRDefault="00000000" w:rsidRPr="00000000" w14:paraId="000001C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1C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\noindent A partir de esta solución, las etiquetas se calculan como $ \mathbf {z} ^ \star = V \mathbf {w} ^ \star $.</w:t>
      </w:r>
    </w:p>
    <w:p w:rsidR="00000000" w:rsidDel="00000000" w:rsidP="00000000" w:rsidRDefault="00000000" w:rsidRPr="00000000" w14:paraId="000001C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\subsection{Umbralización de los puntajes de predicción}</w:t>
      </w:r>
    </w:p>
    <w:p w:rsidR="00000000" w:rsidDel="00000000" w:rsidP="00000000" w:rsidRDefault="00000000" w:rsidRPr="00000000" w14:paraId="000001C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Dados los altos desbalances que están presentes en los datos de un genoma completo, es necesario aumentar el costo de clasificación errónea de la clase</w:t>
      </w:r>
    </w:p>
    <w:p w:rsidR="00000000" w:rsidDel="00000000" w:rsidP="00000000" w:rsidRDefault="00000000" w:rsidRPr="00000000" w14:paraId="000001D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positiva. Mientras que la matriz $C$ se puede usar para asignar diferentes costos de clasificación errónea en el proceso de optimización, estimar el umbral</w:t>
      </w:r>
    </w:p>
    <w:p w:rsidR="00000000" w:rsidDel="00000000" w:rsidP="00000000" w:rsidRDefault="00000000" w:rsidRPr="00000000" w14:paraId="000001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 se aplicará en $\mathbf{z}$ es un método más flexible ya que permite elegir la medida de rendimiento a maximizar. Dado que se espera que los puntajes de</w:t>
      </w:r>
    </w:p>
    <w:p w:rsidR="00000000" w:rsidDel="00000000" w:rsidP="00000000" w:rsidRDefault="00000000" w:rsidRPr="00000000" w14:paraId="000001D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predicción ordenen las secuencias de acuerdo a la probabilidad de ser pre-miARNs, modificar el umbral utilizado para separar las dos clases equivale a</w:t>
      </w:r>
    </w:p>
    <w:p w:rsidR="00000000" w:rsidDel="00000000" w:rsidP="00000000" w:rsidRDefault="00000000" w:rsidRPr="00000000" w14:paraId="000001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clasificar con distintas ponderaciones por clase \citep{mease2007boosted}.</w:t>
      </w:r>
    </w:p>
    <w:p w:rsidR="00000000" w:rsidDel="00000000" w:rsidP="00000000" w:rsidRDefault="00000000" w:rsidRPr="00000000" w14:paraId="000001D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métrica de evaluación común que se usa en problemas con desbalance de clases es la media geométrica ($ \bar {G} $) de la sensibilidad y la</w:t>
      </w:r>
    </w:p>
    <w:p w:rsidR="00000000" w:rsidDel="00000000" w:rsidP="00000000" w:rsidRDefault="00000000" w:rsidRPr="00000000" w14:paraId="000001D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especificidad $ \bar {G} = \sqrt {S ^ {+} S ^ {-} } $ \citep{batuwita2009micropred, gudys2013huntmi}, donde $ S ^ {+} $ es la proporción de secuencias</w:t>
      </w:r>
    </w:p>
    <w:p w:rsidR="00000000" w:rsidDel="00000000" w:rsidP="00000000" w:rsidRDefault="00000000" w:rsidRPr="00000000" w14:paraId="000001D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positivas correctamente clasificadas como positivas (sensibilidad), y $ S ^ {-} $ es la proporción de secuencias negativas correctamente clasificadas como</w:t>
      </w:r>
    </w:p>
    <w:p w:rsidR="00000000" w:rsidDel="00000000" w:rsidP="00000000" w:rsidRDefault="00000000" w:rsidRPr="00000000" w14:paraId="000001D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negativas (especificidad). Esta medida tiene la ventaja de dar la misma importancia a las clases negativas y positivas, independientemente de la cantidad de</w:t>
      </w:r>
    </w:p>
    <w:p w:rsidR="00000000" w:rsidDel="00000000" w:rsidP="00000000" w:rsidRDefault="00000000" w:rsidRPr="00000000" w14:paraId="000001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elementos en cada clase. Una mejor medida es el \mbox{F-score} $ F_ {1} = 2 \, P \, S ^ {+} / (P + S ^ {+}) $, donde $ P $ es la precisión, que es la</w:t>
      </w:r>
    </w:p>
    <w:p w:rsidR="00000000" w:rsidDel="00000000" w:rsidP="00000000" w:rsidRDefault="00000000" w:rsidRPr="00000000" w14:paraId="000001D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proporción de verdaderos positivos dentro de las secuencias clasificadas como positivas. Cuando se utiliza $ F_ {1} $ para la optimización del umbral, se</w:t>
      </w:r>
    </w:p>
    <w:p w:rsidR="00000000" w:rsidDel="00000000" w:rsidP="00000000" w:rsidRDefault="00000000" w:rsidRPr="00000000" w14:paraId="000001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obtiene una mejor $ P $ a costa de una $ S ^ {+} $ más baja. Debido al gran desbalance de clases en este problema de clasificación, es importante prestar</w:t>
      </w:r>
    </w:p>
    <w:p w:rsidR="00000000" w:rsidDel="00000000" w:rsidP="00000000" w:rsidRDefault="00000000" w:rsidRPr="00000000" w14:paraId="000001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especial atención a la cantidad de falsos positivos. Por lo tanto, $F_{1}$ es una mejor medida para este problema.</w:t>
      </w:r>
    </w:p>
    <w:p w:rsidR="00000000" w:rsidDel="00000000" w:rsidP="00000000" w:rsidRDefault="00000000" w:rsidRPr="00000000" w14:paraId="000001D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puntajes de predicción obtenidos para los ejemplos etiquetados se pueden usar para encontrar el umbral que maximice cierta medida de rendimiento objetivo.</w:t>
      </w:r>
    </w:p>
    <w:p w:rsidR="00000000" w:rsidDel="00000000" w:rsidP="00000000" w:rsidRDefault="00000000" w:rsidRPr="00000000" w14:paraId="000001D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Debe señalarse que esto es solo una estimación, ya que se desconoce la clase a la que pertenecen real las secuencias no etiquetadas. Por esta razón, si</w:t>
      </w:r>
    </w:p>
    <w:p w:rsidR="00000000" w:rsidDel="00000000" w:rsidP="00000000" w:rsidRDefault="00000000" w:rsidRPr="00000000" w14:paraId="000001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ordenamos los puntajes de predicción $ \mathbf {z} ^ \star $ y calculamos la medida de desempeño utilizando como umbral cada valor de este vector,  entre dos</w:t>
      </w:r>
    </w:p>
    <w:p w:rsidR="00000000" w:rsidDel="00000000" w:rsidP="00000000" w:rsidRDefault="00000000" w:rsidRPr="00000000" w14:paraId="000001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ejemplos etiquetados consecutivos aparecerán regiones donde esta medida se hace constante. Si el número de ejemplos etiquetados es bajo, estas regiones</w:t>
      </w:r>
    </w:p>
    <w:p w:rsidR="00000000" w:rsidDel="00000000" w:rsidP="00000000" w:rsidRDefault="00000000" w:rsidRPr="00000000" w14:paraId="000001E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constantes pueden ser relativamente grandes. Por lo tanto, el umbral final se establece como el punto medio entre el puntaje de predicción más alto y más</w:t>
      </w:r>
    </w:p>
    <w:p w:rsidR="00000000" w:rsidDel="00000000" w:rsidP="00000000" w:rsidRDefault="00000000" w:rsidRPr="00000000" w14:paraId="000001E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bajo  donde se maximice la medida de rendimiento (ver Figura~\ref{sec:mirnass}). Una vez que se realiza una predicción, se pueden agregar nuevos</w:t>
      </w:r>
    </w:p>
    <w:p w:rsidR="00000000" w:rsidDel="00000000" w:rsidP="00000000" w:rsidRDefault="00000000" w:rsidRPr="00000000" w14:paraId="000001E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nodos al grafo etiquetado usando algoritmos rápidos para encontrar los k-vecinos más cercanos \citep{malkov2014approximate}. Esto permite realizar</w:t>
      </w:r>
    </w:p>
    <w:p w:rsidR="00000000" w:rsidDel="00000000" w:rsidP="00000000" w:rsidRDefault="00000000" w:rsidRPr="00000000" w14:paraId="000001E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predicciones sobre nuevas secuencias o extraer información de datos sin procesar mediante el análisis de sus adyacencias \citep{chapelle2006semi}.</w:t>
      </w:r>
    </w:p>
    <w:p w:rsidR="00000000" w:rsidDel="00000000" w:rsidP="00000000" w:rsidRDefault="00000000" w:rsidRPr="00000000" w14:paraId="000001E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