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jc w:val="both"/>
        <w:rPr/>
      </w:pPr>
      <w:bookmarkStart w:colFirst="0" w:colLast="0" w:name="_naur4px6lcpa" w:id="0"/>
      <w:bookmarkEnd w:id="0"/>
      <w:r w:rsidDel="00000000" w:rsidR="00000000" w:rsidRPr="00000000">
        <w:rPr>
          <w:rtl w:val="0"/>
        </w:rPr>
        <w:t xml:space="preserve">\chapter{Resultados} \label{sec:results}</w:t>
      </w:r>
    </w:p>
    <w:p w:rsidR="00000000" w:rsidDel="00000000" w:rsidP="00000000" w:rsidRDefault="00000000" w:rsidRPr="00000000" w14:paraId="0000000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Siguiendo la estructura de la sección métodos, esta sección también se divide en tres subsecciones que presentan los resultados de cada una de las etapas</w:t>
      </w:r>
    </w:p>
    <w:p w:rsidR="00000000" w:rsidDel="00000000" w:rsidP="00000000" w:rsidRDefault="00000000" w:rsidRPr="00000000" w14:paraId="0000000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del proceso de predicción de pre-miARNs.</w:t>
      </w:r>
    </w:p>
    <w:p w:rsidR="00000000" w:rsidDel="00000000" w:rsidP="00000000" w:rsidRDefault="00000000" w:rsidRPr="00000000" w14:paraId="00000004">
      <w:pPr>
        <w:pStyle w:val="Heading2"/>
        <w:contextualSpacing w:val="0"/>
        <w:jc w:val="both"/>
        <w:rPr/>
      </w:pPr>
      <w:bookmarkStart w:colFirst="0" w:colLast="0" w:name="_7cshr0ojab3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contextualSpacing w:val="0"/>
        <w:jc w:val="both"/>
        <w:rPr/>
      </w:pPr>
      <w:bookmarkStart w:colFirst="0" w:colLast="0" w:name="_7cshr0ojab3o" w:id="1"/>
      <w:bookmarkEnd w:id="1"/>
      <w:r w:rsidDel="00000000" w:rsidR="00000000" w:rsidRPr="00000000">
        <w:rPr>
          <w:rtl w:val="0"/>
        </w:rPr>
        <w:t xml:space="preserve">\section{Procesamiento de secuencias de ARN de tipo tallo-horquilla}</w:t>
      </w:r>
    </w:p>
    <w:p w:rsidR="00000000" w:rsidDel="00000000" w:rsidP="00000000" w:rsidRDefault="00000000" w:rsidRPr="00000000" w14:paraId="0000000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Se ha desarrollado una herramienta llamada Hextractor, simple e integrada, que automáticamente extrae y pliega todas las secuencias de horquilla a partir de</w:t>
      </w:r>
    </w:p>
    <w:p w:rsidR="00000000" w:rsidDel="00000000" w:rsidP="00000000" w:rsidRDefault="00000000" w:rsidRPr="00000000" w14:paraId="0000000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datos brutos del genoma completo. El método propuesto aprovecha los últimos avances en la predicción de estructuras secundarias. Al procesar grandes</w:t>
      </w:r>
    </w:p>
    <w:p w:rsidR="00000000" w:rsidDel="00000000" w:rsidP="00000000" w:rsidRDefault="00000000" w:rsidRPr="00000000" w14:paraId="0000000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ventanas superpuestas, no se pierden ni se cortan de manera inapropiada las horquillas. Permite procesar genomas en paralelo y con pocos requisitos de memoria,</w:t>
      </w:r>
    </w:p>
    <w:p w:rsidR="00000000" w:rsidDel="00000000" w:rsidP="00000000" w:rsidRDefault="00000000" w:rsidRPr="00000000" w14:paraId="0000000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ya que puede dividir automáticamente archivos fasta demasiado grandes.</w:t>
      </w:r>
    </w:p>
    <w:p w:rsidR="00000000" w:rsidDel="00000000" w:rsidP="00000000" w:rsidRDefault="00000000" w:rsidRPr="00000000" w14:paraId="0000000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Se procesaron varios genomas y los resultados se compararon con los del programa mirCheck de EMBOSS \citep{olson2002emboss}. La Tabla~\ref{tab:hextractor} muestra los</w:t>
      </w:r>
    </w:p>
    <w:p w:rsidR="00000000" w:rsidDel="00000000" w:rsidP="00000000" w:rsidRDefault="00000000" w:rsidRPr="00000000" w14:paraId="0000000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resultados del procesamiento de 6 genomas completos: \textit{Homo sapiens}, \textit{Arabidopsis thaliana}, \textit{Danio rerio}, \textit{Anopheles gambiae} y</w:t>
      </w:r>
    </w:p>
    <w:p w:rsidR="00000000" w:rsidDel="00000000" w:rsidP="00000000" w:rsidRDefault="00000000" w:rsidRPr="00000000" w14:paraId="0000000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\textit{Caenorhabditis elegans}, además de otra especie menos estudiada: \textit{Echinococcus multilocularis}. Para cada uno, se muestra el número de</w:t>
      </w:r>
    </w:p>
    <w:p w:rsidR="00000000" w:rsidDel="00000000" w:rsidP="00000000" w:rsidRDefault="00000000" w:rsidRPr="00000000" w14:paraId="0000000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secuencias extraídas con mirCheck y Hextractor, en la segunda y tercera columna, respectivamente. Con respecto a los pre-miARNs en particular se informa, en</w:t>
      </w:r>
    </w:p>
    <w:p w:rsidR="00000000" w:rsidDel="00000000" w:rsidP="00000000" w:rsidRDefault="00000000" w:rsidRPr="00000000" w14:paraId="0000001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cada genoma analizado, en la cuarta columna de la tabla el número de pre-miARNs conocidos (de acuerdo con miRBase 21) para las 6 especies. La proporción de</w:t>
      </w:r>
    </w:p>
    <w:p w:rsidR="00000000" w:rsidDel="00000000" w:rsidP="00000000" w:rsidRDefault="00000000" w:rsidRPr="00000000" w14:paraId="0000001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aquellos encontrados por los métodos comparativos se muestra en las dos últimas columnas. Se puede ver claramente que en todos los casos, el rendimiento de</w:t>
      </w:r>
    </w:p>
    <w:p w:rsidR="00000000" w:rsidDel="00000000" w:rsidP="00000000" w:rsidRDefault="00000000" w:rsidRPr="00000000" w14:paraId="0000001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Hextractor es superior. Además, en muchos casos, el 100 \% de los pre-miARNs conocidos se extraen correctamente.</w:t>
      </w:r>
    </w:p>
    <w:p w:rsidR="00000000" w:rsidDel="00000000" w:rsidP="00000000" w:rsidRDefault="00000000" w:rsidRPr="00000000" w14:paraId="0000001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Las diferencias en cantidad de pre-miARNs encontrados que muestra la Tabla~\ref{tab:hextractor} se pueden deber a varios motivos. En primer lugar, como se ve en</w:t>
      </w:r>
    </w:p>
    <w:p w:rsidR="00000000" w:rsidDel="00000000" w:rsidP="00000000" w:rsidRDefault="00000000" w:rsidRPr="00000000" w14:paraId="0000001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la segunda y tercer columna, Hextractor consigue capturar más horquillas que mirCheck. Al utilizar ventanas solapadas de un tamaño varias veces mayor al de</w:t>
      </w:r>
    </w:p>
    <w:p w:rsidR="00000000" w:rsidDel="00000000" w:rsidP="00000000" w:rsidRDefault="00000000" w:rsidRPr="00000000" w14:paraId="0000001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una horquilla para recorrer el genoma, Hextractor consigue capturar cualquier horquilla. MirCheck se podría configurar para que utilice ventanas con una mayor</w:t>
      </w:r>
    </w:p>
    <w:p w:rsidR="00000000" w:rsidDel="00000000" w:rsidP="00000000" w:rsidRDefault="00000000" w:rsidRPr="00000000" w14:paraId="0000001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longitud, pero en ese caso descartaría la mayoría de las secuencias porque estas formarían estructuras con varios bucles y mirCheck no realiza el proceso de</w:t>
      </w:r>
    </w:p>
    <w:p w:rsidR="00000000" w:rsidDel="00000000" w:rsidP="00000000" w:rsidRDefault="00000000" w:rsidRPr="00000000" w14:paraId="0000001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separación en horquillas como si lo hace Hextractor.</w:t>
      </w:r>
    </w:p>
    <w:p w:rsidR="00000000" w:rsidDel="00000000" w:rsidP="00000000" w:rsidRDefault="00000000" w:rsidRPr="00000000" w14:paraId="0000001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\begin{table}[t]</w:t>
      </w:r>
    </w:p>
    <w:p w:rsidR="00000000" w:rsidDel="00000000" w:rsidP="00000000" w:rsidRDefault="00000000" w:rsidRPr="00000000" w14:paraId="0000001B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\centering</w:t>
      </w:r>
    </w:p>
    <w:p w:rsidR="00000000" w:rsidDel="00000000" w:rsidP="00000000" w:rsidRDefault="00000000" w:rsidRPr="00000000" w14:paraId="0000001C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\small</w:t>
      </w:r>
    </w:p>
    <w:p w:rsidR="00000000" w:rsidDel="00000000" w:rsidP="00000000" w:rsidRDefault="00000000" w:rsidRPr="00000000" w14:paraId="0000001D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\begin{tabular}{l r r r r r c}</w:t>
      </w:r>
    </w:p>
    <w:p w:rsidR="00000000" w:rsidDel="00000000" w:rsidP="00000000" w:rsidRDefault="00000000" w:rsidRPr="00000000" w14:paraId="0000001E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\toprule</w:t>
      </w:r>
    </w:p>
    <w:p w:rsidR="00000000" w:rsidDel="00000000" w:rsidP="00000000" w:rsidRDefault="00000000" w:rsidRPr="00000000" w14:paraId="0000001F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\multirow{2}{*}{Especies} &amp; \multicolumn{2}{c}{Horquillas extraídas}  &amp; &amp; \multicolumn{2}{c}{pre-miARNs encontrados}    &amp;    pre-miARNs  \\ \cmidrule{2-3} \cmidrule{5-6}</w:t>
      </w:r>
    </w:p>
    <w:p w:rsidR="00000000" w:rsidDel="00000000" w:rsidP="00000000" w:rsidRDefault="00000000" w:rsidRPr="00000000" w14:paraId="0000002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  &amp;    Einverted  &amp;       HExtractor     &amp; &amp; Einverted     &amp;   HExtractor  &amp;  conocidos \\ \cmidrule{1-7}</w:t>
      </w:r>
    </w:p>
    <w:p w:rsidR="00000000" w:rsidDel="00000000" w:rsidP="00000000" w:rsidRDefault="00000000" w:rsidRPr="00000000" w14:paraId="00000021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\textit{Anopheles gambiae}          &amp;  1.410.532    &amp;  \textbf{4.276.543}  &amp; &amp;  92,42 \%     &amp;    \textbf{100,00  \%}       &amp;   66        \\</w:t>
      </w:r>
    </w:p>
    <w:p w:rsidR="00000000" w:rsidDel="00000000" w:rsidP="00000000" w:rsidRDefault="00000000" w:rsidRPr="00000000" w14:paraId="00000022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\textit{Caenorhabditis elegans}     &amp;    875.588    &amp;  \textbf{1.739.124}  &amp; &amp;  90,00 \%     &amp;     \textbf{99,60  \%}       &amp;  250        \\</w:t>
      </w:r>
    </w:p>
    <w:p w:rsidR="00000000" w:rsidDel="00000000" w:rsidP="00000000" w:rsidRDefault="00000000" w:rsidRPr="00000000" w14:paraId="00000023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\textit{Danio rerio}                &amp; 11.028.128    &amp; \textbf{23.214.338}  &amp; &amp;  93,06 \%     &amp;     \textbf{99,42  \%}       &amp;  346        \\</w:t>
      </w:r>
    </w:p>
    <w:p w:rsidR="00000000" w:rsidDel="00000000" w:rsidP="00000000" w:rsidRDefault="00000000" w:rsidRPr="00000000" w14:paraId="00000024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\textit{Echinococcus multilocularis}&amp;    509.530    &amp;  \textbf{1.898.911}  &amp; &amp;  81,81 \%     &amp;    \textbf{100,00  \%}       &amp;   22        \\</w:t>
      </w:r>
    </w:p>
    <w:p w:rsidR="00000000" w:rsidDel="00000000" w:rsidP="00000000" w:rsidRDefault="00000000" w:rsidRPr="00000000" w14:paraId="00000025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\textit{Arabidopsis thaliana}       &amp;    874.320    &amp;  \textbf{1.357.455}  &amp; &amp;  91,69 \%     &amp;     \textbf{94,77  \%}       &amp;  325        \\</w:t>
      </w:r>
    </w:p>
    <w:p w:rsidR="00000000" w:rsidDel="00000000" w:rsidP="00000000" w:rsidRDefault="00000000" w:rsidRPr="00000000" w14:paraId="00000026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\textit{Homo sapiens}               &amp; 18.654.426    &amp; \textbf{48.206.494}  &amp; &amp;  85,38 \%     &amp;     \textbf{97,45  \%}       &amp; 1881        \\</w:t>
      </w:r>
    </w:p>
    <w:p w:rsidR="00000000" w:rsidDel="00000000" w:rsidP="00000000" w:rsidRDefault="00000000" w:rsidRPr="00000000" w14:paraId="00000027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\bottomrule</w:t>
      </w:r>
    </w:p>
    <w:p w:rsidR="00000000" w:rsidDel="00000000" w:rsidP="00000000" w:rsidRDefault="00000000" w:rsidRPr="00000000" w14:paraId="00000028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\end{tabular}</w:t>
      </w:r>
    </w:p>
    <w:p w:rsidR="00000000" w:rsidDel="00000000" w:rsidP="00000000" w:rsidRDefault="00000000" w:rsidRPr="00000000" w14:paraId="00000029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\label{tab:hextractor}</w:t>
      </w:r>
    </w:p>
    <w:p w:rsidR="00000000" w:rsidDel="00000000" w:rsidP="00000000" w:rsidRDefault="00000000" w:rsidRPr="00000000" w14:paraId="0000002A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\caption[Cantidad de horquillas y pre-miARN en varios genomas]{cantidad de horquillas y pre-miARNs encontrados por cada método en el genoma de 6 especies}</w:t>
      </w:r>
    </w:p>
    <w:p w:rsidR="00000000" w:rsidDel="00000000" w:rsidP="00000000" w:rsidRDefault="00000000" w:rsidRPr="00000000" w14:paraId="0000002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02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contextualSpacing w:val="0"/>
        <w:jc w:val="both"/>
        <w:rPr>
          <w:sz w:val="32"/>
          <w:szCs w:val="32"/>
        </w:rPr>
      </w:pPr>
      <w:bookmarkStart w:colFirst="0" w:colLast="0" w:name="_1kqizzdeow69" w:id="2"/>
      <w:bookmarkEnd w:id="2"/>
      <w:r w:rsidDel="00000000" w:rsidR="00000000" w:rsidRPr="00000000">
        <w:rPr>
          <w:sz w:val="32"/>
          <w:szCs w:val="32"/>
          <w:rtl w:val="0"/>
        </w:rPr>
        <w:t xml:space="preserve">\section{Predicción de pre-microARN}</w:t>
      </w:r>
    </w:p>
    <w:p w:rsidR="00000000" w:rsidDel="00000000" w:rsidP="00000000" w:rsidRDefault="00000000" w:rsidRPr="00000000" w14:paraId="0000002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En esta sección se presentan los resultados de los experimentos realizados para probar el rendimiento de miRNAss en diferentes condiciones. En la primera</w:t>
      </w:r>
    </w:p>
    <w:p w:rsidR="00000000" w:rsidDel="00000000" w:rsidP="00000000" w:rsidRDefault="00000000" w:rsidRPr="00000000" w14:paraId="0000003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subsección, se reprodujeron experimentos realizados por otros autores para comparar miRNAss con métodos supervisados del estado del arte en condiciones</w:t>
      </w:r>
    </w:p>
    <w:p w:rsidR="00000000" w:rsidDel="00000000" w:rsidP="00000000" w:rsidRDefault="00000000" w:rsidRPr="00000000" w14:paraId="0000003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controladas. Los conjuntos negativos fueron definidos artificialmente por los autores originales y la proporción de ejemplos etiquetados fue muy alta. En la</w:t>
      </w:r>
    </w:p>
    <w:p w:rsidR="00000000" w:rsidDel="00000000" w:rsidP="00000000" w:rsidRDefault="00000000" w:rsidRPr="00000000" w14:paraId="0000003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segunda subsección, el porcentaje de ejemplos etiquetados se redujo gradualmente para acercarse más a un caso real de predicción de pre-miARN. Además,</w:t>
      </w:r>
    </w:p>
    <w:p w:rsidR="00000000" w:rsidDel="00000000" w:rsidP="00000000" w:rsidRDefault="00000000" w:rsidRPr="00000000" w14:paraId="0000003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miRNAss se probó en un esquema de una clase, donde solo se conocían ejemplos positivos (pre-miARNs reales) de antemano. En la última subsección, miARN se</w:t>
      </w:r>
    </w:p>
    <w:p w:rsidR="00000000" w:rsidDel="00000000" w:rsidP="00000000" w:rsidRDefault="00000000" w:rsidRPr="00000000" w14:paraId="0000003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aplicó a una tarea de predicción real a partir de datos del genoma completo de 3 especies modelo, sin ejemplos negativos y utilizando solo un bajo número de</w:t>
      </w:r>
    </w:p>
    <w:p w:rsidR="00000000" w:rsidDel="00000000" w:rsidP="00000000" w:rsidRDefault="00000000" w:rsidRPr="00000000" w14:paraId="0000003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ejemplos positivos. En esta última prueba, había un enorme desbalance de clases y se procesaron más de un millón de secuencias de entrada.</w:t>
      </w:r>
    </w:p>
    <w:p w:rsidR="00000000" w:rsidDel="00000000" w:rsidP="00000000" w:rsidRDefault="00000000" w:rsidRPr="00000000" w14:paraId="0000003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Comparación en conjuntos de datos etiquetados artificialmente</w:t>
      </w:r>
    </w:p>
    <w:p w:rsidR="00000000" w:rsidDel="00000000" w:rsidP="00000000" w:rsidRDefault="00000000" w:rsidRPr="00000000" w14:paraId="0000003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contextualSpacing w:val="0"/>
        <w:jc w:val="both"/>
        <w:rPr>
          <w:color w:val="434343"/>
          <w:sz w:val="28"/>
          <w:szCs w:val="28"/>
        </w:rPr>
      </w:pPr>
      <w:bookmarkStart w:colFirst="0" w:colLast="0" w:name="_dv8h3of0mslo" w:id="3"/>
      <w:bookmarkEnd w:id="3"/>
      <w:r w:rsidDel="00000000" w:rsidR="00000000" w:rsidRPr="00000000">
        <w:rPr>
          <w:color w:val="434343"/>
          <w:sz w:val="28"/>
          <w:szCs w:val="28"/>
          <w:rtl w:val="0"/>
        </w:rPr>
        <w:t xml:space="preserve">\subsection{Comparación con métodos del estado del arte}</w:t>
      </w:r>
    </w:p>
    <w:p w:rsidR="00000000" w:rsidDel="00000000" w:rsidP="00000000" w:rsidRDefault="00000000" w:rsidRPr="00000000" w14:paraId="0000003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Las condiciones experimentales en esta sección son las mismas que las utilizadas para probar otros métodos del estado del arte. Se estableció $ F_{1} $ como</w:t>
      </w:r>
    </w:p>
    <w:p w:rsidR="00000000" w:rsidDel="00000000" w:rsidP="00000000" w:rsidRDefault="00000000" w:rsidRPr="00000000" w14:paraId="0000003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medida de desempeño utilizada para la optimización del umbral en todos los métodos. Los experimentos se diseñaron para estimar el desempeño de métodos de</w:t>
      </w:r>
    </w:p>
    <w:p w:rsidR="00000000" w:rsidDel="00000000" w:rsidP="00000000" w:rsidRDefault="00000000" w:rsidRPr="00000000" w14:paraId="0000003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aprendizaje supervisado, por lo que se utiliza un esquema estándar de validación cruzada con 10 particiones. En este esquema, la mayoría de las secuencias</w:t>
      </w:r>
    </w:p>
    <w:p w:rsidR="00000000" w:rsidDel="00000000" w:rsidP="00000000" w:rsidRDefault="00000000" w:rsidRPr="00000000" w14:paraId="0000003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están etiquetadas artificialmente para el entrenamiento, y solo un $ 10 \% $ queda sin etiquetar. Por lo tanto, es importante señalar que la principal</w:t>
      </w:r>
    </w:p>
    <w:p w:rsidR="00000000" w:rsidDel="00000000" w:rsidP="00000000" w:rsidRDefault="00000000" w:rsidRPr="00000000" w14:paraId="0000003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ventaja del aprendizaje semi-supervisado, que es explotar datos no etiquetados para mejorar los resultados, no se puede aprovechar en estos experimentos.</w:t>
      </w:r>
    </w:p>
    <w:p w:rsidR="00000000" w:rsidDel="00000000" w:rsidP="00000000" w:rsidRDefault="00000000" w:rsidRPr="00000000" w14:paraId="0000003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Para una comparación justa, en estos experimentos los clasificadores usan las mismas características. Este conjunto está compuesto por 7 características de</w:t>
      </w:r>
    </w:p>
    <w:p w:rsidR="00000000" w:rsidDel="00000000" w:rsidP="00000000" w:rsidRDefault="00000000" w:rsidRPr="00000000" w14:paraId="0000003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miPred \citep{ng2007novo}, más 14 de microPred \citep{batuwita2009micropred} y 7 añadidas por \cite{gudys2013huntmi}. Para obtener más detalles sobre el</w:t>
      </w:r>
    </w:p>
    <w:p w:rsidR="00000000" w:rsidDel="00000000" w:rsidP="00000000" w:rsidRDefault="00000000" w:rsidRPr="00000000" w14:paraId="0000004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conjunto de características, consulte la Sección S4 del Anexo~\ref{sec:mirnass}.</w:t>
      </w:r>
    </w:p>
    <w:p w:rsidR="00000000" w:rsidDel="00000000" w:rsidP="00000000" w:rsidRDefault="00000000" w:rsidRPr="00000000" w14:paraId="0000004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Como antes se especificó, se ejecutó una validación cruzada estratificada de 10 particiones en cinco conjuntos de datos y se compararon los resultados con</w:t>
      </w:r>
    </w:p>
    <w:p w:rsidR="00000000" w:rsidDel="00000000" w:rsidP="00000000" w:rsidRDefault="00000000" w:rsidRPr="00000000" w14:paraId="0000004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los obtenidos por HuntMi \citep{gudys2013huntmi}. Las particiones fueron construidas al azar usando una semilla fija para tener experimentos totalmente</w:t>
      </w:r>
    </w:p>
    <w:p w:rsidR="00000000" w:rsidDel="00000000" w:rsidP="00000000" w:rsidRDefault="00000000" w:rsidRPr="00000000" w14:paraId="0000004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reproducibles. Tres conjuntos de datos contenían una mezcla de secuencias de diferentes especies, que se agruparon en los conjuntos de datos animales (10</w:t>
      </w:r>
    </w:p>
    <w:p w:rsidR="00000000" w:rsidDel="00000000" w:rsidP="00000000" w:rsidRDefault="00000000" w:rsidRPr="00000000" w14:paraId="0000004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especies), plantas (7 especies) y virus (29 especies). Los otros dos conjuntos de datos contenían secuencias de \textit{Homo sapiens} y \textit{Arabidopsis</w:t>
      </w:r>
    </w:p>
    <w:p w:rsidR="00000000" w:rsidDel="00000000" w:rsidP="00000000" w:rsidRDefault="00000000" w:rsidRPr="00000000" w14:paraId="0000004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thaliana}. Los parámetros utilizados en miRNAss fueron los mismos en todas las pruebas: $ c = 1 $ y $ k = 10 $ (tanto para RELIEF-F como para la construcción</w:t>
      </w:r>
    </w:p>
    <w:p w:rsidR="00000000" w:rsidDel="00000000" w:rsidP="00000000" w:rsidRDefault="00000000" w:rsidRPr="00000000" w14:paraId="0000004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de grafos). MiRNAss se probó con y sin RELIEF-F, para medir su impacto en el rendimiento. La ponderación de características obviamente se calculó</w:t>
      </w:r>
    </w:p>
    <w:p w:rsidR="00000000" w:rsidDel="00000000" w:rsidP="00000000" w:rsidRDefault="00000000" w:rsidRPr="00000000" w14:paraId="0000004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utilizando solo los datos de entrenamiento de cada partición.</w:t>
      </w:r>
    </w:p>
    <w:p w:rsidR="00000000" w:rsidDel="00000000" w:rsidP="00000000" w:rsidRDefault="00000000" w:rsidRPr="00000000" w14:paraId="0000004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Los tiempos transcurridos medidos \footnote{Intel \textregistered Core \texttrademark i5-4460 CPU @ 3.20GHz, 8 GB de RAM.} En cada pliegue se promediaron y se</w:t>
      </w:r>
    </w:p>
    <w:p w:rsidR="00000000" w:rsidDel="00000000" w:rsidP="00000000" w:rsidRDefault="00000000" w:rsidRPr="00000000" w14:paraId="0000004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presentan en la Tabla~\ref{tab:times}. La primera columna muestra el número total de secuencias. La segunda y tercera columnas indican el número de</w:t>
      </w:r>
    </w:p>
    <w:p w:rsidR="00000000" w:rsidDel="00000000" w:rsidP="00000000" w:rsidRDefault="00000000" w:rsidRPr="00000000" w14:paraId="0000004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secuencias pre-miARN y no pre-miARN en cada conjunto de datos. La cuarta y quinta columnas presentan los tiempos transcurridos para cada método. La última</w:t>
      </w:r>
    </w:p>
    <w:p w:rsidR="00000000" w:rsidDel="00000000" w:rsidP="00000000" w:rsidRDefault="00000000" w:rsidRPr="00000000" w14:paraId="0000004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columna muestra el cociente entre el tiempo que tardó HuntMi y el tiempo que tardó miRNAss. La mayor diferencia se observó en el conjunto de datos más</w:t>
      </w:r>
    </w:p>
    <w:p w:rsidR="00000000" w:rsidDel="00000000" w:rsidP="00000000" w:rsidRDefault="00000000" w:rsidRPr="00000000" w14:paraId="0000004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pequeño (virus): miRNAss fue 38 veces más rápido que HuntMi. Arabidopsis es el segundo conjunto de datos más pequeño, y aquí miRNAss fue 14 veces más</w:t>
      </w:r>
    </w:p>
    <w:p w:rsidR="00000000" w:rsidDel="00000000" w:rsidP="00000000" w:rsidRDefault="00000000" w:rsidRPr="00000000" w14:paraId="0000005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rápido. En los siguientes tres conjuntos de datos, las diferencias de tiempo de computación entre miRNAss y HuntMi aumentaron a medida que crecía el número</w:t>
      </w:r>
    </w:p>
    <w:p w:rsidR="00000000" w:rsidDel="00000000" w:rsidP="00000000" w:rsidRDefault="00000000" w:rsidRPr="00000000" w14:paraId="0000005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de secuencias. Estos resultados muestran que miARN no solo es mucho más rápido sino que el costo computacional crece más rápido en HuntMi. Tales</w:t>
      </w:r>
    </w:p>
    <w:p w:rsidR="00000000" w:rsidDel="00000000" w:rsidP="00000000" w:rsidRDefault="00000000" w:rsidRPr="00000000" w14:paraId="0000005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diferencias pueden ser irrelevantes en pequeños conjuntos de datos como los que se utilizan en esta subsección, pero se vuelven muy importantes en tareas de</w:t>
      </w:r>
    </w:p>
    <w:p w:rsidR="00000000" w:rsidDel="00000000" w:rsidP="00000000" w:rsidRDefault="00000000" w:rsidRPr="00000000" w14:paraId="0000005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predicción de genoma completo, donde se procesan varios millones de secuencias. Por ejemplo, si extrapolamos los tiempos de entrenamientos utilizando los</w:t>
      </w:r>
    </w:p>
    <w:p w:rsidR="00000000" w:rsidDel="00000000" w:rsidP="00000000" w:rsidRDefault="00000000" w:rsidRPr="00000000" w14:paraId="0000005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datos de la tabla, para entrenar a HuntMi con 1.7 millones de secuencias (uno de los conjuntos de datos del genoma utilizado en la sección~\ref{sec:results:genome-wide})</w:t>
      </w:r>
    </w:p>
    <w:p w:rsidR="00000000" w:rsidDel="00000000" w:rsidP="00000000" w:rsidRDefault="00000000" w:rsidRPr="00000000" w14:paraId="0000005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se necesitarían alrededor de 37 días, mientras que miRNAss solo se requieren 18 horas.</w:t>
      </w:r>
    </w:p>
    <w:p w:rsidR="00000000" w:rsidDel="00000000" w:rsidP="00000000" w:rsidRDefault="00000000" w:rsidRPr="00000000" w14:paraId="0000005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Con respecto a las medidas de predicción, ambos métodos se realizaron de manera similar en este experimento. Se aplicó una prueba de Friedman \citep{friedman1937use},</w:t>
      </w:r>
    </w:p>
    <w:p w:rsidR="00000000" w:rsidDel="00000000" w:rsidP="00000000" w:rsidRDefault="00000000" w:rsidRPr="00000000" w14:paraId="0000005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que dio como resultado un valor $ p $ de 0,179. Esto demuestra que el método propuesto puede obtener resultados equivalentes a un método</w:t>
      </w:r>
    </w:p>
    <w:p w:rsidR="00000000" w:rsidDel="00000000" w:rsidP="00000000" w:rsidRDefault="00000000" w:rsidRPr="00000000" w14:paraId="0000005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del estado del arte para la configuración supervisada, aunque en menos tiempo (como se muestra en la Tabla~\ref{tab:times}).</w:t>
      </w:r>
    </w:p>
    <w:p w:rsidR="00000000" w:rsidDel="00000000" w:rsidP="00000000" w:rsidRDefault="00000000" w:rsidRPr="00000000" w14:paraId="0000005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\begin{table}[t]</w:t>
      </w:r>
    </w:p>
    <w:p w:rsidR="00000000" w:rsidDel="00000000" w:rsidP="00000000" w:rsidRDefault="00000000" w:rsidRPr="00000000" w14:paraId="0000005A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\small</w:t>
      </w:r>
    </w:p>
    <w:p w:rsidR="00000000" w:rsidDel="00000000" w:rsidP="00000000" w:rsidRDefault="00000000" w:rsidRPr="00000000" w14:paraId="0000005B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\centering</w:t>
      </w:r>
    </w:p>
    <w:p w:rsidR="00000000" w:rsidDel="00000000" w:rsidP="00000000" w:rsidRDefault="00000000" w:rsidRPr="00000000" w14:paraId="0000005C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\begin{tabular}{@{}lrrrrrrr@{}} \toprule</w:t>
      </w:r>
    </w:p>
    <w:p w:rsidR="00000000" w:rsidDel="00000000" w:rsidP="00000000" w:rsidRDefault="00000000" w:rsidRPr="00000000" w14:paraId="0000005D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&amp;  \multicolumn{3}{c}{Número de secuencias} &amp; &amp; \multicolumn{3}{c}{Tiempos} \\ \cmidrule{2-4} \cmidrule{6-8}</w:t>
      </w:r>
    </w:p>
    <w:p w:rsidR="00000000" w:rsidDel="00000000" w:rsidP="00000000" w:rsidRDefault="00000000" w:rsidRPr="00000000" w14:paraId="0000005E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Conjunto de datos     &amp;   Total  &amp;   miARN   &amp;  no-miARN&amp; &amp;  HuntMi  &amp; miRNAss &amp; \textit{speedup} \\\midrule</w:t>
      </w:r>
    </w:p>
    <w:p w:rsidR="00000000" w:rsidDel="00000000" w:rsidP="00000000" w:rsidRDefault="00000000" w:rsidRPr="00000000" w14:paraId="0000005F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Virus       &amp;   1,076  &amp;      237  &amp;       839 &amp; &amp;     38 s &amp;     1 s &amp; 38.00    \\</w:t>
      </w:r>
    </w:p>
    <w:p w:rsidR="00000000" w:rsidDel="00000000" w:rsidP="00000000" w:rsidRDefault="00000000" w:rsidRPr="00000000" w14:paraId="0000006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Arabidopsis &amp;  28,590  &amp;      231  &amp;    28,359 &amp; &amp;  1,819 s &amp;   129 s &amp; 14.10    \\</w:t>
      </w:r>
    </w:p>
    <w:p w:rsidR="00000000" w:rsidDel="00000000" w:rsidP="00000000" w:rsidRDefault="00000000" w:rsidRPr="00000000" w14:paraId="00000061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Human       &amp;  82,634  &amp;    1,406  &amp;    81,228 &amp; &amp;  9,873 s &amp;   462 s &amp; 21.37    \\</w:t>
      </w:r>
    </w:p>
    <w:p w:rsidR="00000000" w:rsidDel="00000000" w:rsidP="00000000" w:rsidRDefault="00000000" w:rsidRPr="00000000" w14:paraId="00000062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Plants      &amp; 117,101  &amp;    2,172  &amp;   114,929 &amp; &amp; 21,561 s &amp;   714 s &amp; 30.19    \\</w:t>
      </w:r>
    </w:p>
    <w:p w:rsidR="00000000" w:rsidDel="00000000" w:rsidP="00000000" w:rsidRDefault="00000000" w:rsidRPr="00000000" w14:paraId="00000063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Animals     &amp; 225,207  &amp;    7,053  &amp;   218,154 &amp; &amp; 65,762 s &amp; 1,834 s &amp; 35.85    \\\bottomrule</w:t>
      </w:r>
    </w:p>
    <w:p w:rsidR="00000000" w:rsidDel="00000000" w:rsidP="00000000" w:rsidRDefault="00000000" w:rsidRPr="00000000" w14:paraId="00000064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\end{tabular}</w:t>
      </w:r>
    </w:p>
    <w:p w:rsidR="00000000" w:rsidDel="00000000" w:rsidP="00000000" w:rsidRDefault="00000000" w:rsidRPr="00000000" w14:paraId="00000065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\caption[Comparación de tiempos de ejecución]{comparación de los tiempos de ejecución entre miRNAss y HuntMi.\label{tab:times}}</w:t>
      </w:r>
    </w:p>
    <w:p w:rsidR="00000000" w:rsidDel="00000000" w:rsidP="00000000" w:rsidRDefault="00000000" w:rsidRPr="00000000" w14:paraId="0000006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06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Además, fue posible verificar que RELIEF-F mejoró los resultados en todas las pruebas, aunque en algunas de ellas las diferencias fueron pequeñas. Esto era</w:t>
      </w:r>
    </w:p>
    <w:p w:rsidR="00000000" w:rsidDel="00000000" w:rsidP="00000000" w:rsidRDefault="00000000" w:rsidRPr="00000000" w14:paraId="0000006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de esperar, dado que las características utilizadas en estos conjuntos de datos son el resultado de procesos previos de selección de características. Una</w:t>
      </w:r>
    </w:p>
    <w:p w:rsidR="00000000" w:rsidDel="00000000" w:rsidP="00000000" w:rsidRDefault="00000000" w:rsidRPr="00000000" w14:paraId="0000006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prueba de Friedman en esta comparación da como resultado un valor $ p $ de 0.025, lo que demuestra que las diferencias son significativas. Se pueden ver más</w:t>
      </w:r>
    </w:p>
    <w:p w:rsidR="00000000" w:rsidDel="00000000" w:rsidP="00000000" w:rsidRDefault="00000000" w:rsidRPr="00000000" w14:paraId="0000006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detalles sobre estos resultados en la Figura~S5 del Anexo~\ref{sec:mirnass}.</w:t>
      </w:r>
    </w:p>
    <w:p w:rsidR="00000000" w:rsidDel="00000000" w:rsidP="00000000" w:rsidRDefault="00000000" w:rsidRPr="00000000" w14:paraId="0000006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Para probar la capacidad de miRNAss para predecir nuevos pre-miARNs en diferentes especies, los pre-miARNs conocidos de animales y plantas que se incluyeron en</w:t>
      </w:r>
    </w:p>
    <w:p w:rsidR="00000000" w:rsidDel="00000000" w:rsidP="00000000" w:rsidRDefault="00000000" w:rsidRPr="00000000" w14:paraId="0000006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la versión 17 de mirBase se usaron para el entrenamiento, y los pre-miARNs que se agregaron en versiones 18 a 19 fueron usados como conjunto de prueba. En el caso de las especies</w:t>
      </w:r>
    </w:p>
    <w:p w:rsidR="00000000" w:rsidDel="00000000" w:rsidP="00000000" w:rsidRDefault="00000000" w:rsidRPr="00000000" w14:paraId="0000006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animales, se añadió microPred \citep{batuwita2009micropred} en la comparación, ya que era el mejor software para la predicción de miARN humano en el</w:t>
      </w:r>
    </w:p>
    <w:p w:rsidR="00000000" w:rsidDel="00000000" w:rsidP="00000000" w:rsidRDefault="00000000" w:rsidRPr="00000000" w14:paraId="0000006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momento de su publicación. En plantas, el método agregado fue PlantMiRNAPred \citep{xuan2011plantmirnapred}, porque está específicamente diseñado para</w:t>
      </w:r>
    </w:p>
    <w:p w:rsidR="00000000" w:rsidDel="00000000" w:rsidP="00000000" w:rsidRDefault="00000000" w:rsidRPr="00000000" w14:paraId="0000007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especies de plantas. Cabe señalar que, una vez más, el porcentaje de secuencias no etiquetadas en el conjunto de datos es muy bajo: menos del 0,3 \% en</w:t>
      </w:r>
    </w:p>
    <w:p w:rsidR="00000000" w:rsidDel="00000000" w:rsidP="00000000" w:rsidRDefault="00000000" w:rsidRPr="00000000" w14:paraId="0000007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animales y menos del 1,3 \% en plantas.</w:t>
      </w:r>
    </w:p>
    <w:p w:rsidR="00000000" w:rsidDel="00000000" w:rsidP="00000000" w:rsidRDefault="00000000" w:rsidRPr="00000000" w14:paraId="0000007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\begin{figure}[t]</w:t>
      </w:r>
    </w:p>
    <w:p w:rsidR="00000000" w:rsidDel="00000000" w:rsidP="00000000" w:rsidRDefault="00000000" w:rsidRPr="00000000" w14:paraId="00000073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\centering</w:t>
      </w:r>
    </w:p>
    <w:p w:rsidR="00000000" w:rsidDel="00000000" w:rsidP="00000000" w:rsidRDefault="00000000" w:rsidRPr="00000000" w14:paraId="00000074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\includegraphics[width=0.6\linewidth]{fig/delta_mirbase_radar.eps}</w:t>
      </w:r>
    </w:p>
    <w:p w:rsidR="00000000" w:rsidDel="00000000" w:rsidP="00000000" w:rsidRDefault="00000000" w:rsidRPr="00000000" w14:paraId="00000075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\caption[Sensibilidad en animales y plantas]{sensibilidad obtenida con varios clasificadores del estado del arte en: a) animales, y b) plantas.</w:t>
      </w:r>
    </w:p>
    <w:p w:rsidR="00000000" w:rsidDel="00000000" w:rsidP="00000000" w:rsidRDefault="00000000" w:rsidRPr="00000000" w14:paraId="00000076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La distancia de cada punto al centro mide la sensibilidad obtenida obtenida cada especie.}</w:t>
      </w:r>
    </w:p>
    <w:p w:rsidR="00000000" w:rsidDel="00000000" w:rsidP="00000000" w:rsidRDefault="00000000" w:rsidRPr="00000000" w14:paraId="00000077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\label{fig:deltaRadar}</w:t>
      </w:r>
    </w:p>
    <w:p w:rsidR="00000000" w:rsidDel="00000000" w:rsidP="00000000" w:rsidRDefault="00000000" w:rsidRPr="00000000" w14:paraId="0000007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\end{figure}</w:t>
      </w:r>
    </w:p>
    <w:p w:rsidR="00000000" w:rsidDel="00000000" w:rsidP="00000000" w:rsidRDefault="00000000" w:rsidRPr="00000000" w14:paraId="0000007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La $S^{+}$ obtenida para cada especie se muestran en la Figura~\ref{fig:deltaRadar}, donde cada clasificador se muestra con un color diferente a través de una</w:t>
      </w:r>
    </w:p>
    <w:p w:rsidR="00000000" w:rsidDel="00000000" w:rsidP="00000000" w:rsidRDefault="00000000" w:rsidRPr="00000000" w14:paraId="0000007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gráfica de radar. En el conjunto de datos de animales, miRNAss superó a microPred en casi todas las especies. En el conjunto de datos humanos, miRNAss obtuvo</w:t>
      </w:r>
    </w:p>
    <w:p w:rsidR="00000000" w:rsidDel="00000000" w:rsidP="00000000" w:rsidRDefault="00000000" w:rsidRPr="00000000" w14:paraId="0000007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una mayor $S^{+}$ que microPred, que, como se mencionó anteriormente, se diseñó específicamente para humanos. Comparado con HuntMi, miRNAss obtuvo mayores</w:t>
      </w:r>
    </w:p>
    <w:p w:rsidR="00000000" w:rsidDel="00000000" w:rsidP="00000000" w:rsidRDefault="00000000" w:rsidRPr="00000000" w14:paraId="0000007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$S^{+}$ en 4 especies, HuntMi produjo mejores resultados en 4 especies y los resultados obtenidos fueron iguales en 3 especies. En plantas, miRNAss superó a</w:t>
      </w:r>
    </w:p>
    <w:p w:rsidR="00000000" w:rsidDel="00000000" w:rsidP="00000000" w:rsidRDefault="00000000" w:rsidRPr="00000000" w14:paraId="0000007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PlantMiRNAPred en casi todas las especies. Comparado con HuntMi, miRNAss tuvo una mejor $S^{+}$ en 8 especies, mientras que HuntMi superó ligeramente al</w:t>
      </w:r>
    </w:p>
    <w:p w:rsidR="00000000" w:rsidDel="00000000" w:rsidP="00000000" w:rsidRDefault="00000000" w:rsidRPr="00000000" w14:paraId="0000007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miRNAss en solo 2 especies (\textit{Cucumis melo} y \textit{Sorghum bicolor}).</w:t>
      </w:r>
    </w:p>
    <w:p w:rsidR="00000000" w:rsidDel="00000000" w:rsidP="00000000" w:rsidRDefault="00000000" w:rsidRPr="00000000" w14:paraId="0000007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Para analizar si hubo diferencias significativas entre los clasificadores, se realizaron pruebas de Nemenyi \citep{nemenyi1962distribution} para ambos</w:t>
      </w:r>
    </w:p>
    <w:p w:rsidR="00000000" w:rsidDel="00000000" w:rsidP="00000000" w:rsidRDefault="00000000" w:rsidRPr="00000000" w14:paraId="0000008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conjuntos de datos ($ p&lt;0,05 $). En las especies de animales, HuntMi y miRNAss produjeron resultados equivalentes, pero ambos se desempeñaron mejor que</w:t>
      </w:r>
    </w:p>
    <w:p w:rsidR="00000000" w:rsidDel="00000000" w:rsidP="00000000" w:rsidRDefault="00000000" w:rsidRPr="00000000" w14:paraId="0000008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microPred. En especies de plantas, miRNAss obtuvo el rango más bajo (el mejor) y una diferencia significativa con PlantMiRNAPred. Sin embargo, la diferencia</w:t>
      </w:r>
    </w:p>
    <w:p w:rsidR="00000000" w:rsidDel="00000000" w:rsidP="00000000" w:rsidRDefault="00000000" w:rsidRPr="00000000" w14:paraId="0000008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con HuntMi no fue estadísticamente significativa.</w:t>
      </w:r>
    </w:p>
    <w:p w:rsidR="00000000" w:rsidDel="00000000" w:rsidP="00000000" w:rsidRDefault="00000000" w:rsidRPr="00000000" w14:paraId="0000008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Los métodos supervisados hacen un uso extenso de los datos etiquetados, no solo para el entrenamiento sino también para encontrar los hiper-parámetros</w:t>
      </w:r>
    </w:p>
    <w:p w:rsidR="00000000" w:rsidDel="00000000" w:rsidP="00000000" w:rsidRDefault="00000000" w:rsidRPr="00000000" w14:paraId="0000008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y umbrales óptimos. Por el contrario, miRNAss se diseñó sobre la hipótesis de que los ejemplos etiquetados son escasos, poco confiables y no</w:t>
      </w:r>
    </w:p>
    <w:p w:rsidR="00000000" w:rsidDel="00000000" w:rsidP="00000000" w:rsidRDefault="00000000" w:rsidRPr="00000000" w14:paraId="0000008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representativos de toda la clase, que en realidad es un escenario más realista para esta tarea de predicción. Por lo tanto, debe tenerse en cuenta que,</w:t>
      </w:r>
    </w:p>
    <w:p w:rsidR="00000000" w:rsidDel="00000000" w:rsidP="00000000" w:rsidRDefault="00000000" w:rsidRPr="00000000" w14:paraId="0000008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incluso bajo estas condiciones desfavorables, miRNAss obtuvo resultados significativamente mejores que MicroPred y PlantMiRNAPred, y resultados equivalentes a</w:t>
      </w:r>
    </w:p>
    <w:p w:rsidR="00000000" w:rsidDel="00000000" w:rsidP="00000000" w:rsidRDefault="00000000" w:rsidRPr="00000000" w14:paraId="0000008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los producidos por HuntMi, siendo sin embargo, mucho más rápido.</w:t>
      </w:r>
    </w:p>
    <w:p w:rsidR="00000000" w:rsidDel="00000000" w:rsidP="00000000" w:rsidRDefault="00000000" w:rsidRPr="00000000" w14:paraId="0000008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contextualSpacing w:val="0"/>
        <w:jc w:val="both"/>
        <w:rPr/>
      </w:pPr>
      <w:bookmarkStart w:colFirst="0" w:colLast="0" w:name="_j8y3u7hhs72v" w:id="4"/>
      <w:bookmarkEnd w:id="4"/>
      <w:r w:rsidDel="00000000" w:rsidR="00000000" w:rsidRPr="00000000">
        <w:rPr>
          <w:rtl w:val="0"/>
        </w:rPr>
        <w:t xml:space="preserve">\subsection{Pocos ejemplos etiquetados}</w:t>
      </w:r>
    </w:p>
    <w:p w:rsidR="00000000" w:rsidDel="00000000" w:rsidP="00000000" w:rsidRDefault="00000000" w:rsidRPr="00000000" w14:paraId="0000008B">
      <w:pPr>
        <w:pStyle w:val="Heading3"/>
        <w:contextualSpacing w:val="0"/>
        <w:jc w:val="both"/>
        <w:rPr/>
      </w:pPr>
      <w:bookmarkStart w:colFirst="0" w:colLast="0" w:name="_j8y3u7hhs72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\begin{figure}[t]</w:t>
      </w:r>
    </w:p>
    <w:p w:rsidR="00000000" w:rsidDel="00000000" w:rsidP="00000000" w:rsidRDefault="00000000" w:rsidRPr="00000000" w14:paraId="0000008D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\centering</w:t>
      </w:r>
    </w:p>
    <w:p w:rsidR="00000000" w:rsidDel="00000000" w:rsidP="00000000" w:rsidRDefault="00000000" w:rsidRPr="00000000" w14:paraId="0000008E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\includegraphics[width=\linewidth]{fig/few_labeled-huntmi.eps}</w:t>
      </w:r>
    </w:p>
    <w:p w:rsidR="00000000" w:rsidDel="00000000" w:rsidP="00000000" w:rsidRDefault="00000000" w:rsidRPr="00000000" w14:paraId="0000008F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\caption[$\bar{G}$ con pocos ejemplos de entrenamiento]{curvas de $\bar{G}$ obtenidas al disminuir el porcentaje de ejemplos etiquetados. Regiones</w:t>
      </w:r>
    </w:p>
    <w:p w:rsidR="00000000" w:rsidDel="00000000" w:rsidP="00000000" w:rsidRDefault="00000000" w:rsidRPr="00000000" w14:paraId="0000009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sombreados representan los intervalos de confianza de la estimación con regresión local (LOESS) con $p &lt; 0.05$.}</w:t>
      </w:r>
    </w:p>
    <w:p w:rsidR="00000000" w:rsidDel="00000000" w:rsidP="00000000" w:rsidRDefault="00000000" w:rsidRPr="00000000" w14:paraId="00000091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\label{fig:fewSamples:huntmi}</w:t>
      </w:r>
    </w:p>
    <w:p w:rsidR="00000000" w:rsidDel="00000000" w:rsidP="00000000" w:rsidRDefault="00000000" w:rsidRPr="00000000" w14:paraId="0000009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\end{figure}</w:t>
      </w:r>
    </w:p>
    <w:p w:rsidR="00000000" w:rsidDel="00000000" w:rsidP="00000000" w:rsidRDefault="00000000" w:rsidRPr="00000000" w14:paraId="0000009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Para representar un escenario más realista en el que el número de ejemplos conocidos es bajo, los cinco conjuntos de datos utilizados en las últimas pruebas</w:t>
      </w:r>
    </w:p>
    <w:p w:rsidR="00000000" w:rsidDel="00000000" w:rsidP="00000000" w:rsidRDefault="00000000" w:rsidRPr="00000000" w14:paraId="0000009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se utilizaron con distintos porcentajes de secuencias etiquetadas y se realizaron pruebas en un esquema de validación entrenamiento-prueba. El porcentaje de</w:t>
      </w:r>
    </w:p>
    <w:p w:rsidR="00000000" w:rsidDel="00000000" w:rsidP="00000000" w:rsidRDefault="00000000" w:rsidRPr="00000000" w14:paraId="0000009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ejemplos etiquetados se redujo del 20 \% al 2 \%, con un paso del 2 \%. Los ejemplos etiquetados se seleccionaron al azar y las pruebas se repitieron 200 veces</w:t>
      </w:r>
    </w:p>
    <w:p w:rsidR="00000000" w:rsidDel="00000000" w:rsidP="00000000" w:rsidRDefault="00000000" w:rsidRPr="00000000" w14:paraId="0000009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para cada porcentaje para estimar los intervalos de confianza. En la Figura~\ref{fig:fewSamples:huntmi}, se estimaron las curvas de $F_{1}$ esperadas con</w:t>
      </w:r>
    </w:p>
    <w:p w:rsidR="00000000" w:rsidDel="00000000" w:rsidP="00000000" w:rsidRDefault="00000000" w:rsidRPr="00000000" w14:paraId="0000009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intervalos de confianza de 0,05 para la comparación. En el conjunto de datos humanos, el $F_{1}$ es casi un 10 \% más alto para miRNAss, independientemente</w:t>
      </w:r>
    </w:p>
    <w:p w:rsidR="00000000" w:rsidDel="00000000" w:rsidP="00000000" w:rsidRDefault="00000000" w:rsidRPr="00000000" w14:paraId="0000009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del porcentaje de secuencias marcadas. En el conjunto de datos de Arabidopsis, donde el número de secuencias de ejemplos positivos fue menor, las diferencias</w:t>
      </w:r>
    </w:p>
    <w:p w:rsidR="00000000" w:rsidDel="00000000" w:rsidP="00000000" w:rsidRDefault="00000000" w:rsidRPr="00000000" w14:paraId="0000009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 favor de miRNAss fueron más altas en los porcentajes más bajos de ejemplos etiquetados, lo que indica que miRNAss puede identificar efectivamente la clase</w:t>
      </w:r>
    </w:p>
    <w:p w:rsidR="00000000" w:rsidDel="00000000" w:rsidP="00000000" w:rsidRDefault="00000000" w:rsidRPr="00000000" w14:paraId="0000009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positiva incluso con un número muy bajo de ejemplos. Las mismas tendencias se observan en los animales, las plantas y los conjuntos de datos de virus.</w:t>
      </w:r>
    </w:p>
    <w:p w:rsidR="00000000" w:rsidDel="00000000" w:rsidP="00000000" w:rsidRDefault="00000000" w:rsidRPr="00000000" w14:paraId="0000009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Estos resultados no solo muestran que miRNAss es capaz de superar a los métodos supervisados cuando el número de ejemplos etiquetados es bajo, sino</w:t>
      </w:r>
    </w:p>
    <w:p w:rsidR="00000000" w:rsidDel="00000000" w:rsidP="00000000" w:rsidRDefault="00000000" w:rsidRPr="00000000" w14:paraId="0000009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también que las tasas de error estimadas usando una alta proporción de ejemplos etiquetados son muy diferentes de las obtenidas en escenarios más realistas.</w:t>
      </w:r>
    </w:p>
    <w:p w:rsidR="00000000" w:rsidDel="00000000" w:rsidP="00000000" w:rsidRDefault="00000000" w:rsidRPr="00000000" w14:paraId="0000009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Un paso más hacia una tarea de predicción más realista consiste en usar solo ejemplos positivos. Bajo estas condiciones, miRNAss se comparó con miRank</w:t>
      </w:r>
    </w:p>
    <w:p w:rsidR="00000000" w:rsidDel="00000000" w:rsidP="00000000" w:rsidRDefault="00000000" w:rsidRPr="00000000" w14:paraId="000000A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\citep{xu2008microrna}, que fue diseñado para trabajar con un número extremadamente pequeño de ejemplos positivos. Se utilizaron los conjuntos de datos</w:t>
      </w:r>
    </w:p>
    <w:p w:rsidR="00000000" w:rsidDel="00000000" w:rsidP="00000000" w:rsidRDefault="00000000" w:rsidRPr="00000000" w14:paraId="000000A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proporcionados por el autor original: 533 pre-miARNs humanos y 1000 secuencias no miARN. Para hacer una comparación justa, ambos métodos usaron el conjunto</w:t>
      </w:r>
    </w:p>
    <w:p w:rsidR="00000000" w:rsidDel="00000000" w:rsidP="00000000" w:rsidRDefault="00000000" w:rsidRPr="00000000" w14:paraId="000000A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de características de miRank. Este conjunto está compuesto por 32 tripletas \citep{xue2005classification}, MFE normalizado, propensiones de emparejamiento de</w:t>
      </w:r>
    </w:p>
    <w:p w:rsidR="00000000" w:rsidDel="00000000" w:rsidP="00000000" w:rsidRDefault="00000000" w:rsidRPr="00000000" w14:paraId="000000A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bases normalizadas de ambos brazos y longitud de bucle normalizado. Se marcó un número variable de ejemplos positivos (1, 2, 4, 8, 16, 32, 64 y 128) y el</w:t>
      </w:r>
    </w:p>
    <w:p w:rsidR="00000000" w:rsidDel="00000000" w:rsidP="00000000" w:rsidRDefault="00000000" w:rsidRPr="00000000" w14:paraId="000000A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resto de las secuencias se dejaron sin etiquetar para medir las tasas de error. Como los resultados dependen de un muestreo aleatorio de las secuencias, este</w:t>
      </w:r>
    </w:p>
    <w:p w:rsidR="00000000" w:rsidDel="00000000" w:rsidP="00000000" w:rsidRDefault="00000000" w:rsidRPr="00000000" w14:paraId="000000A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procedimiento se repitió 1000 veces para cada número de ejemplos etiquetados. MiRank proporciona como resultado una puntuación continua; por lo tanto, se</w:t>
      </w:r>
    </w:p>
    <w:p w:rsidR="00000000" w:rsidDel="00000000" w:rsidP="00000000" w:rsidRDefault="00000000" w:rsidRPr="00000000" w14:paraId="000000A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utilizaron los puntajes de predicción obtenidos con miRNAss en lugar de utilizar las clases. Se calculó el área bajo la curva de precisión-recuperación</w:t>
      </w:r>
    </w:p>
    <w:p w:rsidR="00000000" w:rsidDel="00000000" w:rsidP="00000000" w:rsidRDefault="00000000" w:rsidRPr="00000000" w14:paraId="000000A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(AUCPR, del ingles \textit{Area Under Precision-Recall Curve}), para realizar una comparación independiente del umbral utilizado para definir las clases</w:t>
      </w:r>
    </w:p>
    <w:p w:rsidR="00000000" w:rsidDel="00000000" w:rsidP="00000000" w:rsidRDefault="00000000" w:rsidRPr="00000000" w14:paraId="000000A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\citep{bradley1997use}.</w:t>
      </w:r>
    </w:p>
    <w:p w:rsidR="00000000" w:rsidDel="00000000" w:rsidP="00000000" w:rsidRDefault="00000000" w:rsidRPr="00000000" w14:paraId="000000A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La figura~\ref{fig:miRank} presenta un diagrama de caja con la distribución de AUCPR obtenida por cada clasificador para diferentes cantidades de ejemplos</w:t>
      </w:r>
    </w:p>
    <w:p w:rsidR="00000000" w:rsidDel="00000000" w:rsidP="00000000" w:rsidRDefault="00000000" w:rsidRPr="00000000" w14:paraId="000000A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etiquetados. MiRNAss mantuvo una AUCPR casi constante, independientemente del número de pre-miARNs marcados, mientras que el rendimiento de miRank disminuyó</w:t>
      </w:r>
    </w:p>
    <w:p w:rsidR="00000000" w:rsidDel="00000000" w:rsidP="00000000" w:rsidRDefault="00000000" w:rsidRPr="00000000" w14:paraId="000000A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marcadamente. Además, los valores de AUCPR para miRNAss mostraron pequeña dispersión en comparación con miRank, que se vuelve muy inestable cuando</w:t>
      </w:r>
    </w:p>
    <w:p w:rsidR="00000000" w:rsidDel="00000000" w:rsidP="00000000" w:rsidRDefault="00000000" w:rsidRPr="00000000" w14:paraId="000000A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disminuye el número de ejemplos etiquetados. Esta inestabilidad puede ser producida por ejemplos positivos que están cerca de la frontera de la clase, lo que</w:t>
      </w:r>
    </w:p>
    <w:p w:rsidR="00000000" w:rsidDel="00000000" w:rsidP="00000000" w:rsidRDefault="00000000" w:rsidRPr="00000000" w14:paraId="000000A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hace que miRank no establezca correctamente la frontera de decisión. El algoritmo semi-supervisado de miRNAss logró encontrar correctamente las regiones de</w:t>
      </w:r>
    </w:p>
    <w:p w:rsidR="00000000" w:rsidDel="00000000" w:rsidP="00000000" w:rsidRDefault="00000000" w:rsidRPr="00000000" w14:paraId="000000A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baja densidad que separan los miARNs del resto de las secuencias, independientemente de los ejemplos proporcionados.</w:t>
      </w:r>
    </w:p>
    <w:p w:rsidR="00000000" w:rsidDel="00000000" w:rsidP="00000000" w:rsidRDefault="00000000" w:rsidRPr="00000000" w14:paraId="000000A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\begin{figure}[tpb]</w:t>
      </w:r>
    </w:p>
    <w:p w:rsidR="00000000" w:rsidDel="00000000" w:rsidP="00000000" w:rsidRDefault="00000000" w:rsidRPr="00000000" w14:paraId="000000B1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\centering</w:t>
      </w:r>
    </w:p>
    <w:p w:rsidR="00000000" w:rsidDel="00000000" w:rsidP="00000000" w:rsidRDefault="00000000" w:rsidRPr="00000000" w14:paraId="000000B2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\includegraphics[width=\linewidth]{fig/few_samples_miRank.eps}</w:t>
      </w:r>
    </w:p>
    <w:p w:rsidR="00000000" w:rsidDel="00000000" w:rsidP="00000000" w:rsidRDefault="00000000" w:rsidRPr="00000000" w14:paraId="000000B3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\caption[$AUC$ con pocos ejemplos positivos]{diagrama de caja de las AUC obtenidas por miRNAss y miRank, con diferentes cantidades de ejemplos de entrenamiento positivos.}</w:t>
      </w:r>
    </w:p>
    <w:p w:rsidR="00000000" w:rsidDel="00000000" w:rsidP="00000000" w:rsidRDefault="00000000" w:rsidRPr="00000000" w14:paraId="000000B4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\label{fig:miRank}</w:t>
      </w:r>
    </w:p>
    <w:p w:rsidR="00000000" w:rsidDel="00000000" w:rsidP="00000000" w:rsidRDefault="00000000" w:rsidRPr="00000000" w14:paraId="000000B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\end{figure}</w:t>
      </w:r>
    </w:p>
    <w:p w:rsidR="00000000" w:rsidDel="00000000" w:rsidP="00000000" w:rsidRDefault="00000000" w:rsidRPr="00000000" w14:paraId="000000B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contextualSpacing w:val="0"/>
        <w:jc w:val="both"/>
        <w:rPr>
          <w:color w:val="434343"/>
          <w:sz w:val="28"/>
          <w:szCs w:val="28"/>
        </w:rPr>
      </w:pPr>
      <w:bookmarkStart w:colFirst="0" w:colLast="0" w:name="_j7vafin0lsyu" w:id="5"/>
      <w:bookmarkEnd w:id="5"/>
      <w:r w:rsidDel="00000000" w:rsidR="00000000" w:rsidRPr="00000000">
        <w:rPr>
          <w:color w:val="434343"/>
          <w:sz w:val="28"/>
          <w:szCs w:val="28"/>
          <w:rtl w:val="0"/>
        </w:rPr>
        <w:t xml:space="preserve">\subsection{Predicción real en genomas completos} \label{sec:results:genome-wide}</w:t>
      </w:r>
    </w:p>
    <w:p w:rsidR="00000000" w:rsidDel="00000000" w:rsidP="00000000" w:rsidRDefault="00000000" w:rsidRPr="00000000" w14:paraId="000000B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MiRNAss se probó con los datos genómicos de tres genomas bien conocidos: \textit{Arabidopsis thaliana}, \textit{Caenorhabditis elegans} y \textit{Anopheles</w:t>
      </w:r>
    </w:p>
    <w:p w:rsidR="00000000" w:rsidDel="00000000" w:rsidP="00000000" w:rsidRDefault="00000000" w:rsidRPr="00000000" w14:paraId="000000B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gambiae}, para reproducir todas las condiciones de una tarea de predicción real. Los genomas completos se procesaron para extraer todos las secuencias con</w:t>
      </w:r>
    </w:p>
    <w:p w:rsidR="00000000" w:rsidDel="00000000" w:rsidP="00000000" w:rsidRDefault="00000000" w:rsidRPr="00000000" w14:paraId="000000B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estructura secundaria tipo tallo-horquilla existentes. Para este propósito se utilizó HExtractor, la herramienta desarrollada para tal fin. Este proceso</w:t>
      </w:r>
    </w:p>
    <w:p w:rsidR="00000000" w:rsidDel="00000000" w:rsidP="00000000" w:rsidRDefault="00000000" w:rsidRPr="00000000" w14:paraId="000000B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dejó un total de 1.356.616 secuencias de \textit{A. thaliana}; 1,698,859 secuencias de \textit{C. elegans}; y 4,276,188 secuencias de \textit{A. gambiae}.</w:t>
      </w:r>
    </w:p>
    <w:p w:rsidR="00000000" w:rsidDel="00000000" w:rsidP="00000000" w:rsidRDefault="00000000" w:rsidRPr="00000000" w14:paraId="000000B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Para detectar los pre-miARNs conocidos se utilizó la base de datos mirBase v21. Esto definió un total de 304, 249 y 66 horquillas como conjunto positivo para</w:t>
      </w:r>
    </w:p>
    <w:p w:rsidR="00000000" w:rsidDel="00000000" w:rsidP="00000000" w:rsidRDefault="00000000" w:rsidRPr="00000000" w14:paraId="000000B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\textit{A. thaliana}, \textit{C. elegans}, \textit{A. gambiae}, respectivamente.</w:t>
      </w:r>
    </w:p>
    <w:p w:rsidR="00000000" w:rsidDel="00000000" w:rsidP="00000000" w:rsidRDefault="00000000" w:rsidRPr="00000000" w14:paraId="000000B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Se extrajeron dos conjuntos de características de los tres genomas. El primero (FS1) es el mismo usado en la Sección ~\ref{sec:results}.1, para hacer una</w:t>
      </w:r>
    </w:p>
    <w:p w:rsidR="00000000" w:rsidDel="00000000" w:rsidP="00000000" w:rsidRDefault="00000000" w:rsidRPr="00000000" w14:paraId="000000C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comparación justa con uno de los métodos. El segundo conjunto de características (FS2) es un conjunto ampliado compuesto por casi todas las características</w:t>
      </w:r>
    </w:p>
    <w:p w:rsidR="00000000" w:rsidDel="00000000" w:rsidP="00000000" w:rsidRDefault="00000000" w:rsidRPr="00000000" w14:paraId="000000C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propuestas para la predicción pre-miARN en la literatura. FS2 se calculó con miRNAfe \citep{yones2015mirnafe} y cada vector de característica resultó en 79</w:t>
      </w:r>
    </w:p>
    <w:p w:rsidR="00000000" w:rsidDel="00000000" w:rsidP="00000000" w:rsidRDefault="00000000" w:rsidRPr="00000000" w14:paraId="000000C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elementos. Para obtener más información sobre los conjuntos de características, consulte la Sección~S4 del Anexo~\ref{sec:mirnass}. Se utilizó un esquema de</w:t>
      </w:r>
    </w:p>
    <w:p w:rsidR="00000000" w:rsidDel="00000000" w:rsidP="00000000" w:rsidRDefault="00000000" w:rsidRPr="00000000" w14:paraId="000000C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validación cruzada (CV) de 10 veces para medir el rendimiento de miARNs con curvas ROC promediadas.</w:t>
      </w:r>
    </w:p>
    <w:p w:rsidR="00000000" w:rsidDel="00000000" w:rsidP="00000000" w:rsidRDefault="00000000" w:rsidRPr="00000000" w14:paraId="000000C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Muchos algoritmos de predicción pre-miARN se probaron en estos conjuntos de datos para comparar su rendimiento con miRNAss. En total se han probado once</w:t>
      </w:r>
    </w:p>
    <w:p w:rsidR="00000000" w:rsidDel="00000000" w:rsidP="00000000" w:rsidRDefault="00000000" w:rsidRPr="00000000" w14:paraId="000000C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predictores, pero la mayoría han fallado con datos genómicos o sus servidores no funcionan. Los cinco predictores que se pudieron aplicar a genomas completos</w:t>
      </w:r>
    </w:p>
    <w:p w:rsidR="00000000" w:rsidDel="00000000" w:rsidP="00000000" w:rsidRDefault="00000000" w:rsidRPr="00000000" w14:paraId="000000C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fueron HuntMi, Mirident \citep{liu2012integrated}, HHMMiR \citep{kadri2009hhmmir}, MiRPara \citep{wu2011mirpara} y miR-BAG \citep{jha2012mirbag}. Los primeros</w:t>
      </w:r>
    </w:p>
    <w:p w:rsidR="00000000" w:rsidDel="00000000" w:rsidP="00000000" w:rsidRDefault="00000000" w:rsidRPr="00000000" w14:paraId="000000C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dos métodos producen clasificaciones duras (en vez de puntajes continuos) por lo que se representan como puntos en las figuras ROC. Por otro lado, dado que</w:t>
      </w:r>
    </w:p>
    <w:p w:rsidR="00000000" w:rsidDel="00000000" w:rsidP="00000000" w:rsidRDefault="00000000" w:rsidRPr="00000000" w14:paraId="000000C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MiRPara, miR-BAG, HHMMiR y miARN proporcionan puntajes continuos, se dibujaron curvas ROC completas. MiR-BAG no se ejecutó en \textit{A. thaliana} porque no</w:t>
      </w:r>
    </w:p>
    <w:p w:rsidR="00000000" w:rsidDel="00000000" w:rsidP="00000000" w:rsidRDefault="00000000" w:rsidRPr="00000000" w14:paraId="000000C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proporciona un modelo pre-entrenado para plantas. Los puntajes de salida obtenidos con este método sólo pueden tomar cuatro valores posibles, por lo que las</w:t>
      </w:r>
    </w:p>
    <w:p w:rsidR="00000000" w:rsidDel="00000000" w:rsidP="00000000" w:rsidRDefault="00000000" w:rsidRPr="00000000" w14:paraId="000000C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curvas ROC contienen regiones constantes. Estos resultados se presentan en la Figura~\ref{fig:ROC}.</w:t>
      </w:r>
    </w:p>
    <w:p w:rsidR="00000000" w:rsidDel="00000000" w:rsidP="00000000" w:rsidRDefault="00000000" w:rsidRPr="00000000" w14:paraId="000000C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En el genoma de \textit{A. thaliana}, se puede ver que las curvas ROC de miRNAss están por encima de las curvas de miRPara y HHMMiR para todos los valores</w:t>
      </w:r>
    </w:p>
    <w:p w:rsidR="00000000" w:rsidDel="00000000" w:rsidP="00000000" w:rsidRDefault="00000000" w:rsidRPr="00000000" w14:paraId="000000C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umbral. Cabe señalar que Mirident, a pesar de tener la mayor tasa de positivos verdaderos (sensibilidad), también tiene la mayor tasa de falsos positivos.</w:t>
      </w:r>
    </w:p>
    <w:p w:rsidR="00000000" w:rsidDel="00000000" w:rsidP="00000000" w:rsidRDefault="00000000" w:rsidRPr="00000000" w14:paraId="000000C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HuntMi es más equilibrado, con un alto reconocimiento de secuencias positivas y un número moderado de falsos positivos. Sin embargo, está debajo de miRNAss</w:t>
      </w:r>
    </w:p>
    <w:p w:rsidR="00000000" w:rsidDel="00000000" w:rsidP="00000000" w:rsidRDefault="00000000" w:rsidRPr="00000000" w14:paraId="000000C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con cualquiera de los dos conjuntos de características.</w:t>
      </w:r>
    </w:p>
    <w:p w:rsidR="00000000" w:rsidDel="00000000" w:rsidP="00000000" w:rsidRDefault="00000000" w:rsidRPr="00000000" w14:paraId="000000D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En el genoma de \textit{C. elegans}, se puede hacer un análisis similar para HuntMi y Mirident. En este conjunto de datos, miR-BAG genera una curva ROC</w:t>
      </w:r>
    </w:p>
    <w:p w:rsidR="00000000" w:rsidDel="00000000" w:rsidP="00000000" w:rsidRDefault="00000000" w:rsidRPr="00000000" w14:paraId="000000D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similar a la curva de MiRPara, ambas debajo del resto de las curvas. HHMMiR presenta un mejor rendimiento que estos métodos, pero una vez más es superado por</w:t>
      </w:r>
    </w:p>
    <w:p w:rsidR="00000000" w:rsidDel="00000000" w:rsidP="00000000" w:rsidRDefault="00000000" w:rsidRPr="00000000" w14:paraId="000000D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miRNAss.</w:t>
      </w:r>
    </w:p>
    <w:p w:rsidR="00000000" w:rsidDel="00000000" w:rsidP="00000000" w:rsidRDefault="00000000" w:rsidRPr="00000000" w14:paraId="000000D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\begin{figure*}[tpb]</w:t>
      </w:r>
    </w:p>
    <w:p w:rsidR="00000000" w:rsidDel="00000000" w:rsidP="00000000" w:rsidRDefault="00000000" w:rsidRPr="00000000" w14:paraId="000000D4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\centering</w:t>
      </w:r>
    </w:p>
    <w:p w:rsidR="00000000" w:rsidDel="00000000" w:rsidP="00000000" w:rsidRDefault="00000000" w:rsidRPr="00000000" w14:paraId="000000D5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\includegraphics[width=\linewidth]{fig/genome-wide_ROC.eps}</w:t>
      </w:r>
    </w:p>
    <w:p w:rsidR="00000000" w:rsidDel="00000000" w:rsidP="00000000" w:rsidRDefault="00000000" w:rsidRPr="00000000" w14:paraId="000000D6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\caption[Curvas ROC en genoma completo]{Curvas ROC de miRNAss y otros métodos del estado del arte en datos de genoma completo de tres especies. Los puntos muestran el desempeño</w:t>
      </w:r>
    </w:p>
    <w:p w:rsidR="00000000" w:rsidDel="00000000" w:rsidP="00000000" w:rsidRDefault="00000000" w:rsidRPr="00000000" w14:paraId="000000D7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alcanzado por los métodos que generan clasificaciones sin puntajes de predicción.}</w:t>
      </w:r>
    </w:p>
    <w:p w:rsidR="00000000" w:rsidDel="00000000" w:rsidP="00000000" w:rsidRDefault="00000000" w:rsidRPr="00000000" w14:paraId="000000D8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\label{fig:ROC}</w:t>
      </w:r>
    </w:p>
    <w:p w:rsidR="00000000" w:rsidDel="00000000" w:rsidP="00000000" w:rsidRDefault="00000000" w:rsidRPr="00000000" w14:paraId="000000D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\end{figure*}</w:t>
      </w:r>
    </w:p>
    <w:p w:rsidR="00000000" w:rsidDel="00000000" w:rsidP="00000000" w:rsidRDefault="00000000" w:rsidRPr="00000000" w14:paraId="000000D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En el caso del genoma de \textit{A. gambiae}, el rendimiento de miRNAss con FS1 es más distante al obtenido con FS2. MiR-BAG y HHMMiR generan una curva</w:t>
      </w:r>
    </w:p>
    <w:p w:rsidR="00000000" w:rsidDel="00000000" w:rsidP="00000000" w:rsidRDefault="00000000" w:rsidRPr="00000000" w14:paraId="000000D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similar a la obtenida por miRNAss con FS2, muy por debajo de la obtenida con FS1. La curva ROC con FS1 muestra, en la esquina superior izquierda, que miRNAss</w:t>
      </w:r>
    </w:p>
    <w:p w:rsidR="00000000" w:rsidDel="00000000" w:rsidP="00000000" w:rsidRDefault="00000000" w:rsidRPr="00000000" w14:paraId="000000D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puede proporcionar el mejor equilibrio entre sensibilidad y tasa de falsos positivos. De hecho, esta es casi una curva ROC ideal.</w:t>
      </w:r>
    </w:p>
    <w:p w:rsidR="00000000" w:rsidDel="00000000" w:rsidP="00000000" w:rsidRDefault="00000000" w:rsidRPr="00000000" w14:paraId="000000D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Finalmente, como resumen del análisis comparativo, la Tabla~\ref{tab:wholegenome} presenta más resultados de interés práctico. Los mismos métodos y</w:t>
      </w:r>
    </w:p>
    <w:p w:rsidR="00000000" w:rsidDel="00000000" w:rsidP="00000000" w:rsidRDefault="00000000" w:rsidRPr="00000000" w14:paraId="000000D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especies de la Figura~\ref{fig:ROC} se analizan aquí según el rendimiento global y el número total de candidatos que devuelve cada método utilizando sus</w:t>
      </w:r>
    </w:p>
    <w:p w:rsidR="00000000" w:rsidDel="00000000" w:rsidP="00000000" w:rsidRDefault="00000000" w:rsidRPr="00000000" w14:paraId="000000E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valores de umbral predeterminados, es decir, la suma de verdaderos positivos y falsos positivos ( $TPFP$). Se puede ver que miARNs supera a todos los métodos</w:t>
      </w:r>
    </w:p>
    <w:p w:rsidR="00000000" w:rsidDel="00000000" w:rsidP="00000000" w:rsidRDefault="00000000" w:rsidRPr="00000000" w14:paraId="000000E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en los tres genomas. Mirident es el método con el rendimiento más bajo para todas las especies. Esto se debe a que etiqueta como positivos casi todos los</w:t>
      </w:r>
    </w:p>
    <w:p w:rsidR="00000000" w:rsidDel="00000000" w:rsidP="00000000" w:rsidRDefault="00000000" w:rsidRPr="00000000" w14:paraId="000000E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ejemplos, lo que se refleja en una sensibilidad muy alta, pero sin utilidad práctica dada la cantidad de candidatos proporcionados. MiR-BAG tiene un mejor</w:t>
      </w:r>
    </w:p>
    <w:p w:rsidR="00000000" w:rsidDel="00000000" w:rsidP="00000000" w:rsidRDefault="00000000" w:rsidRPr="00000000" w14:paraId="000000E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pero aún pobre desempeño en ambas especies. HHMMiR y miRPara predicen muy pocos candidatos, con alta especificidad a costa de una sensibilidad muy baja.</w:t>
      </w:r>
    </w:p>
    <w:p w:rsidR="00000000" w:rsidDel="00000000" w:rsidP="00000000" w:rsidRDefault="00000000" w:rsidRPr="00000000" w14:paraId="000000E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HuntMi, en cambio, permite obtener resultados más equilibrados, con el segundo mejor rendimiento. Sin embargo, en \textit{A. gambiae} devuelve una cantidad de</w:t>
      </w:r>
    </w:p>
    <w:p w:rsidR="00000000" w:rsidDel="00000000" w:rsidP="00000000" w:rsidRDefault="00000000" w:rsidRPr="00000000" w14:paraId="000000E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falsos positivos más de 5 veces mayor que los devueltos por miRNAss.</w:t>
      </w:r>
    </w:p>
    <w:p w:rsidR="00000000" w:rsidDel="00000000" w:rsidP="00000000" w:rsidRDefault="00000000" w:rsidRPr="00000000" w14:paraId="000000E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Estos resultados nos permiten afirmar que miRNAss supera a los métodos supervisados en una configuración de clasificación realista.Los ejemplos</w:t>
      </w:r>
    </w:p>
    <w:p w:rsidR="00000000" w:rsidDel="00000000" w:rsidP="00000000" w:rsidRDefault="00000000" w:rsidRPr="00000000" w14:paraId="000000E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negativos definidos artificialmente se usan para entrenar modelos supervisados y, dado que estos ejemplos no son representativos de la gran diversidad de</w:t>
      </w:r>
    </w:p>
    <w:p w:rsidR="00000000" w:rsidDel="00000000" w:rsidP="00000000" w:rsidRDefault="00000000" w:rsidRPr="00000000" w14:paraId="000000E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la clase negativa, los modelos no descartan correctamente secuencias que no sean miARN. Por el contrario, miRNAss puede aprovechar mejor el gran número de</w:t>
      </w:r>
    </w:p>
    <w:p w:rsidR="00000000" w:rsidDel="00000000" w:rsidP="00000000" w:rsidRDefault="00000000" w:rsidRPr="00000000" w14:paraId="000000E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secuencias no etiquetadas para ajustarse mejor al límite de decisión alrededor de los pre-miARN, descartando el resto de las secuencias.</w:t>
      </w:r>
    </w:p>
    <w:p w:rsidR="00000000" w:rsidDel="00000000" w:rsidP="00000000" w:rsidRDefault="00000000" w:rsidRPr="00000000" w14:paraId="000000E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\begin{table}[tpb]</w:t>
      </w:r>
    </w:p>
    <w:p w:rsidR="00000000" w:rsidDel="00000000" w:rsidP="00000000" w:rsidRDefault="00000000" w:rsidRPr="00000000" w14:paraId="000000ED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\footnotesize</w:t>
      </w:r>
    </w:p>
    <w:p w:rsidR="00000000" w:rsidDel="00000000" w:rsidP="00000000" w:rsidRDefault="00000000" w:rsidRPr="00000000" w14:paraId="000000EE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\centering</w:t>
      </w:r>
    </w:p>
    <w:p w:rsidR="00000000" w:rsidDel="00000000" w:rsidP="00000000" w:rsidRDefault="00000000" w:rsidRPr="00000000" w14:paraId="000000EF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\caption[Resultados en genomá completo]{media geométrica de la sensibilidad y la especificidad ($\bar{G}$) y suma de falsos y verdaderos positivos </w:t>
      </w:r>
    </w:p>
    <w:p w:rsidR="00000000" w:rsidDel="00000000" w:rsidP="00000000" w:rsidRDefault="00000000" w:rsidRPr="00000000" w14:paraId="000000F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($TPFP$, por sus siglas en ingles) en las tres pruebas de genoma completo.</w:t>
      </w:r>
    </w:p>
    <w:p w:rsidR="00000000" w:rsidDel="00000000" w:rsidP="00000000" w:rsidRDefault="00000000" w:rsidRPr="00000000" w14:paraId="000000F1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\label{tab:wholegenome}}</w:t>
      </w:r>
    </w:p>
    <w:p w:rsidR="00000000" w:rsidDel="00000000" w:rsidP="00000000" w:rsidRDefault="00000000" w:rsidRPr="00000000" w14:paraId="000000F2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\begin{tabular}{@{}lrcrcrc@{}} \toprule</w:t>
      </w:r>
    </w:p>
    <w:p w:rsidR="00000000" w:rsidDel="00000000" w:rsidP="00000000" w:rsidRDefault="00000000" w:rsidRPr="00000000" w14:paraId="000000F3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&amp;</w:t>
        <w:tab/>
        <w:t xml:space="preserve">\multicolumn{2}{c}{\textit{A. thaliana}}</w:t>
      </w:r>
    </w:p>
    <w:p w:rsidR="00000000" w:rsidDel="00000000" w:rsidP="00000000" w:rsidRDefault="00000000" w:rsidRPr="00000000" w14:paraId="000000F4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&amp;</w:t>
        <w:tab/>
        <w:t xml:space="preserve">\multicolumn{2}{c}{\textit{C. elegans}}</w:t>
      </w:r>
    </w:p>
    <w:p w:rsidR="00000000" w:rsidDel="00000000" w:rsidP="00000000" w:rsidRDefault="00000000" w:rsidRPr="00000000" w14:paraId="000000F5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&amp;</w:t>
        <w:tab/>
        <w:t xml:space="preserve">\multicolumn{2}{c}{\textit{A. gambiae}} \\</w:t>
      </w:r>
    </w:p>
    <w:p w:rsidR="00000000" w:rsidDel="00000000" w:rsidP="00000000" w:rsidRDefault="00000000" w:rsidRPr="00000000" w14:paraId="000000F6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\multirow{2}{*}{Classifier}</w:t>
        <w:tab/>
        <w:t xml:space="preserve">&amp;</w:t>
        <w:tab/>
        <w:t xml:space="preserve"> $TPFP$</w:t>
        <w:tab/>
        <w:tab/>
        <w:t xml:space="preserve">&amp;</w:t>
        <w:tab/>
        <w:t xml:space="preserve"> $\bar{G}$</w:t>
      </w:r>
    </w:p>
    <w:p w:rsidR="00000000" w:rsidDel="00000000" w:rsidP="00000000" w:rsidRDefault="00000000" w:rsidRPr="00000000" w14:paraId="000000F7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&amp;</w:t>
        <w:tab/>
        <w:t xml:space="preserve"> $TPFP$</w:t>
        <w:tab/>
        <w:tab/>
        <w:tab/>
        <w:t xml:space="preserve">&amp;</w:t>
        <w:tab/>
        <w:t xml:space="preserve"> $\bar{G}$</w:t>
      </w:r>
    </w:p>
    <w:p w:rsidR="00000000" w:rsidDel="00000000" w:rsidP="00000000" w:rsidRDefault="00000000" w:rsidRPr="00000000" w14:paraId="000000F8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&amp;</w:t>
        <w:tab/>
        <w:t xml:space="preserve"> $TPFP$</w:t>
        <w:tab/>
        <w:tab/>
        <w:tab/>
        <w:t xml:space="preserve">&amp;</w:t>
        <w:tab/>
        <w:t xml:space="preserve"> $\bar{G}$</w:t>
        <w:tab/>
        <w:t xml:space="preserve">\\\midrule</w:t>
      </w:r>
    </w:p>
    <w:p w:rsidR="00000000" w:rsidDel="00000000" w:rsidP="00000000" w:rsidRDefault="00000000" w:rsidRPr="00000000" w14:paraId="000000F9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{\small Mirident}</w:t>
        <w:tab/>
        <w:t xml:space="preserve">&amp;</w:t>
        <w:tab/>
        <w:t xml:space="preserve"> 1,294,648</w:t>
        <w:tab/>
        <w:tab/>
        <w:t xml:space="preserve">&amp;</w:t>
        <w:tab/>
        <w:t xml:space="preserve"> 22.05 \%</w:t>
      </w:r>
    </w:p>
    <w:p w:rsidR="00000000" w:rsidDel="00000000" w:rsidP="00000000" w:rsidRDefault="00000000" w:rsidRPr="00000000" w14:paraId="000000FA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&amp;</w:t>
        <w:tab/>
        <w:t xml:space="preserve"> 1,617,221</w:t>
        <w:tab/>
        <w:tab/>
        <w:t xml:space="preserve">&amp;</w:t>
        <w:tab/>
        <w:t xml:space="preserve"> 21.29 \%</w:t>
      </w:r>
    </w:p>
    <w:p w:rsidR="00000000" w:rsidDel="00000000" w:rsidP="00000000" w:rsidRDefault="00000000" w:rsidRPr="00000000" w14:paraId="000000FB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&amp;</w:t>
        <w:tab/>
        <w:t xml:space="preserve"> 4,068,431</w:t>
        <w:tab/>
        <w:tab/>
        <w:t xml:space="preserve">&amp;</w:t>
        <w:tab/>
        <w:t xml:space="preserve"> 21.86 \%</w:t>
        <w:tab/>
        <w:t xml:space="preserve">\\</w:t>
      </w:r>
    </w:p>
    <w:p w:rsidR="00000000" w:rsidDel="00000000" w:rsidP="00000000" w:rsidRDefault="00000000" w:rsidRPr="00000000" w14:paraId="000000FC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{\small miR-BAG}</w:t>
        <w:tab/>
        <w:t xml:space="preserve">&amp;</w:t>
        <w:tab/>
        <w:t xml:space="preserve"> -</w:t>
        <w:tab/>
        <w:tab/>
        <w:tab/>
        <w:t xml:space="preserve">&amp;</w:t>
        <w:tab/>
        <w:t xml:space="preserve"> -</w:t>
      </w:r>
    </w:p>
    <w:p w:rsidR="00000000" w:rsidDel="00000000" w:rsidP="00000000" w:rsidRDefault="00000000" w:rsidRPr="00000000" w14:paraId="000000FD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&amp;</w:t>
        <w:tab/>
        <w:t xml:space="preserve"> 375,011</w:t>
        <w:tab/>
        <w:tab/>
        <w:t xml:space="preserve">&amp;</w:t>
        <w:tab/>
        <w:t xml:space="preserve"> 63.14 \%</w:t>
      </w:r>
    </w:p>
    <w:p w:rsidR="00000000" w:rsidDel="00000000" w:rsidP="00000000" w:rsidRDefault="00000000" w:rsidRPr="00000000" w14:paraId="000000FE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&amp;</w:t>
        <w:tab/>
        <w:t xml:space="preserve"> 495,231</w:t>
        <w:tab/>
        <w:tab/>
        <w:t xml:space="preserve">&amp;</w:t>
        <w:tab/>
        <w:t xml:space="preserve"> 57.62 \%</w:t>
        <w:tab/>
        <w:t xml:space="preserve">\\</w:t>
      </w:r>
    </w:p>
    <w:p w:rsidR="00000000" w:rsidDel="00000000" w:rsidP="00000000" w:rsidRDefault="00000000" w:rsidRPr="00000000" w14:paraId="000000FF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{\small miRPara}</w:t>
        <w:tab/>
        <w:t xml:space="preserve">&amp;</w:t>
        <w:tab/>
        <w:t xml:space="preserve"> 2,755</w:t>
        <w:tab/>
        <w:tab/>
        <w:tab/>
        <w:t xml:space="preserve">&amp;</w:t>
        <w:tab/>
        <w:t xml:space="preserve"> 47.95 \%</w:t>
      </w:r>
    </w:p>
    <w:p w:rsidR="00000000" w:rsidDel="00000000" w:rsidP="00000000" w:rsidRDefault="00000000" w:rsidRPr="00000000" w14:paraId="0000010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&amp;</w:t>
        <w:tab/>
        <w:t xml:space="preserve"> 11,712</w:t>
        <w:tab/>
        <w:tab/>
        <w:tab/>
        <w:t xml:space="preserve">&amp;</w:t>
        <w:tab/>
        <w:t xml:space="preserve"> 53.79 \%</w:t>
      </w:r>
    </w:p>
    <w:p w:rsidR="00000000" w:rsidDel="00000000" w:rsidP="00000000" w:rsidRDefault="00000000" w:rsidRPr="00000000" w14:paraId="00000101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&amp;</w:t>
        <w:tab/>
        <w:t xml:space="preserve"> 283,232</w:t>
        <w:tab/>
        <w:tab/>
        <w:t xml:space="preserve">&amp;</w:t>
        <w:tab/>
        <w:t xml:space="preserve"> 72.48 \%</w:t>
        <w:tab/>
        <w:t xml:space="preserve">\\</w:t>
      </w:r>
    </w:p>
    <w:p w:rsidR="00000000" w:rsidDel="00000000" w:rsidP="00000000" w:rsidRDefault="00000000" w:rsidRPr="00000000" w14:paraId="00000102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{\small HHMMiR}</w:t>
        <w:tab/>
        <w:tab/>
        <w:t xml:space="preserve">&amp;</w:t>
        <w:tab/>
        <w:t xml:space="preserve"> 45,104</w:t>
        <w:tab/>
        <w:tab/>
        <w:tab/>
        <w:t xml:space="preserve">&amp;</w:t>
        <w:tab/>
        <w:t xml:space="preserve"> 69.07 \%</w:t>
      </w:r>
    </w:p>
    <w:p w:rsidR="00000000" w:rsidDel="00000000" w:rsidP="00000000" w:rsidRDefault="00000000" w:rsidRPr="00000000" w14:paraId="00000103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&amp;</w:t>
        <w:tab/>
        <w:t xml:space="preserve"> 40,318</w:t>
        <w:tab/>
        <w:tab/>
        <w:tab/>
        <w:t xml:space="preserve">&amp;</w:t>
        <w:tab/>
        <w:t xml:space="preserve"> 73.29 \%</w:t>
      </w:r>
    </w:p>
    <w:p w:rsidR="00000000" w:rsidDel="00000000" w:rsidP="00000000" w:rsidRDefault="00000000" w:rsidRPr="00000000" w14:paraId="00000104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&amp;</w:t>
        <w:tab/>
        <w:t xml:space="preserve"> 91,093</w:t>
        <w:tab/>
        <w:tab/>
        <w:tab/>
        <w:t xml:space="preserve">&amp;</w:t>
        <w:tab/>
        <w:t xml:space="preserve"> 74.07 \%</w:t>
        <w:tab/>
        <w:t xml:space="preserve">\\</w:t>
      </w:r>
    </w:p>
    <w:p w:rsidR="00000000" w:rsidDel="00000000" w:rsidP="00000000" w:rsidRDefault="00000000" w:rsidRPr="00000000" w14:paraId="00000105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{\small HuntMi}</w:t>
        <w:tab/>
        <w:tab/>
        <w:t xml:space="preserve">&amp;</w:t>
        <w:tab/>
        <w:t xml:space="preserve"> 173,906</w:t>
        <w:tab/>
        <w:tab/>
        <w:t xml:space="preserve">&amp;</w:t>
        <w:tab/>
        <w:t xml:space="preserve"> 84.00 \%</w:t>
      </w:r>
    </w:p>
    <w:p w:rsidR="00000000" w:rsidDel="00000000" w:rsidP="00000000" w:rsidRDefault="00000000" w:rsidRPr="00000000" w14:paraId="00000106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&amp;</w:t>
        <w:tab/>
        <w:t xml:space="preserve"> 462,203</w:t>
        <w:tab/>
        <w:tab/>
        <w:t xml:space="preserve">&amp;</w:t>
        <w:tab/>
        <w:t xml:space="preserve"> 82.00 \%</w:t>
      </w:r>
    </w:p>
    <w:p w:rsidR="00000000" w:rsidDel="00000000" w:rsidP="00000000" w:rsidRDefault="00000000" w:rsidRPr="00000000" w14:paraId="00000107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&amp;</w:t>
        <w:tab/>
        <w:t xml:space="preserve"> 1,456,590</w:t>
        <w:tab/>
        <w:tab/>
        <w:t xml:space="preserve">&amp;</w:t>
        <w:tab/>
        <w:t xml:space="preserve"> 80.20 \%</w:t>
        <w:tab/>
        <w:t xml:space="preserve">\\</w:t>
      </w:r>
    </w:p>
    <w:p w:rsidR="00000000" w:rsidDel="00000000" w:rsidP="00000000" w:rsidRDefault="00000000" w:rsidRPr="00000000" w14:paraId="00000108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{\small MiRNAss}</w:t>
        <w:tab/>
        <w:t xml:space="preserve">&amp;</w:t>
        <w:tab/>
        <w:t xml:space="preserve">134,369</w:t>
        <w:tab/>
        <w:tab/>
        <w:t xml:space="preserve">&amp;</w:t>
        <w:tab/>
        <w:t xml:space="preserve">\textbf{84.82 \%}</w:t>
      </w:r>
    </w:p>
    <w:p w:rsidR="00000000" w:rsidDel="00000000" w:rsidP="00000000" w:rsidRDefault="00000000" w:rsidRPr="00000000" w14:paraId="00000109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&amp;</w:t>
        <w:tab/>
        <w:t xml:space="preserve"> 164,557</w:t>
        <w:tab/>
        <w:tab/>
        <w:t xml:space="preserve">&amp;</w:t>
        <w:tab/>
        <w:t xml:space="preserve"> \textbf{87.61 \%}</w:t>
      </w:r>
    </w:p>
    <w:p w:rsidR="00000000" w:rsidDel="00000000" w:rsidP="00000000" w:rsidRDefault="00000000" w:rsidRPr="00000000" w14:paraId="0000010A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&amp;</w:t>
        <w:tab/>
        <w:t xml:space="preserve"> 258,096</w:t>
        <w:tab/>
        <w:tab/>
        <w:t xml:space="preserve">&amp;</w:t>
        <w:tab/>
        <w:t xml:space="preserve"> \textbf{93.34 \%}</w:t>
        <w:tab/>
        <w:t xml:space="preserve">\\\bottomrule</w:t>
      </w:r>
    </w:p>
    <w:p w:rsidR="00000000" w:rsidDel="00000000" w:rsidP="00000000" w:rsidRDefault="00000000" w:rsidRPr="00000000" w14:paraId="0000010B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\end{tabular}</w:t>
      </w:r>
    </w:p>
    <w:p w:rsidR="00000000" w:rsidDel="00000000" w:rsidP="00000000" w:rsidRDefault="00000000" w:rsidRPr="00000000" w14:paraId="0000010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10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1"/>
        <w:contextualSpacing w:val="0"/>
        <w:rPr/>
      </w:pPr>
      <w:bookmarkStart w:colFirst="0" w:colLast="0" w:name="_ucw411uwvz1u" w:id="6"/>
      <w:bookmarkEnd w:id="6"/>
      <w:r w:rsidDel="00000000" w:rsidR="00000000" w:rsidRPr="00000000">
        <w:rPr>
          <w:rtl w:val="0"/>
        </w:rPr>
        <w:t xml:space="preserve">\chapter{Conclusiones}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En este estudio, presentamos una nueva metodología de predicción pre-miARN compuesta por tres etapas. Para la primer etapa, se desarrolló un método para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extraer secuencias con estructura secundaría tipo horquilla del genoma completo. Este método contempla ademas el recorte de las secuencias y la eliminación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de horquillas repetidas, tanto idénticas como similares. Las pruebas en los genomas de 6 especies demostraron que el método propuesto encuentra una mayor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cantidad de horquillas que el único método disponible para esta tarea y, lo que es más importante aun, una mayor cantidad de pre-miARNs. El método con el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cual se comparó encontró en cada genoma aproximadamente un 90\% de los pre-miARNs conocidos llegando a un 80\% en el caso de una especie no modelo.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En cambio la metodología propuesta alcanzó en valores cercanos al 100\% en todos las especies.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En segundo lugar, se realizó una exhaustiva revisión del estado del arte para analizar que características se utilizan en al predicción de microARN. Con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esta información se desarrollo una librería llamada de algoritmos de extracción de características y una versión web para utilizar estos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algoritmos sin la necesidad de tener conocimientos sobre programación. Consideramos ademas que la revisión del estado del arte y la posterior recopilación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de información puede ser de gran valor para la comunidad.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Por último, se desarrolló un algoritmo de predicción que utiliza un enfoque semi-supervisado para enfrentar el problema de ejemplos de entrenamiento escasos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y poco confiables. Los experimentos realizados en una configuración supervisada forzada mostraron que alcanza las tasas de clasificación de los mejores métodos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del estado del arte en pruebas de validación cruzada estándar en tiempos más cortos. El método propuesto también se probó en condiciones que están más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cerca de una tarea de predicción real, donde se reduce el número de secuencias etiquetadas. En estas pruebas, superó claramente al mejor método supervisado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disponible el cual sufrió una importante caída de desempeño. Ademas se obtuvieron mejores resultados que otro método diseñado especialmente para trabajar con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pocos ejemplos de entrenamiento. Para la última prueba se procesaron tres genomas de especies modelos y se compararon resultados con varios métodos del estado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del arte. En esta prueba una gran cantidad de métodos fallaron porque no fueron capaces de procesar la gran cantidad de horquillas. Los métodos que funcionaron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obtuvieron desempeños por debajo del obtenido con el método desarrollado, en algunos casos cercanos al error \textit{by chance}.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Los resultados a lo largo de este trabajo permiten arribar a las siguientes conclusiones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\begin{itemize}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\item Existía una autentica necesidad de mejorar el proceso de extracción de horquillas del genoma completo, dado que los métodos existentes no se desempeñaban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ab/>
        <w:t xml:space="preserve">satisfactoriamente y una gran cantidad de pre-miARNs se perdían en este temprano paso.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\item La metodología diseñada para la extracción de horquillas del genoma logró superar esta falencia al lograr extraer casi todos los pre-miARNs en los genomas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ab/>
        <w:t xml:space="preserve">en los que se realizaron pruebas.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\item Muchos métodos de predicción del estado del arte son desarrollados sin tener en cuenta la escalabilidad, por lo que resultan imposibles de aplicar a tareas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ab/>
        <w:t xml:space="preserve">de predicción en genomas completos.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\item La biblioteca de extracción de características desarrollada permite calcular la gran mayoría de las características utilizadas en la predicción de miARNs en la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ab/>
        <w:t xml:space="preserve">actualidad.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\item La interfaz web de extracción de características permite obtener vectores numéricos a partir de secuencias a usuarios sin conocimientos de programación.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\item Los ejemplos negativos que se utilizan para entrenar muchos métodos de predicción del estado del arte no son representativos de la clase completa de secuencias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ab/>
        <w:t xml:space="preserve">no miARN.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\item Los métodos supervisados de predicción de miARN logran tasas de desempeño muy altas pruebas de validación cruzada con una clase negativa definida artificialmente,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ab/>
        <w:t xml:space="preserve">pero el rendimiento disminuye en gran medida cuando tienen que enfrentar la diversidad de secuencias que se pueden encontrar en un genoma real. Por lo tanto,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ab/>
        <w:t xml:space="preserve">esta metodología de validación no permite obtener conclusiones confiables sobre el desempeño de las distintas técnicas de predicción.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\item El método de predicción desarrollado resulta eficiente y escalable, lo que permite procesar genomas completos con varios millones de horquillas.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\item El método de predicción desarrollado busca automáticamente una amplia variedad de ejemplos negativos entre las secuencias tipo horquilla. Ademas, al ser un algoritmo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ab/>
        <w:t xml:space="preserve">de aprendizaje semi-supervisado, tiene en cuenta la distribución de las secuencias sin etiqueta en el espacio de las características para ajustar fronteras de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ab/>
        <w:t xml:space="preserve">decisión alrededor de los pre-miARNs. Esto permite un mejor desempeño que el de los métodos supervisados del estado del arte.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\end{itemize}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