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rstParagraph"/>
      </w:pPr>
      <w:r>
        <w:drawing>
          <wp:inline>
            <wp:extent cx="5943600" cy="2806700"/>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0"/>
                    <a:stretch>
                      <a:fillRect/>
                    </a:stretch>
                  </pic:blipFill>
                  <pic:spPr bwMode="auto">
                    <a:xfrm>
                      <a:off x="0" y="0"/>
                      <a:ext cx="5943600" cy="28067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used back doors to bribe their way into selective universities. While the outcry that has resulted is justified, Varsity Blues only scratches the surface of the troubling practices plaguing college admissions, even at public research universities that were founded with the mission of providing opportunity and social mobility for state residents.</w:t>
      </w:r>
      <w:r>
        <w:rPr>
          <w:vertAlign w:val="superscript"/>
        </w:rPr>
        <w:t xml:space="preserve">1</w:t>
      </w:r>
      <w:r>
        <w:t xml:space="preserve"> </w:t>
      </w:r>
      <w:r>
        <w:t xml:space="preserve">Today, many state flagship universities are increasingly unrepresentative of the socioeconomic and racial diversity of the state they serve, in large part because they enroll a growing number of affluent, out-of-state students. This systematic preference for wealth, at times independent of merit, reveals how incentives created by policy decisions and unstable funding streams can distort the enrollment priorities of public universities—with powerful and far-reaching consequences for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2</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colleges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3</w:t>
      </w:r>
      <w:r>
        <w:t xml:space="preserve"> </w:t>
      </w:r>
      <w:r>
        <w:t xml:space="preserve">However, a recent evaluation by the College Board—in which 785,000 high-achieving low- and middle-income students were randomly given additional information about their college choice and financial aid opportunities—found no effect on the probability of those students enrolling in a selective institution.</w:t>
      </w:r>
      <w:r>
        <w:rPr>
          <w:vertAlign w:val="superscript"/>
        </w:rPr>
        <w:t xml:space="preserve">4</w:t>
      </w:r>
      <w:r>
        <w:t xml:space="preserve"> </w:t>
      </w:r>
      <w:r>
        <w:t xml:space="preserve">These results complement a growing research base that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w:t>
      </w:r>
    </w:p>
    <w:p>
      <w:pPr>
        <w:pStyle w:val="BodyText"/>
      </w:pPr>
      <w:r>
        <w:t xml:space="preserve">Reports showing that universities stack the deck for rich kids are a dime a dozen. We explain why universities behave this way, and we begin a discussion about what can be done to change it.</w:t>
      </w:r>
    </w:p>
    <w:p>
      <w:pPr>
        <w:pStyle w:val="Heading6"/>
      </w:pPr>
      <w:bookmarkStart w:id="21" w:name="Xee8aa7f324963d4523a81ff9b8683a4873cf50e"/>
      <w:r>
        <w:t xml:space="preserve">Table 1: Population weighted number of high-achieving students by socioeconomic quintile</w:t>
      </w:r>
      <w:bookmarkEnd w:id="21"/>
    </w:p>
    <w:p>
      <w:pPr>
        <w:pStyle w:val="Heading6"/>
      </w:pPr>
      <w:bookmarkStart w:id="22" w:name="Xd743d6e07749532af82df54b2a9fb2d7a62c450"/>
      <w:r>
        <w:t xml:space="preserve">Table 2: Population weighted initial post-secondary destination of high-achieving students by socioeconomic quintile</w:t>
      </w:r>
      <w:bookmarkEnd w:id="22"/>
    </w:p>
    <w:p>
      <w:pPr>
        <w:pStyle w:val="Heading2"/>
      </w:pPr>
      <w:bookmarkStart w:id="23" w:name="background"/>
      <w:r>
        <w:t xml:space="preserve">Background</w:t>
      </w:r>
      <w:bookmarkEnd w:id="23"/>
    </w:p>
    <w:p>
      <w:pPr>
        <w:pStyle w:val="Heading4"/>
      </w:pPr>
      <w:bookmarkStart w:id="24" w:name="Xa3e1bda5eaf24469e7ed44e9bcf0b883be1e976"/>
      <w:r>
        <w:t xml:space="preserve">Enrollment Management by Public Research Universities</w:t>
      </w:r>
      <w:bookmarkEnd w:id="24"/>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5" w:name="X48613eb14567a723f14f8a1bbfb6469163992c6"/>
      <w:r>
        <w:t xml:space="preserve">Figure 1: Iron triangle of enrollment management</w:t>
      </w:r>
      <w:bookmarkEnd w:id="25"/>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6" w:name="X509b655e5784d580198196575a66a63840a20da"/>
      <w:r>
        <w:t xml:space="preserve">Figure 2: Average state and tuition revenue of public research-extensive universities, 2001-02 through 2016-17</w:t>
      </w:r>
      <w:bookmarkEnd w:id="26"/>
    </w:p>
    <w:p>
      <w:pPr>
        <w:pStyle w:val="FirstParagraph"/>
      </w:pPr>
    </w:p>
    <w:p>
      <w:pPr>
        <w:pStyle w:val="Heading4"/>
      </w:pPr>
      <w:bookmarkStart w:id="27" w:name="creating-the-out-of-state-university"/>
      <w:r>
        <w:t xml:space="preserve">Creating the Out-of-State University</w:t>
      </w:r>
      <w:bookmarkEnd w:id="27"/>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 at public research institutions.</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 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8" w:name="the-enrollment-funnel"/>
      <w:r>
        <w:t xml:space="preserve">The Enrollment Funnel</w:t>
      </w:r>
      <w:bookmarkEnd w:id="28"/>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 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17–23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r>
        <w:rPr>
          <w:vertAlign w:val="superscript"/>
        </w:rPr>
        <w:t xml:space="preserve">24</w:t>
      </w:r>
    </w:p>
    <w:p>
      <w:pPr>
        <w:pStyle w:val="Heading6"/>
      </w:pPr>
      <w:bookmarkStart w:id="29" w:name="figure-3-enrollment-management-funnel"/>
      <w:r>
        <w:t xml:space="preserve">Figure 3: Enrollment management funnel</w:t>
      </w:r>
      <w:bookmarkEnd w:id="29"/>
    </w:p>
    <w:p>
      <w:pPr>
        <w:pStyle w:val="FirstParagraph"/>
      </w:pPr>
    </w:p>
    <w:p>
      <w:pPr>
        <w:pStyle w:val="BodyText"/>
      </w:pPr>
      <w:r>
        <w:t xml:space="preserve">Universities identify prospects primarily by purchasing student lists from the College Board and ACT, Inc., which own large databases of prospective college student data.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 social media enables universities to tell their story to prospects who do not contact the university and may not wish to be contacted.</w:t>
      </w:r>
      <w:r>
        <w:rPr>
          <w:vertAlign w:val="superscript"/>
        </w:rPr>
        <w:t xml:space="preserve">29</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by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w:t>
      </w:r>
      <w:r>
        <w:rPr>
          <w:vertAlign w:val="superscript"/>
        </w:rPr>
        <w:t xml:space="preserve">27, 30</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r>
        <w:t xml:space="preserve">Off-Campus Recruiting</w:t>
      </w:r>
      <w:bookmarkEnd w:id="30"/>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26, 31</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11, 28, 32</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33</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follow-the-money"/>
      <w:r>
        <w:t xml:space="preserve">Research and Findings: Follow the Money</w:t>
      </w:r>
      <w:bookmarkEnd w:id="31"/>
    </w:p>
    <w:p>
      <w:pPr>
        <w:pStyle w:val="FirstParagraph"/>
      </w:pPr>
      <w:r>
        <w:t xml:space="preserve">Our original research collected data on off-campus recruiting visits by public research universities, with the goal of assessing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34</w:t>
      </w:r>
      <w:r>
        <w:t xml:space="preserve"> </w:t>
      </w: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35</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significant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2" w:name="X39b07c58d639be1578d399d6c386158888b3ebd"/>
      <w:r>
        <w:t xml:space="preserve">Table 3: State funding and number of events by type, in-state vs. out-of-state</w:t>
      </w:r>
      <w:bookmarkEnd w:id="32"/>
    </w:p>
    <w:p>
      <w:pPr>
        <w:pStyle w:val="Heading4"/>
      </w:pPr>
      <w:bookmarkStart w:id="33" w:name="Xf31a361c5df4c974917c375df5bf0d343f7bbfb"/>
      <w:r>
        <w:t xml:space="preserve">Trends in Median Income of Visited High Schools</w:t>
      </w:r>
      <w:bookmarkEnd w:id="33"/>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36</w:t>
      </w:r>
    </w:p>
    <w:p>
      <w:pPr>
        <w:pStyle w:val="Heading6"/>
      </w:pPr>
      <w:bookmarkStart w:id="34" w:name="Xac87f33657064ab46f4359233f15cad6e006b90"/>
      <w:r>
        <w:t xml:space="preserve">Figure 4: Average median household income of visited vs. non-visited public high schools</w:t>
      </w:r>
      <w:bookmarkEnd w:id="34"/>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5" w:name="X3f01f81cf8f31a1db7fa8b49f325166d5328e8e"/>
      <w:r>
        <w:t xml:space="preserve">Figure 5: Visits to metro areas by median household income</w:t>
      </w:r>
      <w:bookmarkEnd w:id="35"/>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4"/>
      </w:pPr>
      <w:bookmarkStart w:id="36" w:name="X6ba2795cc256d6b57a406d1945df8560783149a"/>
      <w:r>
        <w:t xml:space="preserve">Trends in Racial Composition of Visited High Schools</w:t>
      </w:r>
      <w:bookmarkEnd w:id="36"/>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7" w:name="Xf900e3864fa473db4ff95d67f168e49c64933fc"/>
      <w:r>
        <w:t xml:space="preserve">Figure 6: Average racial composition of visited vs. non-visited high schools by in-state, out-of-state</w:t>
      </w:r>
      <w:bookmarkEnd w:id="37"/>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8" w:name="X3ffdaeeb9351f1a225e7c69ac53a010b6b70bf3"/>
      <w:r>
        <w:t xml:space="preserve">Figure 7: Visits to metro areas by percent black, Latinx, and Native American</w:t>
      </w:r>
      <w:bookmarkEnd w:id="38"/>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37</w:t>
      </w:r>
      <w:r>
        <w:t xml:space="preserve"> </w:t>
      </w:r>
      <w:r>
        <w:t xml:space="preserve">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in-state visited and non-visited students remains relatively small across all cases.</w:t>
      </w:r>
    </w:p>
    <w:p>
      <w:pPr>
        <w:pStyle w:val="Heading2"/>
      </w:pPr>
      <w:bookmarkStart w:id="39" w:name="policy-implications"/>
      <w:r>
        <w:t xml:space="preserve">Policy Implications</w:t>
      </w:r>
      <w:bookmarkEnd w:id="39"/>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equipping students with better information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38, 39</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0" w:name="public-funding-and-enrollment-priorities"/>
      <w:r>
        <w:t xml:space="preserve">Public Funding and Enrollment Priorities</w:t>
      </w:r>
      <w:bookmarkEnd w:id="40"/>
    </w:p>
    <w:p>
      <w:pPr>
        <w:pStyle w:val="FirstParagraph"/>
      </w:pPr>
      <w:r>
        <w:t xml:space="preserve">State policymakers have often rationalized funding cuts to public universities on the ground that these organizations can generate their own revenue.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on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also help to increase block grant funding by matching state appropriations. If states and the federal government through a match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With respect to university enrollment priorities, need-based grant aid increases the purchasing power of poor students, making them more financially attractive to universities that rely on tuition revenue. The most important need-based grant programs are the federal Pell Grant program and state need-based grant aid programs, such as the Cal Grant and Minnesota State Grant. Policy changes that substantially increase maximum need-based aid awards—for example, doubling the maximum Pell Grant award from $6,195 to $12,000, enable a university to enroll a low-income student without substantial need-based institutional aid, thereby creating incentives for universities to enroll more low-income students. This idea should be tested empirically. However, most research on grant aid focuses on the effect of aid on student behavior. We recommend an experiment that assesses the effect of student purchasing power on university enrollment behavior by randomly assigning universities to a maximum Pell grant of $12,000 – the treatment condition – or the current maximum Pell grant of $6,195 – thre control condition. Outcome variables could include measures of recruiting behavior, Pell student enrollment, and number of Pell graduates.</w:t>
      </w:r>
    </w:p>
    <w:p>
      <w:pPr>
        <w:pStyle w:val="BodyText"/>
      </w:pPr>
      <w:r>
        <w:t xml:space="preserve">Other policies that increase student purchasing power include state</w:t>
      </w:r>
      <w:r>
        <w:t xml:space="preserve"> </w:t>
      </w:r>
      <w:r>
        <w:t xml:space="preserve">“</w:t>
      </w:r>
      <w:r>
        <w:t xml:space="preserve">free college</w:t>
      </w:r>
      <w:r>
        <w:t xml:space="preserve">”</w:t>
      </w:r>
      <w:r>
        <w:t xml:space="preserve"> </w:t>
      </w:r>
      <w:r>
        <w:t xml:space="preserve">policies and</w:t>
      </w:r>
      <w:r>
        <w:t xml:space="preserve"> </w:t>
      </w:r>
      <w:r>
        <w:t xml:space="preserve">“</w:t>
      </w:r>
      <w:r>
        <w:t xml:space="preserve">income sharing agreements.</w:t>
      </w:r>
      <w:r>
        <w:t xml:space="preserve">”</w:t>
      </w:r>
      <w:r>
        <w:t xml:space="preserve"> </w:t>
      </w:r>
      <w:r>
        <w:t xml:space="preserve">State</w:t>
      </w:r>
      <w:r>
        <w:t xml:space="preserve"> </w:t>
      </w:r>
      <w:r>
        <w:t xml:space="preserve">“</w:t>
      </w:r>
      <w:r>
        <w:t xml:space="preserve">free college</w:t>
      </w:r>
      <w:r>
        <w:t xml:space="preserve">”</w:t>
      </w:r>
      <w:r>
        <w:t xml:space="preserve"> </w:t>
      </w:r>
      <w:r>
        <w:t xml:space="preserve">policies are similar to state need-based aid programs in that they provide grant aid to eligible students attending in-state public institutions. However, in most states that have adopted such programs, the amount of money expended on free college programs is much smaller than the amount expended on need-based aid.</w:t>
      </w:r>
      <w:r>
        <w:rPr>
          <w:vertAlign w:val="superscript"/>
        </w:rPr>
        <w:t xml:space="preserve">40</w:t>
      </w:r>
      <w:r>
        <w:t xml:space="preserve"> </w:t>
      </w:r>
      <w:r>
        <w:t xml:space="preserve">Therefore, these programs likely have a smaller effect on university enrollment priorities than state need-based aid programs. Though not a grant, income sharing agreements (ISAs) are a private sector approach to increasing student purchasing power that avoids the student debt risks associated with loans. ISAs provide students up-front funds to pay for the cost of attending college. In exchange, students agree to pay some percentage of their income to the investor upon graduation, so long as their income is above some minimum threshold (e.g., $50,000).</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 In short, if policymakers want public universities to prioritize education over amenities, they should fund them appropriately.</w:t>
      </w:r>
    </w:p>
    <w:p>
      <w:pPr>
        <w:pStyle w:val="Heading4"/>
      </w:pPr>
      <w:bookmarkStart w:id="41" w:name="regulation-and-oversight"/>
      <w:r>
        <w:t xml:space="preserve">Regulation and Oversight</w:t>
      </w:r>
      <w:bookmarkEnd w:id="41"/>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41–44</w:t>
      </w:r>
    </w:p>
    <w:p>
      <w:pPr>
        <w:pStyle w:val="BodyText"/>
      </w:pP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they should apply an equal amount of scrutiny to better understanding which prospects universities target and how they do so during different stages of the enrollment process.</w:t>
      </w:r>
    </w:p>
    <w:p>
      <w:pPr>
        <w:pStyle w:val="Heading2"/>
      </w:pPr>
      <w:bookmarkStart w:id="42" w:name="conclusion"/>
      <w:r>
        <w:t xml:space="preserve">Conclusion</w:t>
      </w:r>
      <w:bookmarkEnd w:id="42"/>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often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3" w:name="endnotes"/>
      <w:r>
        <w:t xml:space="preserve">Endnotes</w:t>
      </w:r>
      <w:bookmarkEnd w:id="43"/>
    </w:p>
    <w:bookmarkStart w:id="102" w:name="refs"/>
    <w:bookmarkStart w:id="44" w:name="ref-RN2269"/>
    <w:p>
      <w:pPr>
        <w:pStyle w:val="Bibliography"/>
      </w:pPr>
      <w:r>
        <w:rPr>
          <w:b/>
        </w:rPr>
        <w:t xml:space="preserve">1</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bookmarkEnd w:id="44"/>
    <w:bookmarkStart w:id="45" w:name="ref-RN4016"/>
    <w:p>
      <w:pPr>
        <w:pStyle w:val="Bibliography"/>
      </w:pPr>
      <w:r>
        <w:rPr>
          <w:b/>
        </w:rPr>
        <w:t xml:space="preserve">2</w:t>
      </w:r>
      <w:r>
        <w:t xml:space="preserve">. The White House.</w:t>
      </w:r>
      <w:r>
        <w:t xml:space="preserve"> </w:t>
      </w:r>
      <w:r>
        <w:rPr>
          <w:i/>
        </w:rPr>
        <w:t xml:space="preserve">Increasing College Opportunity for Low-Income Students</w:t>
      </w:r>
      <w:r>
        <w:t xml:space="preserve">. The Executive Office of the President, 2014.</w:t>
      </w:r>
    </w:p>
    <w:bookmarkEnd w:id="45"/>
    <w:bookmarkStart w:id="46" w:name="ref-RN3699"/>
    <w:p>
      <w:pPr>
        <w:pStyle w:val="Bibliography"/>
      </w:pPr>
      <w:r>
        <w:rPr>
          <w:b/>
        </w:rPr>
        <w:t xml:space="preserve">3</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bookmarkEnd w:id="46"/>
    <w:bookmarkStart w:id="48" w:name="ref-RN4468"/>
    <w:p>
      <w:pPr>
        <w:pStyle w:val="Bibliography"/>
      </w:pPr>
      <w:r>
        <w:rPr>
          <w:b/>
        </w:rPr>
        <w:t xml:space="preserve">4</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bookmarkEnd w:id="48"/>
    <w:bookmarkStart w:id="49" w:name="ref-RN2771"/>
    <w:p>
      <w:pPr>
        <w:pStyle w:val="Bibliography"/>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bookmarkEnd w:id="49"/>
    <w:bookmarkStart w:id="50" w:name="ref-NOTE1"/>
    <w:p>
      <w:pPr>
        <w:pStyle w:val="Bibliography"/>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bookmarkEnd w:id="50"/>
    <w:bookmarkStart w:id="51" w:name="ref-RN3753"/>
    <w:p>
      <w:pPr>
        <w:pStyle w:val="Bibliography"/>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bookmarkEnd w:id="51"/>
    <w:bookmarkStart w:id="52" w:name="ref-NOTE2"/>
    <w:p>
      <w:pPr>
        <w:pStyle w:val="Bibliography"/>
      </w:pPr>
      <w:r>
        <w:rPr>
          <w:b/>
        </w:rPr>
        <w:t xml:space="preserve">8</w:t>
      </w:r>
      <w:r>
        <w:t xml:space="preserve">. Author calculations based on the Integrated Postsecondary Education Data System (IPEDS) Student Financial Aid survey component.</w:t>
      </w:r>
    </w:p>
    <w:bookmarkEnd w:id="52"/>
    <w:bookmarkStart w:id="54" w:name="ref-RN4409"/>
    <w:p>
      <w:pPr>
        <w:pStyle w:val="Bibliography"/>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bookmarkEnd w:id="54"/>
    <w:bookmarkStart w:id="55" w:name="ref-RN4032"/>
    <w:p>
      <w:pPr>
        <w:pStyle w:val="Bibliography"/>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bookmarkEnd w:id="55"/>
    <w:bookmarkStart w:id="56" w:name="ref-RN3519"/>
    <w:p>
      <w:pPr>
        <w:pStyle w:val="Bibliography"/>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bookmarkEnd w:id="56"/>
    <w:bookmarkStart w:id="58" w:name="ref-RN3762"/>
    <w:p>
      <w:pPr>
        <w:pStyle w:val="Bibliography"/>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7">
        <w:r>
          <w:rPr>
            <w:rStyle w:val="Hyperlink"/>
          </w:rPr>
          <w:t xml:space="preserve">10.1007/s11162-014-9359-2</w:t>
        </w:r>
      </w:hyperlink>
      <w:r>
        <w:t xml:space="preserve">.</w:t>
      </w:r>
    </w:p>
    <w:bookmarkEnd w:id="58"/>
    <w:bookmarkStart w:id="60" w:name="ref-RN4494"/>
    <w:p>
      <w:pPr>
        <w:pStyle w:val="Bibliography"/>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9">
        <w:r>
          <w:rPr>
            <w:rStyle w:val="Hyperlink"/>
          </w:rPr>
          <w:t xml:space="preserve">https://www.arkansasonline.com/news/2019/aug/01/ua-relaxes-academic-standards-for-out-o/</w:t>
        </w:r>
      </w:hyperlink>
      <w:r>
        <w:t xml:space="preserve">.</w:t>
      </w:r>
    </w:p>
    <w:bookmarkEnd w:id="60"/>
    <w:bookmarkStart w:id="62" w:name="ref-RN4290"/>
    <w:p>
      <w:pPr>
        <w:pStyle w:val="Bibliography"/>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61">
        <w:r>
          <w:rPr>
            <w:rStyle w:val="Hyperlink"/>
          </w:rPr>
          <w:t xml:space="preserve">10.3102/0162373717704719</w:t>
        </w:r>
      </w:hyperlink>
      <w:r>
        <w:t xml:space="preserve">.</w:t>
      </w:r>
    </w:p>
    <w:bookmarkEnd w:id="62"/>
    <w:bookmarkStart w:id="63" w:name="ref-RN4492"/>
    <w:p>
      <w:pPr>
        <w:pStyle w:val="Bibliography"/>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w:t>
      </w:r>
    </w:p>
    <w:bookmarkEnd w:id="63"/>
    <w:bookmarkStart w:id="64" w:name="ref-RN3685"/>
    <w:p>
      <w:pPr>
        <w:pStyle w:val="Bibliography"/>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bookmarkEnd w:id="64"/>
    <w:bookmarkStart w:id="65" w:name="ref-RN3536"/>
    <w:p>
      <w:pPr>
        <w:pStyle w:val="Bibliography"/>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bookmarkEnd w:id="65"/>
    <w:bookmarkStart w:id="66" w:name="ref-RN3544"/>
    <w:p>
      <w:pPr>
        <w:pStyle w:val="Bibliography"/>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bookmarkEnd w:id="66"/>
    <w:bookmarkStart w:id="67" w:name="ref-RN3523"/>
    <w:p>
      <w:pPr>
        <w:pStyle w:val="Bibliography"/>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bookmarkEnd w:id="67"/>
    <w:bookmarkStart w:id="68" w:name="ref-RN4131"/>
    <w:p>
      <w:pPr>
        <w:pStyle w:val="Bibliography"/>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bookmarkEnd w:id="68"/>
    <w:bookmarkStart w:id="69" w:name="ref-RN2241"/>
    <w:p>
      <w:pPr>
        <w:pStyle w:val="Bibliography"/>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bookmarkEnd w:id="69"/>
    <w:bookmarkStart w:id="70" w:name="ref-RN3564"/>
    <w:p>
      <w:pPr>
        <w:pStyle w:val="Bibliography"/>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bookmarkEnd w:id="70"/>
    <w:bookmarkStart w:id="71" w:name="ref-RN1948"/>
    <w:p>
      <w:pPr>
        <w:pStyle w:val="Bibliography"/>
      </w:pPr>
      <w:r>
        <w:rPr>
          <w:b/>
        </w:rPr>
        <w:t xml:space="preserve">23</w:t>
      </w:r>
      <w:r>
        <w:t xml:space="preserve">. McPherson, Michael S., and Morton Owen Schapiro.</w:t>
      </w:r>
      <w:r>
        <w:t xml:space="preserve"> </w:t>
      </w:r>
      <w:r>
        <w:rPr>
          <w:i/>
        </w:rPr>
        <w:t xml:space="preserve">The Student Aid Game</w:t>
      </w:r>
      <w:r>
        <w:t xml:space="preserve">. Princeton University Press, 1998.</w:t>
      </w:r>
    </w:p>
    <w:bookmarkEnd w:id="71"/>
    <w:bookmarkStart w:id="73" w:name="ref-RN4322"/>
    <w:p>
      <w:pPr>
        <w:pStyle w:val="Bibliography"/>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72">
        <w:r>
          <w:rPr>
            <w:rStyle w:val="Hyperlink"/>
          </w:rPr>
          <w:t xml:space="preserve">https://hop-online.com/blog/higher-education-marketing-admissions-process/</w:t>
        </w:r>
      </w:hyperlink>
      <w:r>
        <w:t xml:space="preserve">.</w:t>
      </w:r>
    </w:p>
    <w:bookmarkEnd w:id="73"/>
    <w:bookmarkStart w:id="75" w:name="ref-RN4314"/>
    <w:p>
      <w:pPr>
        <w:pStyle w:val="Bibliography"/>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75"/>
    <w:bookmarkStart w:id="77" w:name="ref-RN4402"/>
    <w:p>
      <w:pPr>
        <w:pStyle w:val="Bibliography"/>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76">
        <w:r>
          <w:rPr>
            <w:rStyle w:val="Hyperlink"/>
          </w:rPr>
          <w:t xml:space="preserve">http://learn.ruffalonl.com/rs/395-EOG-977/images/RNL_2018_Student_Recruitment_Marketing_Report_EM-19.pdf</w:t>
        </w:r>
      </w:hyperlink>
      <w:r>
        <w:t xml:space="preserve">.</w:t>
      </w:r>
    </w:p>
    <w:bookmarkEnd w:id="77"/>
    <w:bookmarkStart w:id="79" w:name="ref-RN4035"/>
    <w:p>
      <w:pPr>
        <w:pStyle w:val="Bibliography"/>
      </w:pPr>
      <w:r>
        <w:rPr>
          <w:b/>
        </w:rPr>
        <w:t xml:space="preserve">27</w:t>
      </w:r>
      <w:r>
        <w:t xml:space="preserve">. University of Alabama.</w:t>
      </w:r>
      <w:r>
        <w:t xml:space="preserve"> </w:t>
      </w:r>
      <w:r>
        <w:rPr>
          <w:i/>
        </w:rPr>
        <w:t xml:space="preserve">Open Records</w:t>
      </w:r>
      <w:r>
        <w:t xml:space="preserve">. 2019,</w:t>
      </w:r>
      <w:r>
        <w:t xml:space="preserve"> </w:t>
      </w:r>
      <w:hyperlink r:id="rId78">
        <w:r>
          <w:rPr>
            <w:rStyle w:val="Hyperlink"/>
          </w:rPr>
          <w:t xml:space="preserve">http://open.ua.edu/</w:t>
        </w:r>
      </w:hyperlink>
      <w:r>
        <w:t xml:space="preserve">.</w:t>
      </w:r>
    </w:p>
    <w:bookmarkEnd w:id="79"/>
    <w:bookmarkStart w:id="80" w:name="ref-RN4323"/>
    <w:p>
      <w:pPr>
        <w:pStyle w:val="Bibliography"/>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bookmarkEnd w:id="80"/>
    <w:bookmarkStart w:id="81" w:name="ref-RN4411"/>
    <w:p>
      <w:pPr>
        <w:pStyle w:val="Bibliography"/>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bookmarkEnd w:id="81"/>
    <w:bookmarkStart w:id="82" w:name="ref-NOTE7"/>
    <w:p>
      <w:pPr>
        <w:pStyle w:val="Bibliography"/>
      </w:pPr>
      <w:r>
        <w:rPr>
          <w:b/>
        </w:rPr>
        <w:t xml:space="preserve">30</w:t>
      </w:r>
      <w:r>
        <w:t xml:space="preserve">. Figures adjusted using 2018 CPI.</w:t>
      </w:r>
    </w:p>
    <w:bookmarkEnd w:id="82"/>
    <w:bookmarkStart w:id="83" w:name="ref-NOTE3"/>
    <w:p>
      <w:pPr>
        <w:pStyle w:val="Bibliography"/>
      </w:pPr>
      <w:r>
        <w:rPr>
          <w:b/>
        </w:rPr>
        <w:t xml:space="preserve">31</w:t>
      </w:r>
      <w:r>
        <w:t xml:space="preserve">. Only "traditional advertising" (e.g., billboards, newspapers, magazines, TV, radio) accounted for a higher percentage (24%).</w:t>
      </w:r>
    </w:p>
    <w:bookmarkEnd w:id="83"/>
    <w:bookmarkStart w:id="84" w:name="ref-RN4315"/>
    <w:p>
      <w:pPr>
        <w:pStyle w:val="Bibliography"/>
      </w:pPr>
      <w:r>
        <w:rPr>
          <w:b/>
        </w:rPr>
        <w:t xml:space="preserve">32</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84"/>
    <w:bookmarkStart w:id="85" w:name="ref-RN4324"/>
    <w:p>
      <w:pPr>
        <w:pStyle w:val="Bibliography"/>
      </w:pPr>
      <w:r>
        <w:rPr>
          <w:b/>
        </w:rPr>
        <w:t xml:space="preserve">33</w:t>
      </w:r>
      <w:r>
        <w:t xml:space="preserve">. Holland, Megan M.</w:t>
      </w:r>
      <w:r>
        <w:t xml:space="preserve"> </w:t>
      </w:r>
      <w:r>
        <w:rPr>
          <w:i/>
        </w:rPr>
        <w:t xml:space="preserve">Divergent Paths to College: Race, Class, and Inequality in High Schools</w:t>
      </w:r>
      <w:r>
        <w:t xml:space="preserve">. Rutgers University Press, 2019.</w:t>
      </w:r>
    </w:p>
    <w:bookmarkEnd w:id="85"/>
    <w:bookmarkStart w:id="86" w:name="ref-NOTE4"/>
    <w:p>
      <w:pPr>
        <w:pStyle w:val="Bibliography"/>
      </w:pPr>
      <w:r>
        <w:rPr>
          <w:b/>
        </w:rPr>
        <w:t xml:space="preserve">34</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bookmarkEnd w:id="86"/>
    <w:bookmarkStart w:id="87" w:name="ref-NOTE5"/>
    <w:p>
      <w:pPr>
        <w:pStyle w:val="Bibliography"/>
      </w:pPr>
      <w:r>
        <w:rPr>
          <w:b/>
        </w:rPr>
        <w:t xml:space="preserve">35</w:t>
      </w:r>
      <w:r>
        <w:t xml:space="preserve">. More details on the proportional vs. actual number of visits to out-of-state private high schools compared to public high schools can be found here.</w:t>
      </w:r>
    </w:p>
    <w:bookmarkEnd w:id="87"/>
    <w:bookmarkStart w:id="88" w:name="ref-NOTE6"/>
    <w:p>
      <w:pPr>
        <w:pStyle w:val="Bibliography"/>
      </w:pPr>
      <w:r>
        <w:rPr>
          <w:b/>
        </w:rPr>
        <w:t xml:space="preserve">36</w:t>
      </w:r>
      <w:r>
        <w:t xml:space="preserve">. Regression results can be found in the report here.</w:t>
      </w:r>
    </w:p>
    <w:bookmarkEnd w:id="88"/>
    <w:bookmarkStart w:id="90" w:name="ref-RN4504"/>
    <w:p>
      <w:pPr>
        <w:pStyle w:val="Bibliography"/>
      </w:pPr>
      <w:r>
        <w:rPr>
          <w:b/>
        </w:rPr>
        <w:t xml:space="preserve">37</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89">
        <w:r>
          <w:rPr>
            <w:rStyle w:val="Hyperlink"/>
          </w:rPr>
          <w:t xml:space="preserve">10.1177/2332858417751355</w:t>
        </w:r>
      </w:hyperlink>
      <w:r>
        <w:t xml:space="preserve">.</w:t>
      </w:r>
    </w:p>
    <w:bookmarkEnd w:id="90"/>
    <w:bookmarkStart w:id="92" w:name="ref-RN4469"/>
    <w:p>
      <w:pPr>
        <w:pStyle w:val="Bibliography"/>
      </w:pPr>
      <w:r>
        <w:rPr>
          <w:b/>
        </w:rPr>
        <w:t xml:space="preserve">38</w:t>
      </w:r>
      <w:r>
        <w:t xml:space="preserve">. Mountjoy, Jack.</w:t>
      </w:r>
      <w:r>
        <w:t xml:space="preserve"> </w:t>
      </w:r>
      <w:r>
        <w:rPr>
          <w:i/>
        </w:rPr>
        <w:t xml:space="preserve">Community Colleges and Upward Mobility</w:t>
      </w:r>
      <w:r>
        <w:t xml:space="preserve">. Princeton &amp; Chicago Booth, 2018,</w:t>
      </w:r>
      <w:r>
        <w:t xml:space="preserve"> </w:t>
      </w:r>
      <w:hyperlink r:id="rId91">
        <w:r>
          <w:rPr>
            <w:rStyle w:val="Hyperlink"/>
          </w:rPr>
          <w:t xml:space="preserve">https://economics.stanford.edu/sites/g/files/sbiybj9386/f/mountjoy_2018_community_colleges_and_upward_mobility.pdf</w:t>
        </w:r>
      </w:hyperlink>
      <w:r>
        <w:t xml:space="preserve">.</w:t>
      </w:r>
    </w:p>
    <w:bookmarkEnd w:id="92"/>
    <w:bookmarkStart w:id="94" w:name="ref-RN2261"/>
    <w:p>
      <w:pPr>
        <w:pStyle w:val="Bibliography"/>
      </w:pPr>
      <w:r>
        <w:rPr>
          <w:b/>
        </w:rPr>
        <w:t xml:space="preserve">39</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93">
        <w:r>
          <w:rPr>
            <w:rStyle w:val="Hyperlink"/>
          </w:rPr>
          <w:t xml:space="preserve">10.3102/0162373708327756</w:t>
        </w:r>
      </w:hyperlink>
      <w:r>
        <w:t xml:space="preserve">.</w:t>
      </w:r>
    </w:p>
    <w:bookmarkEnd w:id="94"/>
    <w:bookmarkStart w:id="96" w:name="ref-RN4466"/>
    <w:p>
      <w:pPr>
        <w:pStyle w:val="Bibliography"/>
      </w:pPr>
      <w:r>
        <w:rPr>
          <w:b/>
        </w:rPr>
        <w:t xml:space="preserve">40</w:t>
      </w:r>
      <w:r>
        <w:t xml:space="preserve">. Perna, Laura W., Elaine W. Leigh, and Stephanie Carroll. “‘Free College:’ A New and Improved State Approach to Increasing Educational Attainment?”</w:t>
      </w:r>
      <w:r>
        <w:t xml:space="preserve"> </w:t>
      </w:r>
      <w:r>
        <w:rPr>
          <w:i/>
        </w:rPr>
        <w:t xml:space="preserve">American Behavioral Scientist</w:t>
      </w:r>
      <w:r>
        <w:t xml:space="preserve">, vol. 61, no. 14, 2018, pp. 1740–56, doi:</w:t>
      </w:r>
      <w:hyperlink r:id="rId95">
        <w:r>
          <w:rPr>
            <w:rStyle w:val="Hyperlink"/>
          </w:rPr>
          <w:t xml:space="preserve">10.1177/0002764217744821</w:t>
        </w:r>
      </w:hyperlink>
      <w:r>
        <w:t xml:space="preserve">.</w:t>
      </w:r>
    </w:p>
    <w:bookmarkEnd w:id="96"/>
    <w:bookmarkStart w:id="97" w:name="ref-RN4495"/>
    <w:p>
      <w:pPr>
        <w:pStyle w:val="Bibliography"/>
      </w:pPr>
      <w:r>
        <w:rPr>
          <w:b/>
        </w:rPr>
        <w:t xml:space="preserve">41</w:t>
      </w:r>
      <w:r>
        <w:t xml:space="preserve">. Jack, Anthony Abraham.</w:t>
      </w:r>
      <w:r>
        <w:t xml:space="preserve"> </w:t>
      </w:r>
      <w:r>
        <w:rPr>
          <w:i/>
        </w:rPr>
        <w:t xml:space="preserve">The Privileged Poor: How Elite Colleges Are Failing Disadvantaged Students</w:t>
      </w:r>
      <w:r>
        <w:t xml:space="preserve">. Harvard University Press, 2019, p. 276.</w:t>
      </w:r>
    </w:p>
    <w:bookmarkEnd w:id="97"/>
    <w:bookmarkStart w:id="99" w:name="ref-RN4396"/>
    <w:p>
      <w:pPr>
        <w:pStyle w:val="Bibliography"/>
      </w:pPr>
      <w:r>
        <w:rPr>
          <w:b/>
        </w:rPr>
        <w:t xml:space="preserve">42</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98">
        <w:r>
          <w:rPr>
            <w:rStyle w:val="Hyperlink"/>
          </w:rPr>
          <w:t xml:space="preserve">10.1177/0038040715614913</w:t>
        </w:r>
      </w:hyperlink>
      <w:r>
        <w:t xml:space="preserve">.</w:t>
      </w:r>
    </w:p>
    <w:bookmarkEnd w:id="99"/>
    <w:bookmarkStart w:id="100" w:name="ref-RN2517"/>
    <w:p>
      <w:pPr>
        <w:pStyle w:val="Bibliography"/>
      </w:pPr>
      <w:r>
        <w:rPr>
          <w:b/>
        </w:rPr>
        <w:t xml:space="preserve">43</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bookmarkEnd w:id="100"/>
    <w:bookmarkStart w:id="101" w:name="ref-RN4360"/>
    <w:p>
      <w:pPr>
        <w:pStyle w:val="Bibliography"/>
      </w:pPr>
      <w:r>
        <w:rPr>
          <w:b/>
        </w:rPr>
        <w:t xml:space="preserve">44</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bookmarkEnd w:id="101"/>
    <w:bookmarkEnd w:id="102"/>
    <w:sectPr w:rsidR="002567EF" w:rsidRPr="00DF2BDD" w:rsidSect="00E97A84">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cp:keywords/>
  <dcterms:created xsi:type="dcterms:W3CDTF">2019-11-08T19:16:07Z</dcterms:created>
  <dcterms:modified xsi:type="dcterms:W3CDTF">2019-11-08T19:16:07Z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third-way-bib.bib</vt:lpwstr>
  </property>
  <property fmtid="{D5CDD505-2E9C-101B-9397-08002B2CF9AE}" pid="3" name="csl">
    <vt:lpwstr>mla.csl</vt:lpwstr>
  </property>
  <property fmtid="{D5CDD505-2E9C-101B-9397-08002B2CF9AE}" pid="4" name="output">
    <vt:lpwstr/>
  </property>
  <property fmtid="{D5CDD505-2E9C-101B-9397-08002B2CF9AE}" pid="5" name="urlcolor">
    <vt:lpwstr>blue</vt:lpwstr>
  </property>
</Properties>
</file>