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gure"/>
      </w:pPr>
      <w:r>
        <w:drawing>
          <wp:inline>
            <wp:extent cx="6159500" cy="2908652"/>
            <wp:effectExtent b="0" l="0" r="0" t="0"/>
            <wp:docPr descr="" title="" id="1" name="Picture"/>
            <a:graphic>
              <a:graphicData uri="http://schemas.openxmlformats.org/drawingml/2006/picture">
                <pic:pic>
                  <pic:nvPicPr>
                    <pic:cNvPr descr="assets/images/sample_header.png" id="0" name="Picture"/>
                    <pic:cNvPicPr>
                      <a:picLocks noChangeArrowheads="1" noChangeAspect="1"/>
                    </pic:cNvPicPr>
                  </pic:nvPicPr>
                  <pic:blipFill>
                    <a:blip r:embed="rId21"/>
                    <a:stretch>
                      <a:fillRect/>
                    </a:stretch>
                  </pic:blipFill>
                  <pic:spPr bwMode="auto">
                    <a:xfrm>
                      <a:off x="0" y="0"/>
                      <a:ext cx="6159500" cy="2908652"/>
                    </a:xfrm>
                    <a:prstGeom prst="rect">
                      <a:avLst/>
                    </a:prstGeom>
                    <a:noFill/>
                    <a:ln w="9525">
                      <a:noFill/>
                      <a:headEnd/>
                      <a:tailEnd/>
                    </a:ln>
                  </pic:spPr>
                </pic:pic>
              </a:graphicData>
            </a:graphic>
          </wp:inline>
        </w:drawing>
      </w:r>
    </w:p>
    <w:p>
      <w:pPr>
        <w:pStyle w:val="Heading2"/>
      </w:pPr>
      <w:bookmarkStart w:id="22" w:name="introduction"/>
      <w:bookmarkEnd w:id="22"/>
      <w:r>
        <w:t xml:space="preserve">Introduction</w:t>
      </w:r>
    </w:p>
    <w:p>
      <w:pPr>
        <w:pStyle w:val="FirstParagraph"/>
      </w:pPr>
      <w:r>
        <w:t xml:space="preserve">Historically, the mission of public research universities has been to provide opportunity and social mobility for state residents who cannot afford tuition at elite private colleges and universities. Yet today we see that these institutions increasingly enroll an affluent student body that is often unrepresentative of the socioeconomic and racial diversity of the states they serve.</w:t>
      </w:r>
    </w:p>
    <w:p>
      <w:pPr>
        <w:pStyle w:val="BodyText"/>
      </w:pPr>
      <w:r>
        <w:t xml:space="preserve">Policy debates often attribute this access inequality to the academic achievement gap between low-income and affluent students.</w:t>
      </w:r>
      <w:r>
        <w:t xml:space="preserve">1</w:t>
      </w:r>
      <w:r>
        <w:t xml:space="preserve"> </w:t>
      </w:r>
      <w:r>
        <w:t xml:space="preserve">However, as the tables below show, there is actually an abundance of students from lower socioeconomic quintiles who are well-qualified for admission into competitive universities. Yet, unfortunately, these high-achieving, low-income students are much more likely to attend community college than their affluent peers, which can negatively impact their chances of obtaining a bachelor’s degree in the future. Policymakers refer to this phenomenon as</w:t>
      </w:r>
      <w:r>
        <w:t xml:space="preserve"> </w:t>
      </w:r>
      <w:r>
        <w:t xml:space="preserve">“</w:t>
      </w:r>
      <w:r>
        <w:t xml:space="preserve">under-matching</w:t>
      </w:r>
      <w:r>
        <w:t xml:space="preserve">”</w:t>
      </w:r>
      <w:r>
        <w:t xml:space="preserve">–the idea that high-achieving, low-income students do not apply to selective institutions because they lack the proper information and guidance from their family and high school.</w:t>
      </w:r>
      <w:r>
        <w:t xml:space="preserve">2</w:t>
      </w:r>
      <w:r>
        <w:t xml:space="preserve"> </w:t>
      </w:r>
      <w:r>
        <w:t xml:space="preserve">But a recent experimental evaluation by the College Board found that interventions providing these students with more information about their college options and the application process showed no effect on their enrollment in selective institutions, suggesting that student behavior and inadequate transparency around options may not be the only reason for access inequality.</w:t>
      </w:r>
      <w:r>
        <w:t xml:space="preserve">3</w:t>
      </w:r>
    </w:p>
    <w:p>
      <w:pPr>
        <w:pStyle w:val="BodyText"/>
      </w:pPr>
      <w:r>
        <w:t xml:space="preserve">An alternative explanation is that the enrollment priorities of public research universities may be biased against low-income students and/or students of color. If so, fixing student achievement and college application decisions will ultimately fail to overcome the access inequality. Unfortunately,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which is why we make the case that knowing which student populations are targeted by university recruiting efforts is a credible indicator of their enrollment priorities.</w:t>
      </w:r>
    </w:p>
    <w:p>
      <w:pPr>
        <w:pStyle w:val="BodyText"/>
      </w:pPr>
      <w:r>
        <w:t xml:space="preserve">This report analyzes university recruiting behavior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these out-of-state visits focus on affluent, predominantly white high schools and the impact this has on enrollment patterns for high-achieving, low-income students. More pointedly: when public research universities systematically ignore high-achieving, low-income state residents, these students often resort to attending community colleges, which has a dramatic negative effect on their chances of obtaining a bachelor’s degree.</w:t>
      </w:r>
      <w:r>
        <w:t xml:space="preserve">4</w:t>
      </w:r>
      <w:r>
        <w:t xml:space="preserve"> </w:t>
      </w:r>
      <w:r>
        <w:t xml:space="preserve">These insights have critical implications for ensuring that state and federal higher education policies are designed to empower public universities to fulfill their missions and provide access to high-quality education for all students in their state.</w:t>
      </w:r>
    </w:p>
    <w:p>
      <w:pPr>
        <w:pStyle w:val="Heading6"/>
      </w:pPr>
      <w:bookmarkStart w:id="23" w:name="table-1-number-of-high-achieving-students-by-socioeconomic-quintile"/>
      <w:bookmarkEnd w:id="23"/>
      <w:r>
        <w:t xml:space="preserve">Table 1: Number of high-achieving students by socioeconomic quintile</w:t>
      </w:r>
    </w:p>
    <w:p>
      <w:pPr>
        <w:pStyle w:val="Heading6"/>
      </w:pPr>
      <w:bookmarkStart w:id="24" w:name="table-2-initial-post-secondary-destination-of-high-achieving-students-by-socioeconomic-quintile"/>
      <w:bookmarkEnd w:id="24"/>
      <w:r>
        <w:t xml:space="preserve">Table 2: Initial post-secondary destination of high-achieving students by socioeconomic quintile</w:t>
      </w:r>
    </w:p>
    <w:p>
      <w:pPr>
        <w:pStyle w:val="Heading2"/>
      </w:pPr>
      <w:bookmarkStart w:id="25" w:name="background"/>
      <w:bookmarkEnd w:id="25"/>
      <w:r>
        <w:t xml:space="preserve">Background</w:t>
      </w:r>
    </w:p>
    <w:p>
      <w:pPr>
        <w:pStyle w:val="Heading4"/>
      </w:pPr>
      <w:bookmarkStart w:id="26" w:name="enrollment-management-by-public-research-universities"/>
      <w:bookmarkEnd w:id="26"/>
      <w:r>
        <w:t xml:space="preserve">Enrollment Management by Public Research Universities</w:t>
      </w:r>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t xml:space="preserve">5</w:t>
      </w:r>
      <w:r>
        <w:t xml:space="preserve"> </w:t>
      </w:r>
      <w:r>
        <w:t xml:space="preserve">EM is also a common university administrative structure, and many institutions have an Office of Enrollment Management that coordinates the activities of the offices responsible for admission, financial aid, marketing, and recruiting.</w:t>
      </w:r>
    </w:p>
    <w:p>
      <w:pPr>
        <w:pStyle w:val="BodyText"/>
      </w:pPr>
      <w:r>
        <w:t xml:space="preserve">The</w:t>
      </w:r>
      <w:r>
        <w:t xml:space="preserve"> </w:t>
      </w:r>
      <w:r>
        <w:t xml:space="preserve">“</w:t>
      </w:r>
      <w:r>
        <w:t xml:space="preserve">iron triangle</w:t>
      </w:r>
      <w:r>
        <w:t xml:space="preserve">”</w:t>
      </w:r>
      <w:r>
        <w:t xml:space="preserve"> </w:t>
      </w:r>
      <w:r>
        <w:t xml:space="preserve">of enrollment management states that universities care about the three broad enrollment goals: access, academic quality, and tuition revenue. [DEFINE THESE? LA LA] Because resources are scarce, the imagery of the iron triangle suggests that pursuing one goal involves trade-offs with the others. Growing preoccupation with rankings incentivizes universities to prioritize the academic prestige goal, while state disinvestment incentivizes universities to prioritize the tuition revenue goal and discourages universities from enrolling large numbers of low-income students. Consistent with this idea, average state funding at public research universities declined from $232 million in 2007-08 to $158 million in 2016-17. Over the same time period, average net tuition revenue increased from $225 million to $493 million.</w:t>
      </w:r>
    </w:p>
    <w:p>
      <w:pPr>
        <w:pStyle w:val="BodyText"/>
      </w:pPr>
      <w:r>
        <w:t xml:space="preserve">Empirical research shows that public research universities responded to declining state appropriations by dramatically increasing nonresident enrollment.</w:t>
      </w:r>
      <w:r>
        <w:t xml:space="preserve">6</w:t>
      </w:r>
      <w:r>
        <w:t xml:space="preserve"> </w:t>
      </w:r>
      <w:r>
        <w:t xml:space="preserve">Since these nonresident students tended to be more affluent and were less likely to be black or Latinx than resident students, growth in the share of nonresident students was associated with declines in the share of Pell Grant recipients and black/Latinx students at public research universities. At prestigious public research universities like the University of Michigan and the University of California-Berkeley, nonresident enrollment growth was found to have a negative causal effect on enrollment opportunities for resident students. While prestigious public research universities enjoy strong demand from high-achieving out-of-state students, the majority of public research universities, like the University of Arizona, have demand from out-of-state students who cannot gain admission to their own state flagship. As a result, research shows that many less prestigious public flagship universities have adopted institutional</w:t>
      </w:r>
      <w:r>
        <w:t xml:space="preserve"> </w:t>
      </w:r>
      <w:r>
        <w:t xml:space="preserve">“</w:t>
      </w:r>
      <w:r>
        <w:t xml:space="preserve">merit aid</w:t>
      </w:r>
      <w:r>
        <w:t xml:space="preserve">”</w:t>
      </w:r>
      <w:r>
        <w:t xml:space="preserve"> </w:t>
      </w:r>
      <w:r>
        <w:t xml:space="preserve">programs specifically designed to target out-of-state students with mediocre academic achievement.</w:t>
      </w:r>
    </w:p>
    <w:p>
      <w:pPr>
        <w:pStyle w:val="Heading4"/>
      </w:pPr>
      <w:bookmarkStart w:id="27" w:name="the-enrollment-funnel"/>
      <w:bookmarkEnd w:id="27"/>
      <w:r>
        <w:t xml:space="preserve">The Enrollment Funnel</w:t>
      </w:r>
    </w:p>
    <w:p>
      <w:pPr>
        <w:pStyle w:val="FirstParagraph"/>
      </w:pPr>
      <w:r>
        <w:t xml:space="preserve">Figure 1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w:t>
      </w:r>
      <w:r>
        <w:t xml:space="preserve">7, 8, 9, 10</w:t>
      </w:r>
      <w:r>
        <w:t xml:space="preserve"> </w:t>
      </w:r>
      <w:r>
        <w:t xml:space="preserve">and the use of financial aid</w:t>
      </w:r>
      <w:r>
        <w:t xml:space="preserve"> </w:t>
      </w:r>
      <w:r>
        <w:t xml:space="preserve">“</w:t>
      </w:r>
      <w:r>
        <w:t xml:space="preserve">leveraging</w:t>
      </w:r>
      <w:r>
        <w:t xml:space="preserve">”</w:t>
      </w:r>
      <w:r>
        <w:t xml:space="preserve"> </w:t>
      </w:r>
      <w:r>
        <w:t xml:space="preserve">to convert admits to enrollees.</w:t>
      </w:r>
      <w:r>
        <w:t xml:space="preserve">11, 12, 13</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w:t>
      </w:r>
      <w:r>
        <w:t xml:space="preserve"> </w:t>
      </w:r>
      <w:r>
        <w:t xml:space="preserve">“</w:t>
      </w:r>
      <w:r>
        <w:t xml:space="preserve">Prospects</w:t>
      </w:r>
      <w:r>
        <w:t xml:space="preserve">”</w:t>
      </w:r>
      <w:r>
        <w:t xml:space="preserve"> </w:t>
      </w:r>
      <w:r>
        <w:t xml:space="preserve">are</w:t>
      </w:r>
      <w:r>
        <w:t xml:space="preserve"> </w:t>
      </w:r>
      <w:r>
        <w:t xml:space="preserve">“</w:t>
      </w:r>
      <w:r>
        <w:t xml:space="preserve">all the potential students you would want to attract to your institution</w:t>
      </w:r>
      <w:r>
        <w:t xml:space="preserve">”</w:t>
      </w:r>
      <w:r>
        <w:t xml:space="preserve">.</w:t>
      </w:r>
      <w:r>
        <w:t xml:space="preserve">14</w:t>
      </w:r>
      <w:r>
        <w:t xml:space="preserve"> </w:t>
      </w:r>
      <w:r>
        <w:t xml:space="preserve">“</w:t>
      </w:r>
      <w:r>
        <w:t xml:space="preserve">Inquiries</w:t>
      </w:r>
      <w:r>
        <w:t xml:space="preserve">”</w:t>
      </w:r>
      <w:r>
        <w:t xml:space="preserve"> </w:t>
      </w:r>
      <w:r>
        <w:t xml:space="preserve">are prospects that contact the university, including those who respond to university solicitations like emails and brochures and those who reach out on their own by taking actions such as sending SAT/ACT scores to a university or completing a form on the admissions website.</w:t>
      </w:r>
    </w:p>
    <w:p>
      <w:pPr>
        <w:pStyle w:val="Heading6"/>
      </w:pPr>
      <w:bookmarkStart w:id="28" w:name="figure-1-enrollment-management-funnel"/>
      <w:bookmarkEnd w:id="28"/>
      <w:r>
        <w:t xml:space="preserve">Figure 1: Enrollment management funnel</w:t>
      </w:r>
    </w:p>
    <w:p>
      <w:pPr>
        <w:pStyle w:val="FirstParagraph"/>
      </w:pPr>
    </w:p>
    <w:p>
      <w:pPr>
        <w:pStyle w:val="BodyText"/>
      </w:pPr>
      <w:r>
        <w:t xml:space="preserve">Universities identify prospects primarily by purchasing student lists from the College Board and the ACT, which own large databases on prospective college students.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found that the median public university purchases about 64,000 names</w:t>
      </w:r>
      <w:r>
        <w:t xml:space="preserve">15</w:t>
      </w:r>
      <w:r>
        <w:t xml:space="preserve">–and they don’t come cheap. For example, from 2010 to 2018, the University of Alabama paid $1.9 million to College Board and $349,000 to ACT, Inc. for student data.</w:t>
      </w:r>
      <w:r>
        <w:t xml:space="preserve">16</w:t>
      </w:r>
    </w:p>
    <w:p>
      <w:pPr>
        <w:pStyle w:val="BodyText"/>
      </w:pPr>
      <w:r>
        <w:t xml:space="preserve">Once identified, prospects are targeted with recruiting interventions aimed at soliciting inquiries and applications.</w:t>
      </w:r>
      <w:r>
        <w:t xml:space="preserve">17, 18</w:t>
      </w:r>
      <w:r>
        <w:t xml:space="preserve"> </w:t>
      </w:r>
      <w:r>
        <w:t xml:space="preserve">Face-to-face interventions include off-campus visits by universities admissions representatives–for example, to a local high school–and on-campus visits by prospects. Non face-to-face interventions include texts, emails, and mail, such as postcards and brochures. Additionally, universities utilize paid advertising, including pay-per-click ads from Google and cookie-driven ads that target prospects who visit your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w:t>
      </w:r>
      <w:r>
        <w:t xml:space="preserve">19</w:t>
      </w:r>
      <w:r>
        <w:t xml:space="preserve">, social media enables universities to tell their story to prospects who do not contact the university and do not wish to be contacted.</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such as which criteria to select when purchasing student lists, and pinpoint which prospects should receive which recruiting interventions–another practice that comes at a high price tag for institutions. Going back to the University of Alabama (UA), from 2010 to 2018 UA paid $4.4 million to the EM consulting firm Hobsons (2018 CPI).</w:t>
      </w:r>
      <w:r>
        <w:t xml:space="preserve">16</w:t>
      </w:r>
      <w:r>
        <w:t xml:space="preserve"> </w:t>
      </w:r>
      <w:r>
        <w:t xml:space="preserve">Like Hobsons, these consultancies integrate proprietary data, publicly-available data, and university-owned data like historical data on applicants and IP addresses that visit the university website. As an example of proprietary data, one enrollment management consultancy told us they know the household income, house value, and detailed expenditures of every household in the US,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29" w:name="off-campus-recruiting"/>
      <w:bookmarkEnd w:id="29"/>
      <w:r>
        <w:t xml:space="preserve">Off-Campus Recruiting</w:t>
      </w:r>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t xml:space="preserve">20</w:t>
      </w:r>
      <w:r>
        <w:t xml:space="preserve"> </w:t>
      </w:r>
      <w:r>
        <w:t xml:space="preserve">Ruffalo Noel Levitz, a higher education consulting firm, found that public universities spent 18% of their marketing and recruiting budget on</w:t>
      </w:r>
      <w:r>
        <w:t xml:space="preserve"> </w:t>
      </w:r>
      <w:r>
        <w:t xml:space="preserve">“</w:t>
      </w:r>
      <w:r>
        <w:t xml:space="preserve">travel to high schools and college fairs,</w:t>
      </w:r>
      <w:r>
        <w:t xml:space="preserve">”</w:t>
      </w:r>
      <w:r>
        <w:t xml:space="preserve"> </w:t>
      </w:r>
      <w:r>
        <w:t xml:space="preserve">compared to 15% for on-campus visits and 14% for student list purchases.</w:t>
      </w:r>
      <w:r>
        <w:t xml:space="preserve">18</w:t>
      </w:r>
      <w:r>
        <w:rPr>
          <w:rStyle w:val="FootnoteReference"/>
        </w:rPr>
        <w:footnoteReference w:id="30"/>
      </w:r>
      <w:r>
        <w:t xml:space="preserve"> </w:t>
      </w:r>
      <w:r>
        <w:t xml:space="preserve">Stevens (2007)</w:t>
      </w:r>
      <w:r>
        <w:t xml:space="preserve">, who analyzed off-campus recruiting efforts at a selective, private liberal arts college, found that the College visited the same schools year after year because successful recruiting depends on long-term relationships with high schools. Further, the College tended to visit affluent schools, and private schools in particular, because these schools enroll high-achieving students who can afford tuition and because these schools have the resources and motivation to host a successful visit.</w:t>
      </w:r>
    </w:p>
    <w:p>
      <w:pPr>
        <w:pStyle w:val="BodyText"/>
      </w:pPr>
      <w:r>
        <w:t xml:space="preserve">Analyses of the effects of off-campus recruiting broadly conceive off-campus recruiting as a means of simultaneously identifying prospects and connecting with prospects already being targeted through mail/email</w:t>
      </w:r>
      <w:r>
        <w:t xml:space="preserve"> </w:t>
      </w:r>
      <w:r>
        <w:t xml:space="preserve">(e.g., Clinedinst &amp; Koranteng, 2017; Noel-Levitz, 2016; Stevens, 2007)</w:t>
      </w:r>
      <w:r>
        <w:t xml:space="preserve">.</w:t>
      </w:r>
      <w:r>
        <w:t xml:space="preserve"> </w:t>
      </w:r>
      <w:r>
        <w:t xml:space="preserve">Noel-Levitz (2018)</w:t>
      </w:r>
      <w:r>
        <w:t xml:space="preserve"> </w:t>
      </w:r>
      <w:r>
        <w:t xml:space="preserve">found that off-campus visits were the second highest source of inquiries (after student list purchases), accounting for 19% of inquiries for the median public university. Off-campus visits were also the third highest source of enrollees (after stealth applicants and on-campus visits), accounting for 16% of enrollees</w:t>
      </w:r>
      <w:r>
        <w:t xml:space="preserve"> </w:t>
      </w:r>
      <w:r>
        <w:t xml:space="preserve">(Noel-Levitz, 2018)</w:t>
      </w:r>
      <w:r>
        <w:t xml:space="preserve">.</w:t>
      </w:r>
      <w:r>
        <w:t xml:space="preserve"> </w:t>
      </w:r>
      <w:r>
        <w:t xml:space="preserve">Holland (2019)</w:t>
      </w:r>
      <w:r>
        <w:t xml:space="preserve">, who analyzed recruiting from the perspective of high school students, found that high school visits influenced where students applied and where they enrolled, particularly first-generation students. By contrast, affluent students with college-educated parents tended to be less taken by overtures from universities and more concerned about university prestige. Finally, echoing findings from market research</w:t>
      </w:r>
      <w:r>
        <w:t xml:space="preserve"> </w:t>
      </w:r>
      <w:r>
        <w:t xml:space="preserve">(Noel-Levitz, 2018)</w:t>
      </w:r>
      <w:r>
        <w:t xml:space="preserve">,</w:t>
      </w:r>
      <w:r>
        <w:t xml:space="preserve"> </w:t>
      </w:r>
      <w:r>
        <w:t xml:space="preserve">Stevens (2007)</w:t>
      </w:r>
      <w:r>
        <w:t xml:space="preserve"> </w:t>
      </w:r>
      <w:r>
        <w:t xml:space="preserve">found that high school visits were instrumental for maintaining strong relationships with guidance counselors at</w:t>
      </w:r>
      <w:r>
        <w:t xml:space="preserve"> </w:t>
      </w:r>
      <w:r>
        <w:t xml:space="preserve">“</w:t>
      </w:r>
      <w:r>
        <w:t xml:space="preserve">feeder schools.</w:t>
      </w:r>
      <w:r>
        <w:t xml:space="preserve">”</w:t>
      </w:r>
      <w:r>
        <w:t xml:space="preserve"> </w:t>
      </w:r>
      <w:r>
        <w:t xml:space="preserve">These relationships were essential because</w:t>
      </w:r>
      <w:r>
        <w:t xml:space="preserve"> </w:t>
      </w:r>
      <w:r>
        <w:t xml:space="preserve">“</w:t>
      </w:r>
      <w:r>
        <w:t xml:space="preserve">the College’s reputation and the quality of its applicant pool are dependent upon its connections with high schools nationwide</w:t>
      </w:r>
      <w:r>
        <w:t xml:space="preserve">”</w:t>
      </w:r>
      <w:r>
        <w:t xml:space="preserve"> </w:t>
      </w:r>
      <w:r>
        <w:t xml:space="preserve">(Stevens, 2007, p. 53)</w:t>
      </w:r>
      <w:r>
        <w:t xml:space="preserve">.</w:t>
      </w:r>
    </w:p>
    <w:p>
      <w:pPr>
        <w:pStyle w:val="BodyText"/>
      </w:pPr>
      <w:r>
        <w:t xml:space="preserve">While prior research finds that off-campus recruiting influences the application and enrollment decisions of underrepresented students and accounts for a larger share of university marketing/recruiting budgets, our research is the first to systematically investigate which high schools receive visits by which universities and why this matters to broader inequities across our higher education system.</w:t>
      </w:r>
    </w:p>
    <w:p>
      <w:pPr>
        <w:pStyle w:val="Heading2"/>
      </w:pPr>
      <w:bookmarkStart w:id="31" w:name="research-and-findings"/>
      <w:bookmarkEnd w:id="31"/>
      <w:r>
        <w:t xml:space="preserve">Research and Findings</w:t>
      </w:r>
    </w:p>
    <w:p>
      <w:pPr>
        <w:pStyle w:val="FirstParagraph"/>
      </w:pPr>
      <w:r>
        <w:t xml:space="preserve">In the text below, we present findings from our research, which collected data on off-campus recruiting visits by public research universities. The project goal was to assess socioeconomic, racial, and geographic biases in which schools and communities receive visits. The results presented here analyze off-campus recruiting visits during the 2017 calendar year by a selection of 15 public research universities.</w:t>
      </w:r>
      <w:r>
        <w:rPr>
          <w:rStyle w:val="FootnoteReference"/>
        </w:rPr>
        <w:footnoteReference w:id="32"/>
      </w:r>
    </w:p>
    <w:p>
      <w:pPr>
        <w:pStyle w:val="Heading4"/>
      </w:pPr>
      <w:bookmarkStart w:id="33" w:name="results"/>
      <w:bookmarkEnd w:id="33"/>
      <w:r>
        <w:t xml:space="preserve">Results</w:t>
      </w:r>
    </w:p>
    <w:p>
      <w:pPr>
        <w:pStyle w:val="FirstParagraph"/>
      </w:pPr>
      <w:r>
        <w:t xml:space="preserve">Table 3 shows the number of recruiting visits by event type, such as public high school or private high school, and whether the visit was in-state or out-of-state for the 15 public research universities in our sample. Across all universities, the majority of visits are to public high schools. However, the most dramatic result is that most universities made more out-of-state than in-state visits–a principal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rStyle w:val="FootnoteReference"/>
        </w:rPr>
        <w:footnoteReference w:id="34"/>
      </w:r>
      <w:r>
        <w:t xml:space="preserve"> </w:t>
      </w:r>
      <w:r>
        <w:t xml:space="preserve">In addition, we find that recruiting patterns are often tied to state funding, with universities that had the lowest state funding turning to out-of-state recruiting efforts as a way to generate greater revenue from tuition.</w:t>
      </w:r>
    </w:p>
    <w:p>
      <w:pPr>
        <w:pStyle w:val="Heading6"/>
      </w:pPr>
      <w:bookmarkStart w:id="35" w:name="table-3-state-funding-and-number-of-events-by-type-in-state-vs.out-of-state"/>
      <w:bookmarkEnd w:id="35"/>
      <w:r>
        <w:t xml:space="preserve">Table 3: State funding and number of events by type, in-state vs. out-of-state</w:t>
      </w:r>
    </w:p>
    <w:p>
      <w:pPr>
        <w:pStyle w:val="FirstParagraph"/>
      </w:pPr>
      <w:r>
        <w:t xml:space="preserve">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5"/>
      </w:pPr>
      <w:bookmarkStart w:id="36" w:name="trends-in-median-income-of-visited-high-schools"/>
      <w:bookmarkEnd w:id="36"/>
      <w:r>
        <w:t xml:space="preserve">Trends in Median Income of Visited High Schools</w:t>
      </w:r>
    </w:p>
    <w:p>
      <w:pPr>
        <w:pStyle w:val="FirstParagraph"/>
      </w:pPr>
      <w:r>
        <w:t xml:space="preserve">Figure 2 shows the average median household income in zip codes of visited public high schools compared to non-visited public high schools for in-state and out-of-state visits. As seen,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In fact, we find that affluent out-of-state schools are significantly more likely to receive a visit even after using regression models that control for factors such as academic achievement and school size.</w:t>
      </w:r>
      <w:r>
        <w:rPr>
          <w:rStyle w:val="FootnoteReference"/>
        </w:rPr>
        <w:footnoteReference w:id="37"/>
      </w:r>
    </w:p>
    <w:p>
      <w:pPr>
        <w:pStyle w:val="Heading6"/>
      </w:pPr>
      <w:bookmarkStart w:id="38" w:name="figure-2-average-median-household-income-of-visited-vs-not-visited-public-high-schools"/>
      <w:bookmarkEnd w:id="38"/>
      <w:r>
        <w:t xml:space="preserve">Figure 2: Average median household income of visited vs not visited public high schools</w:t>
      </w:r>
    </w:p>
    <w:p>
      <w:pPr>
        <w:pStyle w:val="FirstParagraph"/>
      </w:pPr>
      <w:r>
        <w:t xml:space="preserve">To hone in even further on how public institutions target their out-of-state recruitment efforts on more affluent students, Figure 3 shows an illustrative example of the University of Pittsburgh’s efforts to recruit students in the Chicago metropolitan area–a prime target for recruiting students given its close geographic proximity. The interactive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did not receive a visit.</w:t>
      </w:r>
    </w:p>
    <w:p>
      <w:pPr>
        <w:pStyle w:val="Heading6"/>
      </w:pPr>
      <w:bookmarkStart w:id="39" w:name="figure-3-visits-to-metro-areas-by-median-household-income"/>
      <w:bookmarkEnd w:id="39"/>
      <w:r>
        <w:t xml:space="preserve">Figure 3: Visits to metro areas by median household income</w:t>
      </w:r>
    </w:p>
    <w:p>
      <w:pPr>
        <w:pStyle w:val="FirstParagraph"/>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5"/>
      </w:pPr>
      <w:bookmarkStart w:id="40" w:name="trends-in-racial-composition-of-visited-high-schools"/>
      <w:bookmarkEnd w:id="40"/>
      <w:r>
        <w:t xml:space="preserve">Trends in Racial Composition of Visited High Schools</w:t>
      </w:r>
    </w:p>
    <w:p>
      <w:pPr>
        <w:pStyle w:val="FirstParagraph"/>
      </w:pPr>
      <w:r>
        <w:t xml:space="preserve">Figure 4 shows the average racial compositions of visited high schools compared to non-visited high schools for in-state and out-of-state visits by the institutions in our sample. Similar to the income results, out-of-state visits to public high schools show the most evidence of racial bias. A majority of the institutions in our sample visited out-of-state public high schools with an overall higher share of white students and lower share of black, Latinx, and Native American students. For example, the University of Colorado-Boulder visited out-of-state public high schools where white students make up 56% of the combined total, as compared to 49%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41" w:name="figure-4-average-racial-composition-of-visited-vs-not-visited-high-schools-by-in-state-out-of-state"/>
      <w:bookmarkEnd w:id="41"/>
      <w:r>
        <w:t xml:space="preserve">Figure 4: Average racial composition of visited vs not visited high schools by in-state, out-of-state</w:t>
      </w:r>
    </w:p>
    <w:p>
      <w:pPr>
        <w:pStyle w:val="FirstParagraph"/>
      </w:pPr>
      <w:r>
        <w:t xml:space="preserve">Figure 5 again shows a map of visited and non-visited public high schools by the University of Pittsburgh in the Chicago metropolitan area. Each zip code is shaded according to the proportion of people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42" w:name="figure-5-visits-to-metro-areas-by-percent-black-latinx-and-native-american"/>
      <w:bookmarkEnd w:id="42"/>
      <w:r>
        <w:t xml:space="preserve">Figure 5: Visits to metro areas by percent black, Latinx, and Native American</w:t>
      </w:r>
    </w:p>
    <w:p>
      <w:pPr>
        <w:pStyle w:val="FirstParagraph"/>
      </w:pPr>
      <w:r>
        <w:t xml:space="preserve">When looking at out-of-state visits to private high schools, Figure 4 shows that the racial composition of students remain relatively consistent between visited and non-visited schools. However, private high schools in general have a higher percentage of white students than public high schools, and universities tend to visit a disproportionate number of out-of-state private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schools with a larger percentage of white students and a smaller percentage of black, Latinx, and Native American students, whereas the University of California-Irvine visited a higher proportion of students of color. Nevertheless, in comparison to out-of-state visits to public high schools, the difference in average racial composition between visited and non-visited students remains relatively small across all cases.</w:t>
      </w:r>
    </w:p>
    <w:p>
      <w:pPr>
        <w:pStyle w:val="Heading2"/>
      </w:pPr>
      <w:bookmarkStart w:id="43" w:name="policy-implications"/>
      <w:bookmarkEnd w:id="43"/>
      <w:r>
        <w:t xml:space="preserve">Policy Implications</w:t>
      </w:r>
    </w:p>
    <w:p>
      <w:pPr>
        <w:pStyle w:val="FirstParagraph"/>
      </w:pPr>
      <w:r>
        <w:t xml:space="preserve">Mainstream policy debates about socioeconomic and racial inequality in college access point to ``deficiencies’’ of students and k-12 schools (e.g., the</w:t>
      </w:r>
      <w:r>
        <w:t xml:space="preserve"> </w:t>
      </w:r>
      <w:r>
        <w:t xml:space="preserve">“</w:t>
      </w:r>
      <w:r>
        <w:t xml:space="preserve">achievement gap,</w:t>
      </w:r>
      <w:r>
        <w:t xml:space="preserve">”</w:t>
      </w:r>
      <w:r>
        <w:t xml:space="preserve"> </w:t>
      </w:r>
      <w:r>
        <w:t xml:space="preserve">“</w:t>
      </w:r>
      <w:r>
        <w:t xml:space="preserve">under-matching</w:t>
      </w:r>
      <w:r>
        <w:t xml:space="preserve">”</w:t>
      </w:r>
      <w:r>
        <w:t xml:space="preserve"> </w:t>
      </w:r>
      <w:r>
        <w:t xml:space="preserve">by high-achieving students who do not apply to selective universities).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decision-making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 [CITE]. More broadly, a growing research body suggests that flagship universities expend more resources finding affluent, middling, out-of-state students than they expend on finding high-achieving, low- and middle-income students in their own state [CITE].</w:t>
      </w:r>
      <w:r>
        <w:t xml:space="preserve"> </w:t>
      </w:r>
    </w:p>
    <w:p>
      <w:pPr>
        <w:pStyle w:val="BodyText"/>
      </w:pPr>
      <w:r>
        <w:t xml:space="preserve">When universities place more value on affluence as a merit criterion than academic achievement, the negative effects on students and on society are profound. High-achieving, low-income students unwanted by their state flagship attend a nearby community college or state college. Student outcomes are substantially a function of access. Research unoquivocally finds that starting at a community dramatically reduces the probability of obtaining a BA [CITE], increases the time to degree [CITE], and lowers lifetime earnings [CITE]. Regional public universities fare better than community colleges on degree completion. However, most states designate public flagship universities the responsibility of preparing the future, business, professional, and civic leaders of the state. When public flagship universities ignore poor, minority communities in their backyard, they deny local talent the opportunity to reach its full potential. The best inputs are not being sent to the place that maximizes their output. Further, when public flagships enroll great quantities of affluent students who were rejected by public universities in their own state, campus culture becomes hostile to first-generation students reaching for their full potential [HOSTILE].</w:t>
      </w:r>
    </w:p>
    <w:p>
      <w:pPr>
        <w:pStyle w:val="Heading3"/>
      </w:pPr>
      <w:bookmarkStart w:id="44" w:name="public-funding-and-enrollment-priorities"/>
      <w:bookmarkEnd w:id="44"/>
      <w:r>
        <w:t xml:space="preserve">Public Funding and Enrollment Priorities</w:t>
      </w:r>
    </w:p>
    <w:p>
      <w:pPr>
        <w:pStyle w:val="FirstParagraph"/>
      </w:pPr>
      <w:r>
        <w:t xml:space="preserve">Debates about higher education funding focus mainly on students. It’s time for a debate about the effects of funding on university behavior, one that does get hijacked by the sideshow that is</w:t>
      </w:r>
      <w:r>
        <w:t xml:space="preserve"> </w:t>
      </w:r>
      <w:r>
        <w:t xml:space="preserve">“</w:t>
      </w:r>
      <w:r>
        <w:t xml:space="preserve">performance funding.</w:t>
      </w:r>
      <w:r>
        <w:t xml:space="preserve">”</w:t>
      </w:r>
      <w:r>
        <w:t xml:space="preserve"> </w:t>
      </w:r>
      <w:r>
        <w:t xml:space="preserve">Spending hawks often rationalize cuts to public universities on the ground that these organizations can generate their own revenue. Although this may be true for some universities, cuts to public funding shift higher education from a public good to a private good by creating incentives for universities to prioritize the customers who pay the most. In response to state funding cuts after the 2008 recession, public research universities dramatically increased nonresident enrollment because each nonresident student generates three times more net tuition revenue, on average, than each resident. Our analyses suggested a strong relationship between state funding and recruiting behavior. Universities with weak state funding tended to make the most out-of-state recruiting visits, concentrated in the most affluent communities. Universities with strong state funding tended to visit a larger share of in-state high schools and were more likely to visit in-state schools with large numbers low-income students and non-white students.</w:t>
      </w:r>
    </w:p>
    <w:p>
      <w:pPr>
        <w:pStyle w:val="BodyText"/>
      </w:pPr>
      <w:r>
        <w:t xml:space="preserve">Can we develop funding policies that encourage public universities expand opportunities for high-achieving state residents, particularly those from low- and middlie-income families? Yes. We highlight two alternative approaches to funding public universities: first, block-grant funding to universities; and, second, need-based grant aid to students.</w:t>
      </w:r>
    </w:p>
    <w:p>
      <w:pPr>
        <w:pStyle w:val="BodyText"/>
      </w:pPr>
      <w:r>
        <w:t xml:space="preserve">Block grant funding is a subsidy that enables universities to pay the costs of educating studnets without relying on tuiiton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increase block grant funding by matching state appropriations. If states substantially increased block grant funding, they could simultaneously demand a reduction in resident tuition price and more enrollment spaces for resident students.</w:t>
      </w:r>
    </w:p>
    <w:p>
      <w:pPr>
        <w:pStyle w:val="BodyText"/>
      </w:pPr>
      <w:r>
        <w:t xml:space="preserve">Need-based grant aid programs follow students to the institution they choose to attend. The most important need-based grant programs are the Federal Pell Grant program and state need-based grant aid programs (e.g., Cal Grant, Minnesota State Grant). With respect to university enrollment priorities, need-based grant aid increases the purchasing power of poor students, making them more financially attractive to universities that rely on tuition revenue. Policy changes that substantially increase the maximum award (e.g., increasing the Pell maximum from $6,195 to $12,000) enable a university to enroll a low-income student without substantial need-based institutional aid, thereby creating incentives for universities to enroll more low-income students.State</w:t>
      </w:r>
      <w:r>
        <w:t xml:space="preserve"> </w:t>
      </w:r>
      <w:r>
        <w:t xml:space="preserve">“</w:t>
      </w:r>
      <w:r>
        <w:t xml:space="preserve">free college</w:t>
      </w:r>
      <w:r>
        <w:t xml:space="preserve">”</w:t>
      </w:r>
      <w:r>
        <w:t xml:space="preserve"> </w:t>
      </w:r>
      <w:r>
        <w:t xml:space="preserve">policies are similar to state need-based aid programs, albeit much smaller in scale, in that they provide grant aid to eligible students attending in-state public institutions.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advocate for one allocation approach, we advocate for more generous funding. Low-levels of state appropriations encourage universities to restrict enrollment opportunities, decrease the quality of education, or prioritize enrollment opportunities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funding policy affects university spending priorities. Policymakers want universities to use public funds efficiently and with a focus on delivering student outcomes. Paradoxically, cutting state appropriations incentivizes universities to increase spending on consumption amenities (e.g., luxury dorms and recreational facilities, pools with a</w:t>
      </w:r>
      <w:r>
        <w:t xml:space="preserve"> </w:t>
      </w:r>
      <w:r>
        <w:t xml:space="preserve">“</w:t>
      </w:r>
      <w:r>
        <w:t xml:space="preserve">lazy river</w:t>
      </w:r>
      <w:r>
        <w:t xml:space="preserve">”</w:t>
      </w:r>
      <w:r>
        <w:t xml:space="preserve">). In the absence of block grants from the state, universities becomes reliant on tuition revenue from affluent students who desire such amenities. See the University of Colorado-Boulder and the University of Alabama. By contrast, generous state appropriations disincentivize expenditure on amenities because the university is less beholden to the consumption preferences of affluent students.</w:t>
      </w:r>
    </w:p>
    <w:p>
      <w:pPr>
        <w:pStyle w:val="Heading3"/>
      </w:pPr>
      <w:bookmarkStart w:id="45" w:name="regulation-and-oversight"/>
      <w:bookmarkEnd w:id="45"/>
      <w:r>
        <w:t xml:space="preserve">Regulation and Oversight</w:t>
      </w:r>
    </w:p>
    <w:p>
      <w:pPr>
        <w:pStyle w:val="FirstParagraph"/>
      </w:pPr>
      <w:r>
        <w:t xml:space="preserve">Several states are considering nonresident enrollment caps as a response to nonresident enrollment growth. Our research suggests that these caps do affect university behavior. The only universities that made more in-state than out-of-state visits were located in states – North Carolina and California – with strong nonresident enrollment caps. However, regulation is not an alternative to adequate funding. State spending on higher education in North Carolina and California is above the national average. Without adequate state funding, restrictions on university revenue-generating behavior negatively affects the quality of education students receive. State funding cuts force universities to hire fewer factor or to rely on part-time adjunct faculty, who are underpaid, treated poorly, and negatively affect student learning outcomes [CITE]. In a separate paper, we compare the effect of nonresident enrollment versus resident enrollment on faculty hiring. Enrolling 100 additional resident freshmen was associated with hiring 0.64 tenure-line faculty while enrollling 100 additional nonresident freshmen was associated with hiring 1.42 more tenure line faculty. Therefore, capping nonresident enrollment without providing sufficient state funding stops universities from hiring the faculty that help students the most. It also incentivizes universities to enroll affluent residents who do not require need-based aid.</w:t>
      </w:r>
    </w:p>
    <w:p>
      <w:pPr>
        <w:pStyle w:val="BodyText"/>
      </w:pPr>
      <w:r>
        <w:t xml:space="preserve">Racial biases in university enrollment priorities and recruiting behaviors deserve greater scrutingy and oversight. Our research finds that public research universities were less likely to visit out-of-state schools with high non-white enrollment, even after controlling for income and academic achievement. Although state funding cuts provide a reasonable rational for income bias, it does not explain systematic bias against communities of color. Rather, these results may be due to institutional racism against communities of clor. More broadly, a growing number of studies find that universities prefer students of color from affluent, predominantly white public and private schools [JACK; POSSELT+JAQUETTE, OTHERS]. Thornhill found that university admissions representatives respond less favorably to inquiries from African American males who presented themselves as committed to racial justice than African American males that presented deracialized interests. Universities market and recruit students through advertising, social media, by sending them emails and brochures, by visiting their school and by responding to their questions. Racial discrimination can occur at any of these stages. Plicymakers devote a substantial attention to potential discrimination in the application review process. We recommend that policymakers begin asking universities which prospects they target and how they target prospects during different stages of the enrollment process.</w:t>
      </w:r>
    </w:p>
    <w:p>
      <w:pPr>
        <w:pStyle w:val="Heading2"/>
      </w:pPr>
      <w:bookmarkStart w:id="46" w:name="conclusion"/>
      <w:bookmarkEnd w:id="46"/>
      <w:r>
        <w:t xml:space="preserve">Conclusion</w:t>
      </w:r>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students are neglected,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must take responsibility for providing a financial pathway that enables public universities to flourish by serving the mission of social mobility they were founded to serve.</w:t>
      </w:r>
    </w:p>
    <w:p>
      <w:pPr>
        <w:pStyle w:val="Heading2"/>
      </w:pPr>
      <w:bookmarkStart w:id="47" w:name="appendix"/>
      <w:bookmarkEnd w:id="47"/>
      <w:r>
        <w:t xml:space="preserve">Appendix</w:t>
      </w:r>
    </w:p>
    <w:p>
      <w:pPr>
        <w:pStyle w:val="Heading6"/>
      </w:pPr>
      <w:bookmarkStart w:id="48" w:name="appendix-table-a1-summary-of-data-collection-sources-and-quality-checks-performed"/>
      <w:bookmarkEnd w:id="48"/>
      <w:r>
        <w:t xml:space="preserve">Appendix Table A1: Summary of data collection sources and quality checks performed</w:t>
      </w:r>
    </w:p>
    <w:p>
      <w:pPr>
        <w:pStyle w:val="Heading4"/>
      </w:pPr>
      <w:bookmarkStart w:id="49" w:name="endnotes"/>
      <w:bookmarkEnd w:id="49"/>
      <w:r>
        <w:t xml:space="preserve">Endnotes</w:t>
      </w:r>
    </w:p>
    <w:p>
      <w:pPr>
        <w:pStyle w:val="FirstParagraph"/>
      </w:pPr>
      <w:r>
        <w:t xml:space="preserve">Clinedinst, M., &amp; Koranteng, A.-M. (2017).</w:t>
      </w:r>
      <w:r>
        <w:t xml:space="preserve"> </w:t>
      </w:r>
      <w:r>
        <w:rPr>
          <w:i/>
        </w:rPr>
        <w:t xml:space="preserve">2017 state of college admission</w:t>
      </w:r>
      <w:r>
        <w:t xml:space="preserve">. National Association of College Admissions Officers.</w:t>
      </w:r>
    </w:p>
    <w:p>
      <w:pPr>
        <w:pStyle w:val="BodyText"/>
      </w:pPr>
      <w:r>
        <w:t xml:space="preserve">Holland, M. M. (2019).</w:t>
      </w:r>
      <w:r>
        <w:t xml:space="preserve"> </w:t>
      </w:r>
      <w:r>
        <w:rPr>
          <w:i/>
        </w:rPr>
        <w:t xml:space="preserve">Divergent paths to college: Race, class, and inequality in high schools</w:t>
      </w:r>
      <w:r>
        <w:t xml:space="preserve">. New Brunswick, NJ: Rutgers University Press.</w:t>
      </w:r>
    </w:p>
    <w:p>
      <w:pPr>
        <w:pStyle w:val="BodyText"/>
      </w:pPr>
      <w:r>
        <w:t xml:space="preserve">Noel-Levitz, R. (2016).</w:t>
      </w:r>
      <w:r>
        <w:t xml:space="preserve"> </w:t>
      </w:r>
      <w:r>
        <w:rPr>
          <w:i/>
        </w:rPr>
        <w:t xml:space="preserve">2016 report: Cost of recruiting an undergraduate student for four-year and two-year institutions</w:t>
      </w:r>
      <w:r>
        <w:t xml:space="preserve">. Ruffalo Noel-Levitz. Retrieved from</w:t>
      </w:r>
      <w:r>
        <w:t xml:space="preserve"> </w:t>
      </w:r>
      <w:hyperlink r:id="rId50">
        <w:r>
          <w:rPr>
            <w:rStyle w:val="Hyperlink"/>
          </w:rPr>
          <w:t xml:space="preserve">https://www.ruffalonl.com/papers-research-higher-education-fundraising/campus-organizational-strategy/benchmark-reports-higher-education</w:t>
        </w:r>
      </w:hyperlink>
    </w:p>
    <w:p>
      <w:pPr>
        <w:pStyle w:val="BodyText"/>
      </w:pPr>
      <w:r>
        <w:t xml:space="preserve">Noel-Levitz, R. (2018).</w:t>
      </w:r>
      <w:r>
        <w:t xml:space="preserve"> </w:t>
      </w:r>
      <w:r>
        <w:rPr>
          <w:i/>
        </w:rPr>
        <w:t xml:space="preserve">2018 marketing and student recruitment report of effective practices</w:t>
      </w:r>
      <w:r>
        <w:t xml:space="preserve">. Ruffalo Noel-Levitz. Retrieved from</w:t>
      </w:r>
      <w:r>
        <w:t xml:space="preserve"> </w:t>
      </w:r>
      <w:hyperlink r:id="rId51">
        <w:r>
          <w:rPr>
            <w:rStyle w:val="Hyperlink"/>
          </w:rPr>
          <w:t xml:space="preserve">http://learn.ruffalonl.com/rs/395-EOG-977/images/RNL_2018_Student_Recruitment_Marketing_Report_EM-19.pdf</w:t>
        </w:r>
      </w:hyperlink>
    </w:p>
    <w:p>
      <w:pPr>
        <w:pStyle w:val="BodyText"/>
      </w:pPr>
      <w:r>
        <w:t xml:space="preserve">Stevens, M. L. (2007).</w:t>
      </w:r>
      <w:r>
        <w:t xml:space="preserve"> </w:t>
      </w:r>
      <w:r>
        <w:rPr>
          <w:i/>
        </w:rPr>
        <w:t xml:space="preserve">Creating a class: College admissions and the education of elites</w:t>
      </w:r>
      <w:r>
        <w:t xml:space="preserve"> </w:t>
      </w:r>
      <w:r>
        <w:t xml:space="preserve">(p. 308 p.). Cambridge, MA: Harvard University Press.</w:t>
      </w:r>
    </w:p>
    <w:sectPr w:rsidR="00AB51EA" w:rsidRPr="005F07C6" w:rsidSect="0027244A">
      <w:headerReference w:type="even" r:id="rId8"/>
      <w:headerReference w:type="default" r:id="rId9"/>
      <w:footerReference w:type="default" r:id="rId10"/>
      <w:pgSz w:w="12240" w:h="15840"/>
      <w:pgMar w:top="1267" w:right="1267" w:bottom="1267" w:left="1267"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00000003" w:usb1="00000000" w:usb2="00000000" w:usb3="00000000" w:csb0="00000007" w:csb1="00000000"/>
  </w:font>
  <w:font w:name="DengXian Light">
    <w:altName w:val="等线 Light"/>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080" w:rsidRDefault="00426080">
    <w:pPr>
      <w:pStyle w:val="Footer"/>
      <w:jc w:val="right"/>
    </w:pPr>
  </w:p>
  <w:p w:rsidR="00426080" w:rsidRDefault="004260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Only</w:t>
      </w:r>
      <w:r>
        <w:t xml:space="preserve"> </w:t>
      </w:r>
      <w:r>
        <w:t xml:space="preserve">“</w:t>
      </w:r>
      <w:r>
        <w:t xml:space="preserve">traditional advertising</w:t>
      </w:r>
      <w:r>
        <w:t xml:space="preserve">”</w:t>
      </w:r>
      <w:r>
        <w:t xml:space="preserve"> </w:t>
      </w:r>
      <w:r>
        <w:t xml:space="preserve">(e.g., billboards, newspapers, magazines, TV, radio) accounted for a higher percentage (24%).</w:t>
      </w:r>
    </w:p>
  </w:footnote>
  <w:footnote w:id="32">
    <w:p>
      <w:pPr>
        <w:pStyle w:val="FootnoteText"/>
      </w:pPr>
      <w:r>
        <w:rPr>
          <w:rStyle w:val="FootnoteReference"/>
        </w:rPr>
        <w:footnoteRef/>
      </w:r>
      <w:r>
        <w:t xml:space="preserve"> </w:t>
      </w:r>
      <w:r>
        <w:t xml:space="preserve">We used two data collection strategies. First, university admissions websites often list upcoming off-campus recruiting events on pages that advertise admissions representatives coming</w:t>
      </w:r>
      <w:r>
        <w:t xml:space="preserve"> </w:t>
      </w:r>
      <w:r>
        <w:t xml:space="preserve">“</w:t>
      </w:r>
      <w:r>
        <w:t xml:space="preserve">near you</w:t>
      </w:r>
      <w:r>
        <w:t xml:space="preserve">”</w:t>
      </w:r>
      <w:r>
        <w:t xml:space="preserve"> </w:t>
      </w:r>
      <w:r>
        <w:t xml:space="preserve">(e.g.,</w:t>
      </w:r>
      <w:r>
        <w:t xml:space="preserve"> </w:t>
      </w:r>
      <w:r>
        <w:t xml:space="preserve">here</w:t>
      </w:r>
      <w:r>
        <w:t xml:space="preserve">). Therefore, we used</w:t>
      </w:r>
      <w:r>
        <w:t xml:space="preserve"> </w:t>
      </w:r>
      <w:r>
        <w:t xml:space="preserve">“</w:t>
      </w:r>
      <w:r>
        <w:t xml:space="preserve">web-scraping</w:t>
      </w:r>
      <w:r>
        <w:t xml:space="preserve">”</w:t>
      </w:r>
      <w:r>
        <w:t xml:space="preserve"> </w:t>
      </w:r>
      <w:r>
        <w:t xml:space="preserve">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Appendix Table A1 summarizes the data sources and data quality checks conducted for each university analyzed in this report.</w:t>
      </w:r>
    </w:p>
  </w:footnote>
  <w:footnote w:id="34">
    <w:p>
      <w:pPr>
        <w:pStyle w:val="FootnoteText"/>
      </w:pPr>
      <w:r>
        <w:rPr>
          <w:rStyle w:val="FootnoteReference"/>
        </w:rPr>
        <w:footnoteRef/>
      </w:r>
      <w:r>
        <w:t xml:space="preserve"> </w:t>
      </w:r>
      <w:r>
        <w:t xml:space="preserve">More details on the proportional vs. actual number of visits to out-of-state private high schools compared to public high schools can be found</w:t>
      </w:r>
      <w:r>
        <w:t xml:space="preserve"> </w:t>
      </w:r>
      <w:r>
        <w:t xml:space="preserve">here</w:t>
      </w:r>
      <w:r>
        <w:t xml:space="preserve">.</w:t>
      </w:r>
    </w:p>
  </w:footnote>
  <w:footnote w:id="37">
    <w:p>
      <w:pPr>
        <w:pStyle w:val="FootnoteText"/>
      </w:pPr>
      <w:r>
        <w:rPr>
          <w:rStyle w:val="FootnoteReference"/>
        </w:rPr>
        <w:footnoteRef/>
      </w:r>
      <w:r>
        <w:t xml:space="preserve"> </w:t>
      </w:r>
      <w:r>
        <w:t xml:space="preserve">Regression results can be found in the report</w:t>
      </w:r>
      <w:r>
        <w:t xml:space="preserve"> </w:t>
      </w:r>
      <w:r>
        <w:t xml:space="preserve">here</w:t>
      </w:r>
      <w:r>
        <w:t xml:space="preserv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94544368"/>
      <w:docPartObj>
        <w:docPartGallery w:val="Page Numbers (Top of Page)"/>
        <w:docPartUnique/>
      </w:docPartObj>
    </w:sdtPr>
    <w:sdtEndPr>
      <w:rPr>
        <w:rStyle w:val="PageNumber"/>
      </w:rPr>
    </w:sdtEndPr>
    <w:sdtContent>
      <w:p w:rsidR="007A0A21" w:rsidRDefault="007A0A21" w:rsidP="009B5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A0A21" w:rsidRDefault="007A0A21" w:rsidP="007A0A21">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7863517"/>
      <w:docPartObj>
        <w:docPartGallery w:val="Page Numbers (Top of Page)"/>
        <w:docPartUnique/>
      </w:docPartObj>
    </w:sdtPr>
    <w:sdtEndPr>
      <w:rPr>
        <w:rStyle w:val="PageNumber"/>
      </w:rPr>
    </w:sdtEndPr>
    <w:sdtContent>
      <w:p w:rsidR="007A0A21" w:rsidRDefault="007A0A21" w:rsidP="009B5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F07C6">
          <w:rPr>
            <w:rStyle w:val="PageNumber"/>
            <w:noProof/>
          </w:rPr>
          <w:t>1</w:t>
        </w:r>
        <w:r>
          <w:rPr>
            <w:rStyle w:val="PageNumber"/>
          </w:rPr>
          <w:fldChar w:fldCharType="end"/>
        </w:r>
      </w:p>
    </w:sdtContent>
  </w:sdt>
  <w:p w:rsidR="007A0A21" w:rsidRDefault="005F07C6" w:rsidP="007A0A21">
    <w:pPr>
      <w:pStyle w:val="Header"/>
      <w:ind w:right="360"/>
      <w:jc w:val="center"/>
    </w:pPr>
    <w:r>
      <w:t>FOLLOW THE MONEY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954C2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C8EE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FAFC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AE4B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967C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440C8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7E6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4CA1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36B3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D04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C323D"/>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6BA4F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106A2B"/>
    <w:multiLevelType w:val="hybridMultilevel"/>
    <w:tmpl w:val="2A623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B3AB8"/>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357DAE"/>
    <w:multiLevelType w:val="multilevel"/>
    <w:tmpl w:val="C7DA8EE8"/>
    <w:lvl w:ilvl="0">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40E2BD8"/>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9AB1CE8"/>
    <w:multiLevelType w:val="multilevel"/>
    <w:tmpl w:val="C7DA8EE8"/>
    <w:lvl w:ilvl="0">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083570"/>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15C0956"/>
    <w:multiLevelType w:val="multilevel"/>
    <w:tmpl w:val="BD760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6707E94"/>
    <w:multiLevelType w:val="multilevel"/>
    <w:tmpl w:val="C7DA8EE8"/>
    <w:lvl w:ilvl="0">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A26D52"/>
    <w:multiLevelType w:val="multilevel"/>
    <w:tmpl w:val="499AE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A8F4BAE"/>
    <w:multiLevelType w:val="multilevel"/>
    <w:tmpl w:val="3D487956"/>
    <w:lvl w:ilvl="0">
      <w:start w:val="1"/>
      <w:numFmt w:val="decimal"/>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D632E41"/>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0AF33E5"/>
    <w:multiLevelType w:val="multilevel"/>
    <w:tmpl w:val="4DDEC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90">
    <w:nsid w:val="ed40fd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9"/>
  </w:num>
  <w:num w:numId="2">
    <w:abstractNumId w:val="20"/>
  </w:num>
  <w:num w:numId="3">
    <w:abstractNumId w:val="22"/>
  </w:num>
  <w:num w:numId="4">
    <w:abstractNumId w:val="12"/>
  </w:num>
  <w:num w:numId="5">
    <w:abstractNumId w:val="15"/>
  </w:num>
  <w:num w:numId="6">
    <w:abstractNumId w:val="17"/>
  </w:num>
  <w:num w:numId="7">
    <w:abstractNumId w:val="18"/>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0"/>
  </w:num>
  <w:num w:numId="19">
    <w:abstractNumId w:val="23"/>
  </w:num>
  <w:num w:numId="20">
    <w:abstractNumId w:val="13"/>
  </w:num>
  <w:num w:numId="21">
    <w:abstractNumId w:val="21"/>
  </w:num>
  <w:num w:numId="22">
    <w:abstractNumId w:val="16"/>
  </w:num>
  <w:num w:numId="23">
    <w:abstractNumId w:val="14"/>
  </w:num>
  <w:num w:numId="2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1C9"/>
    <w:pPr>
      <w:spacing w:line="500" w:lineRule="exact"/>
      <w:ind w:firstLine="720"/>
      <w:contextualSpacing/>
    </w:pPr>
    <w:rPr>
      <w:rFonts w:ascii="Times" w:hAnsi="Times"/>
      <w:sz w:val="23"/>
    </w:rPr>
  </w:style>
  <w:style w:type="paragraph" w:styleId="Heading1">
    <w:name w:val="heading 1"/>
    <w:basedOn w:val="Normal"/>
    <w:next w:val="Normal"/>
    <w:link w:val="Heading1Char"/>
    <w:uiPriority w:val="9"/>
    <w:qFormat/>
    <w:rsid w:val="002072EF"/>
    <w:pPr>
      <w:keepNext/>
      <w:keepLines/>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072EF"/>
    <w:pPr>
      <w:keepNext/>
      <w:keepLines/>
      <w:ind w:firstLine="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072EF"/>
    <w:pPr>
      <w:keepNext/>
      <w:keepLines/>
      <w:outlineLvl w:val="2"/>
    </w:pPr>
    <w:rPr>
      <w:rFonts w:eastAsiaTheme="majorEastAsia" w:cstheme="majorBidi"/>
      <w:b/>
      <w:color w:val="000000" w:themeColor="text1"/>
      <w:sz w:val="26"/>
    </w:rPr>
  </w:style>
  <w:style w:type="paragraph" w:styleId="Heading4">
    <w:name w:val="heading 4"/>
    <w:basedOn w:val="Normal"/>
    <w:next w:val="Subtitle"/>
    <w:link w:val="Heading4Char"/>
    <w:uiPriority w:val="9"/>
    <w:unhideWhenUsed/>
    <w:qFormat/>
    <w:rsid w:val="009F6FF6"/>
    <w:pPr>
      <w:keepNext/>
      <w:keepLines/>
      <w:spacing w:before="40" w:after="360" w:line="240" w:lineRule="auto"/>
      <w:ind w:firstLine="0"/>
      <w:outlineLvl w:val="3"/>
    </w:pPr>
    <w:rPr>
      <w:rFonts w:eastAsiaTheme="majorEastAsia" w:cstheme="majorBidi"/>
      <w:iCs/>
      <w:color w:val="000000" w:themeColor="text1"/>
      <w:sz w:val="28"/>
    </w:rPr>
  </w:style>
  <w:style w:type="paragraph" w:styleId="Heading5">
    <w:name w:val="heading 5"/>
    <w:basedOn w:val="Normal"/>
    <w:next w:val="Subtitle"/>
    <w:link w:val="Heading5Char"/>
    <w:uiPriority w:val="9"/>
    <w:unhideWhenUsed/>
    <w:qFormat/>
    <w:rsid w:val="00595E34"/>
    <w:pPr>
      <w:keepNext/>
      <w:keepLines/>
      <w:pageBreakBefore/>
      <w:numPr>
        <w:ilvl w:val="4"/>
        <w:numId w:val="1"/>
      </w:numPr>
      <w:spacing w:line="20" w:lineRule="exact"/>
      <w:outlineLvl w:val="4"/>
    </w:pPr>
    <w:rPr>
      <w:rFonts w:asciiTheme="majorHAnsi" w:eastAsiaTheme="majorEastAsia" w:hAnsiTheme="majorHAnsi" w:cstheme="majorBidi"/>
      <w:color w:val="FFFFFF" w:themeColor="background1"/>
      <w:sz w:val="10"/>
    </w:rPr>
  </w:style>
  <w:style w:type="paragraph" w:styleId="Heading6">
    <w:name w:val="heading 6"/>
    <w:basedOn w:val="Normal"/>
    <w:link w:val="Heading6Char"/>
    <w:uiPriority w:val="9"/>
    <w:unhideWhenUsed/>
    <w:qFormat/>
    <w:rsid w:val="00A72618"/>
    <w:pPr>
      <w:keepNext/>
      <w:keepLines/>
      <w:spacing w:after="360"/>
      <w:ind w:firstLine="0"/>
      <w:outlineLvl w:val="5"/>
    </w:pPr>
    <w:rPr>
      <w:rFonts w:eastAsiaTheme="majorEastAsia" w:cstheme="majorBidi"/>
      <w:color w:val="808080" w:themeColor="background1" w:themeShade="80"/>
    </w:rPr>
  </w:style>
  <w:style w:type="paragraph" w:styleId="Heading7">
    <w:name w:val="heading 7"/>
    <w:basedOn w:val="Normal"/>
    <w:next w:val="Normal"/>
    <w:link w:val="Heading7Char"/>
    <w:uiPriority w:val="9"/>
    <w:unhideWhenUsed/>
    <w:qFormat/>
    <w:rsid w:val="00CA677E"/>
    <w:pPr>
      <w:keepNext/>
      <w:keepLines/>
      <w:spacing w:before="40" w:after="120" w:line="240" w:lineRule="auto"/>
      <w:ind w:firstLine="0"/>
      <w:outlineLvl w:val="6"/>
    </w:pPr>
    <w:rPr>
      <w:rFonts w:eastAsiaTheme="majorEastAsia" w:cstheme="majorBidi"/>
      <w:iCs/>
      <w:color w:val="44546A" w:themeColor="text2"/>
      <w:sz w:val="32"/>
    </w:rPr>
  </w:style>
  <w:style w:type="paragraph" w:styleId="Heading8">
    <w:name w:val="heading 8"/>
    <w:basedOn w:val="Normal"/>
    <w:next w:val="Normal"/>
    <w:link w:val="Heading8Char"/>
    <w:uiPriority w:val="9"/>
    <w:unhideWhenUsed/>
    <w:qFormat/>
    <w:rsid w:val="00DF6D61"/>
    <w:pPr>
      <w:keepNext/>
      <w:keepLines/>
      <w:spacing w:after="120" w:line="240" w:lineRule="auto"/>
      <w:ind w:firstLine="0"/>
      <w:outlineLvl w:val="7"/>
    </w:pPr>
    <w:rPr>
      <w:rFonts w:eastAsiaTheme="majorEastAsia" w:cstheme="majorBidi"/>
      <w:color w:val="808080" w:themeColor="background1" w:themeShade="80"/>
      <w:szCs w:val="21"/>
    </w:rPr>
  </w:style>
  <w:style w:type="paragraph" w:styleId="Heading9">
    <w:name w:val="heading 9"/>
    <w:basedOn w:val="Normal"/>
    <w:next w:val="Normal"/>
    <w:link w:val="Heading9Char"/>
    <w:uiPriority w:val="9"/>
    <w:unhideWhenUsed/>
    <w:qFormat/>
    <w:rsid w:val="00AB2EBB"/>
    <w:pPr>
      <w:keepNext/>
      <w:keepLines/>
      <w:spacing w:before="40"/>
      <w:ind w:firstLine="0"/>
      <w:jc w:val="center"/>
      <w:outlineLvl w:val="8"/>
    </w:pPr>
    <w:rPr>
      <w:rFonts w:eastAsiaTheme="majorEastAsia"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2EF"/>
    <w:rPr>
      <w:rFonts w:ascii="Times" w:eastAsiaTheme="majorEastAsia" w:hAnsi="Times" w:cstheme="majorBidi"/>
      <w:b/>
      <w:color w:val="000000" w:themeColor="text1"/>
      <w:sz w:val="28"/>
      <w:szCs w:val="26"/>
    </w:rPr>
  </w:style>
  <w:style w:type="character" w:customStyle="1" w:styleId="Heading3Char">
    <w:name w:val="Heading 3 Char"/>
    <w:basedOn w:val="DefaultParagraphFont"/>
    <w:link w:val="Heading3"/>
    <w:uiPriority w:val="9"/>
    <w:rsid w:val="002072EF"/>
    <w:rPr>
      <w:rFonts w:ascii="Times" w:eastAsiaTheme="majorEastAsia" w:hAnsi="Times" w:cstheme="majorBidi"/>
      <w:b/>
      <w:color w:val="000000" w:themeColor="text1"/>
      <w:sz w:val="26"/>
    </w:rPr>
  </w:style>
  <w:style w:type="character" w:customStyle="1" w:styleId="Heading4Char">
    <w:name w:val="Heading 4 Char"/>
    <w:basedOn w:val="DefaultParagraphFont"/>
    <w:link w:val="Heading4"/>
    <w:uiPriority w:val="9"/>
    <w:rsid w:val="009F6FF6"/>
    <w:rPr>
      <w:rFonts w:ascii="Times" w:eastAsiaTheme="majorEastAsia" w:hAnsi="Times" w:cstheme="majorBidi"/>
      <w:iCs/>
      <w:color w:val="000000" w:themeColor="text1"/>
      <w:sz w:val="28"/>
    </w:rPr>
  </w:style>
  <w:style w:type="character" w:customStyle="1" w:styleId="Heading5Char">
    <w:name w:val="Heading 5 Char"/>
    <w:basedOn w:val="DefaultParagraphFont"/>
    <w:link w:val="Heading5"/>
    <w:uiPriority w:val="9"/>
    <w:rsid w:val="005D243E"/>
    <w:rPr>
      <w:rFonts w:asciiTheme="majorHAnsi" w:eastAsiaTheme="majorEastAsia" w:hAnsiTheme="majorHAnsi" w:cstheme="majorBidi"/>
      <w:color w:val="FFFFFF" w:themeColor="background1"/>
      <w:sz w:val="10"/>
    </w:rPr>
  </w:style>
  <w:style w:type="character" w:customStyle="1" w:styleId="Heading1Char">
    <w:name w:val="Heading 1 Char"/>
    <w:basedOn w:val="DefaultParagraphFont"/>
    <w:link w:val="Heading1"/>
    <w:uiPriority w:val="9"/>
    <w:rsid w:val="002072EF"/>
    <w:rPr>
      <w:rFonts w:ascii="Times" w:eastAsiaTheme="majorEastAsia" w:hAnsi="Times" w:cstheme="majorBidi"/>
      <w:b/>
      <w:color w:val="000000" w:themeColor="text1"/>
      <w:sz w:val="28"/>
      <w:szCs w:val="32"/>
    </w:rPr>
  </w:style>
  <w:style w:type="paragraph" w:styleId="Subtitle">
    <w:name w:val="Subtitle"/>
    <w:basedOn w:val="Normal"/>
    <w:next w:val="NoSpacing"/>
    <w:link w:val="SubtitleChar"/>
    <w:uiPriority w:val="11"/>
    <w:qFormat/>
    <w:rsid w:val="009A1B5D"/>
    <w:pPr>
      <w:numPr>
        <w:ilvl w:val="1"/>
      </w:numPr>
      <w:spacing w:after="160"/>
      <w:ind w:firstLine="720"/>
    </w:pPr>
    <w:rPr>
      <w:rFonts w:cs="Times New Roman (Body CS)"/>
      <w:color w:val="404040" w:themeColor="text1" w:themeTint="BF"/>
      <w:szCs w:val="22"/>
    </w:rPr>
  </w:style>
  <w:style w:type="character" w:customStyle="1" w:styleId="Heading6Char">
    <w:name w:val="Heading 6 Char"/>
    <w:basedOn w:val="DefaultParagraphFont"/>
    <w:link w:val="Heading6"/>
    <w:uiPriority w:val="9"/>
    <w:rsid w:val="00A72618"/>
    <w:rPr>
      <w:rFonts w:ascii="Times" w:eastAsiaTheme="majorEastAsia" w:hAnsi="Times" w:cstheme="majorBidi"/>
      <w:color w:val="808080" w:themeColor="background1" w:themeShade="80"/>
      <w:sz w:val="22"/>
    </w:rPr>
  </w:style>
  <w:style w:type="character" w:customStyle="1" w:styleId="Heading7Char">
    <w:name w:val="Heading 7 Char"/>
    <w:basedOn w:val="DefaultParagraphFont"/>
    <w:link w:val="Heading7"/>
    <w:uiPriority w:val="9"/>
    <w:rsid w:val="00CA677E"/>
    <w:rPr>
      <w:rFonts w:ascii="Times" w:eastAsiaTheme="majorEastAsia" w:hAnsi="Times" w:cstheme="majorBidi"/>
      <w:iCs/>
      <w:color w:val="44546A" w:themeColor="text2"/>
      <w:sz w:val="32"/>
    </w:rPr>
  </w:style>
  <w:style w:type="character" w:customStyle="1" w:styleId="Heading8Char">
    <w:name w:val="Heading 8 Char"/>
    <w:basedOn w:val="DefaultParagraphFont"/>
    <w:link w:val="Heading8"/>
    <w:uiPriority w:val="9"/>
    <w:rsid w:val="00DF6D61"/>
    <w:rPr>
      <w:rFonts w:ascii="Times" w:eastAsiaTheme="majorEastAsia" w:hAnsi="Times" w:cstheme="majorBidi"/>
      <w:color w:val="808080" w:themeColor="background1" w:themeShade="80"/>
      <w:sz w:val="22"/>
      <w:szCs w:val="21"/>
    </w:rPr>
  </w:style>
  <w:style w:type="character" w:customStyle="1" w:styleId="Heading9Char">
    <w:name w:val="Heading 9 Char"/>
    <w:basedOn w:val="DefaultParagraphFont"/>
    <w:link w:val="Heading9"/>
    <w:uiPriority w:val="9"/>
    <w:rsid w:val="00AB2EBB"/>
    <w:rPr>
      <w:rFonts w:ascii="Times" w:eastAsiaTheme="majorEastAsia" w:hAnsi="Times" w:cstheme="majorBidi"/>
      <w:iCs/>
      <w:color w:val="272727" w:themeColor="text1" w:themeTint="D8"/>
      <w:szCs w:val="21"/>
    </w:rPr>
  </w:style>
  <w:style w:type="paragraph" w:styleId="Quote">
    <w:name w:val="Quote"/>
    <w:basedOn w:val="Normal"/>
    <w:link w:val="QuoteChar"/>
    <w:uiPriority w:val="29"/>
    <w:qFormat/>
    <w:rsid w:val="005131EA"/>
    <w:pPr>
      <w:spacing w:before="200" w:after="160"/>
      <w:ind w:firstLine="0"/>
    </w:pPr>
    <w:rPr>
      <w:iCs/>
      <w:color w:val="808080" w:themeColor="background1" w:themeShade="80"/>
    </w:rPr>
  </w:style>
  <w:style w:type="character" w:customStyle="1" w:styleId="QuoteChar">
    <w:name w:val="Quote Char"/>
    <w:basedOn w:val="DefaultParagraphFont"/>
    <w:link w:val="Quote"/>
    <w:uiPriority w:val="29"/>
    <w:rsid w:val="005131EA"/>
    <w:rPr>
      <w:rFonts w:ascii="Times" w:hAnsi="Times"/>
      <w:iCs/>
      <w:color w:val="808080" w:themeColor="background1" w:themeShade="80"/>
    </w:rPr>
  </w:style>
  <w:style w:type="paragraph" w:styleId="NoSpacing">
    <w:name w:val="No Spacing"/>
    <w:basedOn w:val="Normal"/>
    <w:uiPriority w:val="1"/>
    <w:qFormat/>
    <w:rsid w:val="006A460B"/>
    <w:pPr>
      <w:ind w:firstLine="0"/>
    </w:pPr>
    <w:rPr>
      <w:rFonts w:cs="Times New Roman (Body CS)"/>
      <w:color w:val="808080" w:themeColor="background1" w:themeShade="80"/>
    </w:rPr>
  </w:style>
  <w:style w:type="character" w:customStyle="1" w:styleId="SubtitleChar">
    <w:name w:val="Subtitle Char"/>
    <w:basedOn w:val="DefaultParagraphFont"/>
    <w:link w:val="Subtitle"/>
    <w:uiPriority w:val="11"/>
    <w:rsid w:val="009A1B5D"/>
    <w:rPr>
      <w:rFonts w:ascii="Times" w:hAnsi="Times" w:cs="Times New Roman (Body CS)"/>
      <w:color w:val="404040" w:themeColor="text1" w:themeTint="BF"/>
      <w:szCs w:val="22"/>
    </w:rPr>
  </w:style>
  <w:style w:type="paragraph" w:styleId="Title">
    <w:name w:val="Title"/>
    <w:basedOn w:val="Normal"/>
    <w:next w:val="Normal"/>
    <w:link w:val="TitleChar"/>
    <w:uiPriority w:val="10"/>
    <w:qFormat/>
    <w:rsid w:val="005B42EE"/>
    <w:pPr>
      <w:spacing w:before="2000"/>
      <w:ind w:firstLine="0"/>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5B42EE"/>
    <w:rPr>
      <w:rFonts w:ascii="Times" w:eastAsiaTheme="majorEastAsia" w:hAnsi="Times" w:cstheme="majorBidi"/>
      <w:spacing w:val="-10"/>
      <w:kern w:val="28"/>
      <w:szCs w:val="56"/>
    </w:rPr>
  </w:style>
  <w:style w:type="table" w:styleId="TableGrid">
    <w:name w:val="Table Grid"/>
    <w:basedOn w:val="TableNormal"/>
    <w:uiPriority w:val="39"/>
    <w:rsid w:val="00C17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640DD7"/>
    <w:pPr>
      <w:spacing w:line="240" w:lineRule="auto"/>
      <w:ind w:firstLine="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ibliography">
    <w:name w:val="Bibliography"/>
    <w:basedOn w:val="Normal"/>
    <w:next w:val="Normal"/>
    <w:uiPriority w:val="37"/>
    <w:unhideWhenUsed/>
    <w:rsid w:val="00523369"/>
    <w:pPr>
      <w:spacing w:after="60" w:line="240" w:lineRule="auto"/>
      <w:ind w:left="720" w:hanging="720"/>
    </w:pPr>
  </w:style>
  <w:style w:type="paragraph" w:customStyle="1" w:styleId="Table">
    <w:name w:val="Table"/>
    <w:basedOn w:val="Normal"/>
    <w:qFormat/>
    <w:rsid w:val="00D82CE2"/>
    <w:pPr>
      <w:spacing w:line="360" w:lineRule="auto"/>
      <w:ind w:firstLine="0"/>
    </w:pPr>
  </w:style>
  <w:style w:type="character" w:styleId="FootnoteReference">
    <w:name w:val="footnote reference"/>
    <w:basedOn w:val="DefaultParagraphFont"/>
    <w:uiPriority w:val="99"/>
    <w:unhideWhenUsed/>
    <w:rsid w:val="00514E19"/>
    <w:rPr>
      <w:vertAlign w:val="superscript"/>
    </w:rPr>
  </w:style>
  <w:style w:type="paragraph" w:styleId="FootnoteText">
    <w:name w:val="footnote text"/>
    <w:basedOn w:val="Normal"/>
    <w:link w:val="FootnoteTextChar"/>
    <w:uiPriority w:val="99"/>
    <w:unhideWhenUsed/>
    <w:rsid w:val="00B11D86"/>
    <w:pPr>
      <w:spacing w:line="240" w:lineRule="auto"/>
      <w:ind w:firstLine="0"/>
    </w:pPr>
    <w:rPr>
      <w:color w:val="404040" w:themeColor="text1" w:themeTint="BF"/>
      <w:sz w:val="16"/>
    </w:rPr>
  </w:style>
  <w:style w:type="character" w:customStyle="1" w:styleId="FootnoteTextChar">
    <w:name w:val="Footnote Text Char"/>
    <w:basedOn w:val="DefaultParagraphFont"/>
    <w:link w:val="FootnoteText"/>
    <w:uiPriority w:val="99"/>
    <w:rsid w:val="00B11D86"/>
    <w:rPr>
      <w:rFonts w:ascii="Times" w:hAnsi="Times"/>
      <w:color w:val="404040" w:themeColor="text1" w:themeTint="BF"/>
      <w:sz w:val="16"/>
    </w:rPr>
  </w:style>
  <w:style w:type="paragraph" w:styleId="EndnoteText">
    <w:name w:val="endnote text"/>
    <w:basedOn w:val="FootnoteText"/>
    <w:link w:val="EndnoteTextChar"/>
    <w:uiPriority w:val="99"/>
    <w:unhideWhenUsed/>
    <w:rsid w:val="007C73C5"/>
  </w:style>
  <w:style w:type="character" w:customStyle="1" w:styleId="EndnoteTextChar">
    <w:name w:val="Endnote Text Char"/>
    <w:basedOn w:val="DefaultParagraphFont"/>
    <w:link w:val="EndnoteText"/>
    <w:uiPriority w:val="99"/>
    <w:rsid w:val="007C73C5"/>
    <w:rPr>
      <w:rFonts w:ascii="Times" w:hAnsi="Times"/>
      <w:color w:val="404040" w:themeColor="text1" w:themeTint="BF"/>
      <w:sz w:val="18"/>
    </w:rPr>
  </w:style>
  <w:style w:type="paragraph" w:styleId="Footer">
    <w:name w:val="footer"/>
    <w:basedOn w:val="Normal"/>
    <w:link w:val="FooterChar"/>
    <w:uiPriority w:val="99"/>
    <w:unhideWhenUsed/>
    <w:rsid w:val="00535D98"/>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535D98"/>
    <w:rPr>
      <w:rFonts w:ascii="Times" w:hAnsi="Times"/>
    </w:rPr>
  </w:style>
  <w:style w:type="paragraph" w:styleId="Header">
    <w:name w:val="header"/>
    <w:basedOn w:val="Normal"/>
    <w:link w:val="HeaderChar"/>
    <w:uiPriority w:val="99"/>
    <w:unhideWhenUsed/>
    <w:rsid w:val="00426080"/>
    <w:pPr>
      <w:tabs>
        <w:tab w:val="center" w:pos="4680"/>
        <w:tab w:val="right" w:pos="9360"/>
      </w:tabs>
      <w:spacing w:line="240" w:lineRule="auto"/>
    </w:pPr>
  </w:style>
  <w:style w:type="character" w:customStyle="1" w:styleId="HeaderChar">
    <w:name w:val="Header Char"/>
    <w:basedOn w:val="DefaultParagraphFont"/>
    <w:link w:val="Header"/>
    <w:uiPriority w:val="99"/>
    <w:rsid w:val="00426080"/>
    <w:rPr>
      <w:rFonts w:ascii="Times" w:hAnsi="Times"/>
    </w:rPr>
  </w:style>
  <w:style w:type="character" w:styleId="PageNumber">
    <w:name w:val="page number"/>
    <w:basedOn w:val="DefaultParagraphFont"/>
    <w:uiPriority w:val="99"/>
    <w:semiHidden/>
    <w:unhideWhenUsed/>
    <w:rsid w:val="007A0A21"/>
  </w:style>
  <w:style w:type="paragraph" w:styleId="BalloonText">
    <w:name w:val="Balloon Text"/>
    <w:basedOn w:val="Normal"/>
    <w:link w:val="BalloonTextChar"/>
    <w:uiPriority w:val="99"/>
    <w:semiHidden/>
    <w:unhideWhenUsed/>
    <w:rsid w:val="00676A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6A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54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51" Target="http://learn.ruffalonl.com/rs/395-EOG-977/images/RNL_2018_Student_Recruitment_Marketing_Report_EM-19.pdf" TargetMode="External" /><Relationship Type="http://schemas.openxmlformats.org/officeDocument/2006/relationships/hyperlink" Id="rId50"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51" Target="http://learn.ruffalonl.com/rs/395-EOG-977/images/RNL_2018_Student_Recruitment_Marketing_Report_EM-19.pdf" TargetMode="External" /><Relationship Type="http://schemas.openxmlformats.org/officeDocument/2006/relationships/hyperlink" Id="rId50"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Coming Soon to a Neighborhood Near You? Off-Campus Recruiting by Public Research Universities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dcterms:created xsi:type="dcterms:W3CDTF">2019-09-13T16:43:28Z</dcterms:created>
  <dcterms:modified xsi:type="dcterms:W3CDTF">2019-09-13T16:43:28Z</dcterms:modified>
</cp:coreProperties>
</file>