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gure"/>
      </w:pPr>
      <w:r>
        <w:drawing>
          <wp:inline>
            <wp:extent cx="5943600" cy="2806700"/>
            <wp:effectExtent b="0" l="0" r="0" t="0"/>
            <wp:docPr descr="" id="1" name="Picture"/>
            <a:graphic>
              <a:graphicData uri="http://schemas.openxmlformats.org/drawingml/2006/picture">
                <pic:pic>
                  <pic:nvPicPr>
                    <pic:cNvPr descr="assets/images/sample_header.png" id="0" name="Picture"/>
                    <pic:cNvPicPr>
                      <a:picLocks noChangeArrowheads="1" noChangeAspect="1"/>
                    </pic:cNvPicPr>
                  </pic:nvPicPr>
                  <pic:blipFill>
                    <a:blip r:embed="rId21"/>
                    <a:stretch>
                      <a:fillRect/>
                    </a:stretch>
                  </pic:blipFill>
                  <pic:spPr bwMode="auto">
                    <a:xfrm>
                      <a:off x="0" y="0"/>
                      <a:ext cx="5943600" cy="2806700"/>
                    </a:xfrm>
                    <a:prstGeom prst="rect">
                      <a:avLst/>
                    </a:prstGeom>
                    <a:noFill/>
                    <a:ln w="9525">
                      <a:noFill/>
                      <a:headEnd/>
                      <a:tailEnd/>
                    </a:ln>
                  </pic:spPr>
                </pic:pic>
              </a:graphicData>
            </a:graphic>
          </wp:inline>
        </w:drawing>
      </w:r>
    </w:p>
    <w:p>
      <w:pPr>
        <w:pStyle w:val="Heading2"/>
      </w:pPr>
      <w:bookmarkStart w:id="22" w:name="introduction"/>
      <w:bookmarkEnd w:id="22"/>
      <w:r>
        <w:t xml:space="preserve">Introduction</w:t>
      </w:r>
    </w:p>
    <w:p>
      <w:pPr>
        <w:pStyle w:val="FirstParagraph"/>
      </w:pPr>
      <w:r>
        <w:t xml:space="preserve">Historically, the mission of public research universities has been to provide opportunity and social mobility for state residents who cannot afford tuition at elite private colleges and universities. Yet today these institutions are unrepresentative of the socioeconomic and racial diversity of the states they serve, increasingly composed of affluent students from affluent out-of-state communities.</w:t>
      </w:r>
    </w:p>
    <w:p>
      <w:pPr>
        <w:pStyle w:val="BodyText"/>
      </w:pPr>
      <w:r>
        <w:t xml:space="preserve">Policy debates often attribute this access inequality to the academic achievement gap between low-income and affluent students.</w:t>
      </w:r>
      <w:r>
        <w:rPr>
          <w:vertAlign w:val="superscript"/>
        </w:rPr>
        <w:t xml:space="preserve">1</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to attend community college than their affluent peers. Policymakers refer to this phenomenon as</w:t>
      </w:r>
      <w:r>
        <w:t xml:space="preserve"> </w:t>
      </w:r>
      <w:r>
        <w:t xml:space="preserve">“</w:t>
      </w:r>
      <w:r>
        <w:t xml:space="preserve">under-matching</w:t>
      </w:r>
      <w:r>
        <w:t xml:space="preserve">”</w:t>
      </w:r>
      <w:r>
        <w:t xml:space="preserve">–the idea that high-achieving, low-income students do not apply to selective institutions because they lack the proper information and guidance from their family and high school.</w:t>
      </w:r>
      <w:r>
        <w:rPr>
          <w:vertAlign w:val="superscript"/>
        </w:rPr>
        <w:t xml:space="preserve">2</w:t>
      </w:r>
      <w:r>
        <w:t xml:space="preserve"> </w:t>
      </w:r>
      <w:r>
        <w:t xml:space="preserve">But a recent experimental evaluation by the College Board found that interventions providing these students with more information about their college options and the application process showed no effect on their enrollment in selective institutions, suggesting that student behavior and inadequate transparency around options may not be the only reason for access inequality.</w:t>
      </w:r>
      <w:r>
        <w:rPr>
          <w:vertAlign w:val="superscript"/>
        </w:rPr>
        <w:t xml:space="preserve">3</w:t>
      </w:r>
    </w:p>
    <w:p>
      <w:pPr>
        <w:pStyle w:val="BodyText"/>
      </w:pPr>
      <w:r>
        <w:t xml:space="preserve">An alternative explanation is that the enrollment priorities of public research universities may be biased against low-income students and/or students of color. If so, fixing student achievement and college application decisions will ultimately fail to overcome the access inequality. Unfortunately,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which is why we make the case that knowing which student populations are targeted by university recruiting efforts is a credible indicator of their enrollment priorities.</w:t>
      </w:r>
    </w:p>
    <w:p>
      <w:pPr>
        <w:pStyle w:val="BodyText"/>
      </w:pPr>
      <w:r>
        <w:t xml:space="preserve">This report analyzes university recruiting behavior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these out-of-state visits focus on affluent, predominantly white high schools. Finally, we discuss policy implications, emphasizing the relationship between public funding for higher education and the enrollment priorities of public universities. Reports showing that universities stack the deck for rich kids are a dime a dozen. We explain why universities behave this way and we begin a discussion about what we can do to change this.</w:t>
      </w:r>
    </w:p>
    <w:p>
      <w:pPr>
        <w:pStyle w:val="BodyText"/>
      </w:pPr>
      <w:r>
        <w:t xml:space="preserve">Revitalizing the social mobility mission of public flagship universities is essential because these institutions are designated the unique responsibility of transforming raw talent into the future civic, professional, and business leaders of the state. When public research universities systematically ignore high-achieving, low-income state residents, these students are often funneled into community colleges. Research resoundingly finds that this has a dramatic negative effect on the probability of obtaining a bachelor’s degree,</w:t>
      </w:r>
      <w:r>
        <w:rPr>
          <w:vertAlign w:val="superscript"/>
        </w:rPr>
        <w:t xml:space="preserve">4–7</w:t>
      </w:r>
      <w:r>
        <w:t xml:space="preserve"> </w:t>
      </w:r>
      <w:r>
        <w:t xml:space="preserve">with the most recent analyses finding that starting at a community college rather than a 4-year university reduces the probability of attaining a BA by 18 percentage points, from a 50% probability to 32% probability.</w:t>
      </w:r>
      <w:r>
        <w:rPr>
          <w:vertAlign w:val="superscript"/>
        </w:rPr>
        <w:t xml:space="preserve">8</w:t>
      </w:r>
    </w:p>
    <w:p>
      <w:pPr>
        <w:pStyle w:val="Heading6"/>
      </w:pPr>
      <w:bookmarkStart w:id="23" w:name="table-1-number-of-high-achieving-students-by-socioeconomic-quintile"/>
      <w:bookmarkEnd w:id="23"/>
      <w:r>
        <w:t xml:space="preserve">Table 1: Number of high-achieving students by socioeconomic quintile</w:t>
      </w:r>
    </w:p>
    <w:p>
      <w:pPr>
        <w:pStyle w:val="Heading6"/>
      </w:pPr>
      <w:bookmarkStart w:id="24" w:name="table-2-initial-post-secondary-destination-of-high-achieving-students-by-socioeconomic-quintile"/>
      <w:bookmarkEnd w:id="24"/>
      <w:r>
        <w:t xml:space="preserve">Table 2: Initial post-secondary destination of high-achieving students by socioeconomic quintile</w:t>
      </w:r>
    </w:p>
    <w:p>
      <w:pPr>
        <w:pStyle w:val="Heading2"/>
      </w:pPr>
      <w:bookmarkStart w:id="25" w:name="background"/>
      <w:bookmarkEnd w:id="25"/>
      <w:r>
        <w:t xml:space="preserve">Background</w:t>
      </w:r>
    </w:p>
    <w:p>
      <w:pPr>
        <w:pStyle w:val="Heading4"/>
      </w:pPr>
      <w:bookmarkStart w:id="26" w:name="enrollment-management-by-public-research-universities"/>
      <w:bookmarkEnd w:id="26"/>
      <w:r>
        <w:t xml:space="preserve">Enrollment Management by Public Research Universities</w:t>
      </w:r>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9</w:t>
      </w:r>
      <w:r>
        <w:t xml:space="preserve"> </w:t>
      </w:r>
      <w:r>
        <w:t xml:space="preserve">EM is also a common university administrative structure, and many institutions have an Office of Enrollment Management that coordinates the activities of the offices responsible for admission, financial aid, marketing, and recruiting.</w:t>
      </w:r>
    </w:p>
    <w:p>
      <w:pPr>
        <w:pStyle w:val="Heading6"/>
      </w:pPr>
      <w:bookmarkStart w:id="27" w:name="figure-1-iron-triangle-of-enrollment-management"/>
      <w:bookmarkEnd w:id="27"/>
      <w:r>
        <w:t xml:space="preserve">Figure 1: Iron triangle of enrollment management</w:t>
      </w:r>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states that universities care about the three broad enrollment goals: access, academic quality, and tuition revenue. In practice,</w:t>
      </w:r>
      <w:r>
        <w:t xml:space="preserve"> </w:t>
      </w:r>
      <w:r>
        <w:t xml:space="preserve">“</w:t>
      </w:r>
      <w:r>
        <w:t xml:space="preserve">academic quality</w:t>
      </w:r>
      <w:r>
        <w:t xml:space="preserve">”</w:t>
      </w:r>
      <w:r>
        <w:t xml:space="preserve"> </w:t>
      </w:r>
      <w:r>
        <w:t xml:space="preserve">often refers to U.S. News and World Report rankings.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Because resources are scarce, the imagery of the iron triangle suggests that pursuing one goal involves trade-offs with the others. Growing preoccupation with rankings incentivizes universities to prioritize the academic prestige goal, while state disinvestment incentivizes universities to prioritize the tuition revenue goal and discourages universities from enrolling large numbers of low-income students. Consistent with this idea, average state funding at the 63 public research-extensive universities as defined by the 2005 Carnegie Classification declined from $387 million in 2001-02 to $280 million in 2012-13, recovering only to $314 million by 2016-17 despite several years of economic growth.</w:t>
      </w:r>
      <w:r>
        <w:rPr>
          <w:vertAlign w:val="superscript"/>
        </w:rPr>
        <w:t xml:space="preserve">10</w:t>
      </w:r>
      <w:r>
        <w:t xml:space="preserve"> </w:t>
      </w:r>
      <w:r>
        <w:t xml:space="preserve">By contrast, average net tuition revenue increased from $213 million in 2001-02 to $501 million in 2016-17.</w:t>
      </w:r>
    </w:p>
    <w:p>
      <w:pPr>
        <w:pStyle w:val="Heading6"/>
      </w:pPr>
      <w:bookmarkStart w:id="28" w:name="figure-2-average-state-and-tuition-revenue-of-public-research-extensive-universities-2001-02-through-2016-17"/>
      <w:bookmarkEnd w:id="28"/>
      <w:r>
        <w:t xml:space="preserve">Figure 2: Average state and tuition revenue of public research-extensive universities, 2001-02 through 2016-17</w:t>
      </w:r>
    </w:p>
    <w:p>
      <w:pPr>
        <w:pStyle w:val="FirstParagraph"/>
      </w:pPr>
    </w:p>
    <w:p>
      <w:pPr>
        <w:pStyle w:val="Heading4"/>
      </w:pPr>
      <w:bookmarkStart w:id="29" w:name="creating-the-out-of-state-university"/>
      <w:bookmarkEnd w:id="29"/>
      <w:r>
        <w:t xml:space="preserve">Creating the Out-of-State University</w:t>
      </w:r>
    </w:p>
    <w:p>
      <w:pPr>
        <w:pStyle w:val="FirstParagraph"/>
      </w:pPr>
      <w:r>
        <w:t xml:space="preserve">Public research universities responded to declining state appropriations by dramatically increasing nonresident enrollment because nonresident students often pay two- to three-times more than residents. Empirical research found that a 10% decline in state appropriations was associated with a 4.6% increase in nonresident freshman enrollment.</w:t>
      </w:r>
      <w:r>
        <w:rPr>
          <w:vertAlign w:val="superscript"/>
        </w:rPr>
        <w:t xml:space="preserve">11</w:t>
      </w:r>
      <w:r>
        <w:t xml:space="preserve"> </w:t>
      </w:r>
      <w:r>
        <w:t xml:space="preserve">Between 2001-02 to 2016-17, average nonresident freshman enrollment at the nation’s 63 public research-extensive universities (2005 Carnegie Classification) increased from about 800 (19% of the freshman class) to over 1,400 (26% of the freshman class).</w:t>
      </w:r>
      <w:r>
        <w:rPr>
          <w:vertAlign w:val="superscript"/>
        </w:rPr>
        <w:t xml:space="preserve">12</w:t>
      </w:r>
    </w:p>
    <w:p>
      <w:pPr>
        <w:pStyle w:val="BodyText"/>
      </w:pPr>
      <w:r>
        <w:t xml:space="preserve">Nationally prestigious public research universities, such as the University of Michigan and UCLA, enjoy strong demand from high-achieving, out-of-state students. However, most public research universities are not nationally prestigious and compete for out-of-state students who were rejected by flagship universities in their own state. For example, the University of Arizona pursues Californians denied by the University of California and the University of Arkansas pursues Texans denied by the University of Texas-Austin and Texas A&amp;M. As competition for out-of-state (and international) students increases, non-prestigious public flagship universities have adopted institutional</w:t>
      </w:r>
      <w:r>
        <w:t xml:space="preserve"> </w:t>
      </w:r>
      <w:r>
        <w:t xml:space="preserve">“</w:t>
      </w:r>
      <w:r>
        <w:t xml:space="preserve">merit aid</w:t>
      </w:r>
      <w:r>
        <w:t xml:space="preserve">”</w:t>
      </w:r>
      <w:r>
        <w:t xml:space="preserve"> </w:t>
      </w:r>
      <w:r>
        <w:t xml:space="preserve">programs specifically designed to target out-of-state students with mediocre academic achievement.</w:t>
      </w:r>
      <w:r>
        <w:rPr>
          <w:vertAlign w:val="superscript"/>
        </w:rPr>
        <w:t xml:space="preserve">13–17</w:t>
      </w:r>
    </w:p>
    <w:p>
      <w:pPr>
        <w:pStyle w:val="BodyText"/>
      </w:pPr>
      <w:r>
        <w:t xml:space="preserve">Legislators in several states, such as California, have proposed nonresident enrollment caps, based on the premise that nonresident students</w:t>
      </w:r>
      <w:r>
        <w:t xml:space="preserve"> </w:t>
      </w:r>
      <w:r>
        <w:t xml:space="preserve">“</w:t>
      </w:r>
      <w:r>
        <w:t xml:space="preserve">crowds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We assessed these claims empirically. First, nonresident enrollment has no effect on resident enrollment for public research universities as a whole and has a negative effect on resident enrollment at nationally prestigious universities.</w:t>
      </w:r>
      <w:r>
        <w:rPr>
          <w:vertAlign w:val="superscript"/>
        </w:rPr>
        <w:t xml:space="preserve">18</w:t>
      </w:r>
      <w:r>
        <w:t xml:space="preserve"> </w:t>
      </w:r>
      <w:r>
        <w:t xml:space="preserve">Second, nonresident enrollment has a strong positive relationship with faculty hiring.</w:t>
      </w:r>
      <w:r>
        <w:rPr>
          <w:vertAlign w:val="superscript"/>
        </w:rPr>
        <w:t xml:space="preserve">19</w:t>
      </w:r>
      <w:r>
        <w:t xml:space="preserve"> </w:t>
      </w:r>
      <w:r>
        <w:t xml:space="preserve">We found that enrolling 100 additional nonresident freshmen is associated with hiring 1.42 new tenure-line faculty, while enrolling 100 additional resident freshmen is associated with hiring 0.64 tenure-line faculty. However, we also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Pell Grant recipients and black/Latinx students at public research universities.</w:t>
      </w:r>
      <w:r>
        <w:rPr>
          <w:vertAlign w:val="superscript"/>
        </w:rPr>
        <w:t xml:space="preserve">20</w:t>
      </w:r>
    </w:p>
    <w:p>
      <w:pPr>
        <w:pStyle w:val="Heading4"/>
      </w:pPr>
      <w:bookmarkStart w:id="30" w:name="the-enrollment-funnel"/>
      <w:bookmarkEnd w:id="30"/>
      <w:r>
        <w:t xml:space="preserve">The Enrollment Funnel</w:t>
      </w:r>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w:t>
      </w:r>
      <w:r>
        <w:rPr>
          <w:vertAlign w:val="superscript"/>
        </w:rPr>
        <w:t xml:space="preserve">21–24</w:t>
      </w:r>
      <w:r>
        <w:t xml:space="preserve"> </w:t>
      </w:r>
      <w:r>
        <w:t xml:space="preserve">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25–27</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w:t>
      </w:r>
      <w:r>
        <w:rPr>
          <w:vertAlign w:val="superscript"/>
        </w:rPr>
        <w:t xml:space="preserve">28</w:t>
      </w:r>
      <w:r>
        <w:t xml:space="preserve"> </w:t>
      </w:r>
      <w:r>
        <w:t xml:space="preserve">“</w:t>
      </w:r>
      <w:r>
        <w:t xml:space="preserve">Inquiries</w:t>
      </w:r>
      <w:r>
        <w:t xml:space="preserve">”</w:t>
      </w:r>
      <w:r>
        <w:t xml:space="preserve"> </w:t>
      </w:r>
      <w:r>
        <w:t xml:space="preserve">are prospects that contact the university, including those who respond to university solicitations like emails and brochures and those who reach out on their own by taking actions such as sending SAT/ACT scores to a university or completing a form on the admissions website.</w:t>
      </w:r>
    </w:p>
    <w:p>
      <w:pPr>
        <w:pStyle w:val="Heading6"/>
      </w:pPr>
      <w:bookmarkStart w:id="31" w:name="figure-3-enrollment-management-funnel"/>
      <w:bookmarkEnd w:id="31"/>
      <w:r>
        <w:t xml:space="preserve">Figure 3: Enrollment management funnel</w:t>
      </w:r>
    </w:p>
    <w:p>
      <w:pPr>
        <w:pStyle w:val="FirstParagraph"/>
      </w:pPr>
    </w:p>
    <w:p>
      <w:pPr>
        <w:pStyle w:val="BodyText"/>
      </w:pPr>
      <w:r>
        <w:t xml:space="preserve">Universities identify prospects primarily by purchasing student lists from the College Board and ACT, Inc., which own large databases on prospective college students.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29</w:t>
      </w:r>
      <w:r>
        <w:t xml:space="preserve"> </w:t>
      </w:r>
      <w:r>
        <w:t xml:space="preserve">These names don’t come cheap. The median public university spent 14% of their marketing and recruiting budget on student list purchases.</w:t>
      </w:r>
      <w:r>
        <w:rPr>
          <w:vertAlign w:val="superscript"/>
        </w:rPr>
        <w:t xml:space="preserve">30</w:t>
      </w:r>
      <w:r>
        <w:t xml:space="preserve"> </w:t>
      </w:r>
      <w:r>
        <w:t xml:space="preserve">To provide a concrete example, from 2010 to 2018, the University of Alabama paid $1.9 million to College Board and $349,000 to ACT, Inc. for student data.</w:t>
      </w:r>
      <w:r>
        <w:rPr>
          <w:vertAlign w:val="superscript"/>
        </w:rPr>
        <w:t xml:space="preserve">31</w:t>
      </w:r>
    </w:p>
    <w:p>
      <w:pPr>
        <w:pStyle w:val="BodyText"/>
      </w:pPr>
      <w:r>
        <w:t xml:space="preserve">Once identified, prospects are targeted with recruiting interventions aimed at soliciting inquiries and applications.</w:t>
      </w:r>
      <w:r>
        <w:rPr>
          <w:vertAlign w:val="superscript"/>
        </w:rPr>
        <w:t xml:space="preserve">30, 32</w:t>
      </w:r>
      <w:r>
        <w:t xml:space="preserve"> </w:t>
      </w:r>
      <w:r>
        <w:t xml:space="preserve">Face-to-face interventions include off-campus visits by university admissions representatives–for example, to a local high school–and on-campus visits by prospects. Non face-to-face interventions include texts, emails, and mail, such as postcards and brochures. Additionally, universities utilize paid advertising, including pay-per-click ads from Google and cookie-driven ads that target prospects who visit your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w:t>
      </w:r>
      <w:r>
        <w:rPr>
          <w:vertAlign w:val="superscript"/>
        </w:rPr>
        <w:t xml:space="preserve">33</w:t>
      </w:r>
      <w:r>
        <w:t xml:space="preserve"> </w:t>
      </w:r>
      <w:r>
        <w:t xml:space="preserve">social media enables universities to tell their story to prospects who do not contact the university and do not wish to be contacted.</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such as which criteria to select when purchasing student lists, and pinpoint which prospects should receive which recruiting interventions–another practice that comes at a high price tag for institutions. Going back to the University of Alabama (UA), from 2010 to 2018 UA paid $4.4 million to the EM consulting firm Hobsons (2018 CPI).</w:t>
      </w:r>
      <w:r>
        <w:rPr>
          <w:vertAlign w:val="superscript"/>
        </w:rPr>
        <w:t xml:space="preserve">31</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2" w:name="off-campus-recruiting"/>
      <w:bookmarkEnd w:id="32"/>
      <w:r>
        <w:t xml:space="preserve">Off-Campus Recruiting</w:t>
      </w:r>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rPr>
          <w:vertAlign w:val="superscript"/>
        </w:rPr>
        <w:t xml:space="preserve">15</w:t>
      </w:r>
      <w:r>
        <w:t xml:space="preserve"> </w:t>
      </w:r>
      <w:r>
        <w:t xml:space="preserve">Ruffalo Noel Levitz found that public universities spent 18% of their marketing and recruiting budget on</w:t>
      </w:r>
      <w:r>
        <w:t xml:space="preserve"> </w:t>
      </w:r>
      <w:r>
        <w:t xml:space="preserve">“</w:t>
      </w:r>
      <w:r>
        <w:t xml:space="preserve">travel to high schools and college fairs,</w:t>
      </w:r>
      <w:r>
        <w:t xml:space="preserve">”</w:t>
      </w:r>
      <w:r>
        <w:t xml:space="preserve"> </w:t>
      </w:r>
      <w:r>
        <w:t xml:space="preserve">compared to 15% for on-campus visits and 14% for student list purchases.</w:t>
      </w:r>
      <w:r>
        <w:rPr>
          <w:vertAlign w:val="superscript"/>
        </w:rPr>
        <w:t xml:space="preserve">30, 34</w:t>
      </w:r>
    </w:p>
    <w:p>
      <w:pPr>
        <w:pStyle w:val="BodyText"/>
      </w:pPr>
      <w:r>
        <w:t xml:space="preserve">Enrollment managers value off-campus recruiting as a means of simultaneously identifying prospects and connecting with prospects already being targeted through mail/email.</w:t>
      </w:r>
      <w:r>
        <w:rPr>
          <w:vertAlign w:val="superscript"/>
        </w:rPr>
        <w:t xml:space="preserve">15, 32, 35</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 </w:t>
      </w:r>
      <w:r>
        <w:t xml:space="preserve">– and the guidance counselors at these schools – that are a consistent source of students year after year.</w:t>
      </w:r>
      <w:r>
        <w:rPr>
          <w:vertAlign w:val="superscript"/>
        </w:rPr>
        <w:t xml:space="preserve">15, 30</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15</w:t>
      </w:r>
    </w:p>
    <w:p>
      <w:pPr>
        <w:pStyle w:val="BodyText"/>
      </w:pPr>
      <w:r>
        <w:t xml:space="preserve">Market research on the effect of off-campus recruiting finds that off-campus visits were the second highest source of inquiries (after student list purchases), accounting for 19% of inquiries for the median public university.</w:t>
      </w:r>
      <w:r>
        <w:rPr>
          <w:vertAlign w:val="superscript"/>
        </w:rPr>
        <w:t xml:space="preserve">30</w:t>
      </w:r>
      <w:r>
        <w:t xml:space="preserve"> </w:t>
      </w:r>
      <w:r>
        <w:t xml:space="preserve">Off-campus visits were also the third highest source of enrollees (after stealth applicants and on-campus visits), accounting for 16% of enrollees. Qualitative research, from the perspective of high school students, found that high school visits influenced where students applied and where they enrolled.</w:t>
      </w:r>
      <w:r>
        <w:rPr>
          <w:vertAlign w:val="superscript"/>
        </w:rPr>
        <w:t xml:space="preserve">36</w:t>
      </w:r>
      <w:r>
        <w:t xml:space="preserve"> </w:t>
      </w:r>
      <w:r>
        <w:t xml:space="preserve">These findings were particularly strong for first-generation students. By contrast, affluent students with college-educated parents tended to be less taken by overtures from universities and more concerned about university prestige.</w:t>
      </w:r>
    </w:p>
    <w:p>
      <w:pPr>
        <w:pStyle w:val="BodyText"/>
      </w:pPr>
      <w:r>
        <w:t xml:space="preserve">While prior research finds that off-campus recruiting influences the application and enrollment decisions of underrepresented students and accounts for a larger share of university marketing/recruiting budgets, our research is the first to systematically investigate which high schools receive visits by which universities and why this matters to broader inequities across our higher education system.</w:t>
      </w:r>
    </w:p>
    <w:p>
      <w:pPr>
        <w:pStyle w:val="Heading2"/>
      </w:pPr>
      <w:bookmarkStart w:id="33" w:name="research-and-findings"/>
      <w:bookmarkEnd w:id="33"/>
      <w:r>
        <w:t xml:space="preserve">Research and Findings</w:t>
      </w:r>
    </w:p>
    <w:p>
      <w:pPr>
        <w:pStyle w:val="FirstParagraph"/>
      </w:pPr>
      <w:r>
        <w:t xml:space="preserve">In the text below, we present findings from our research, which collected data on off-campus recruiting visits by public research universities. The project goal was to assess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that we collected sufficient data from.</w:t>
      </w:r>
      <w:r>
        <w:rPr>
          <w:vertAlign w:val="superscript"/>
        </w:rPr>
        <w:t xml:space="preserve">37</w:t>
      </w:r>
    </w:p>
    <w:p>
      <w:pPr>
        <w:pStyle w:val="Heading4"/>
      </w:pPr>
      <w:bookmarkStart w:id="34" w:name="follow-the-money"/>
      <w:bookmarkEnd w:id="34"/>
      <w:r>
        <w:t xml:space="preserve">Follow the Money</w:t>
      </w:r>
    </w:p>
    <w:p>
      <w:pPr>
        <w:pStyle w:val="FirstParagraph"/>
      </w:pPr>
      <w:r>
        <w:t xml:space="preserve">Table 3 shows the number of recruiting visits by event type, such as public high school or private high school, and whether the visit was in-state or out-of-state for the 15 public research universities in our sample. Across all universities, the majority of visits were to public high schools. However, the most dramatic result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38</w:t>
      </w:r>
      <w:r>
        <w:t xml:space="preserve"> </w:t>
      </w: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made significantly more out-of-state visits than in-state visits.</w:t>
      </w:r>
    </w:p>
    <w:p>
      <w:pPr>
        <w:pStyle w:val="Heading6"/>
      </w:pPr>
      <w:bookmarkStart w:id="35" w:name="table-3-state-funding-and-number-of-events-by-type-in-state-vs.out-of-state"/>
      <w:bookmarkEnd w:id="35"/>
      <w:r>
        <w:t xml:space="preserve">Table 3: State funding and number of events by type, in-state vs. out-of-state</w:t>
      </w:r>
    </w:p>
    <w:p>
      <w:pPr>
        <w:pStyle w:val="FirstParagraph"/>
      </w:pPr>
      <w:r>
        <w:t xml:space="preserve">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5"/>
      </w:pPr>
      <w:bookmarkStart w:id="36" w:name="trends-in-median-income-of-visited-high-schools"/>
      <w:bookmarkEnd w:id="36"/>
      <w:r>
        <w:t xml:space="preserve">Trends in Median Income of Visited High Schools</w:t>
      </w:r>
    </w:p>
    <w:p>
      <w:pPr>
        <w:pStyle w:val="FirstParagraph"/>
      </w:pPr>
      <w:r>
        <w:t xml:space="preserve">Figure 4 shows the average median household income in zip codes of visited public high schools compared to non-visited public high schools for in-state and out-of-state visits. As seen,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39</w:t>
      </w:r>
    </w:p>
    <w:p>
      <w:pPr>
        <w:pStyle w:val="Heading6"/>
      </w:pPr>
      <w:bookmarkStart w:id="37" w:name="figure-4-average-median-household-income-of-visited-vs-not-visited-public-high-schools"/>
      <w:bookmarkEnd w:id="37"/>
      <w:r>
        <w:t xml:space="preserve">Figure 4: Average median household income of visited vs not visited public high schools</w:t>
      </w:r>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area–a prime target for recruiting students given its close geographic proximity.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did not receive a visit. An interactive version of the map is available by following the link below. Readers are encouraged to explore the recruiting visits of other universities in our sample by selecting different universities and metro areas. The controls near the bottom left of the map toggles the display of visited and non-visited locations. Each circle marker indicates a location and filled circle markers indicate that the location has been visited by the selected university.</w:t>
      </w:r>
    </w:p>
    <w:p>
      <w:pPr>
        <w:pStyle w:val="Heading6"/>
      </w:pPr>
      <w:bookmarkStart w:id="38" w:name="figure-5-visits-to-metro-areas-by-median-household-income"/>
      <w:bookmarkEnd w:id="38"/>
      <w:r>
        <w:t xml:space="preserve">Figure 5: Visits to metro areas by median household income</w:t>
      </w:r>
    </w:p>
    <w:p>
      <w:pPr>
        <w:pStyle w:val="FirstParagraph"/>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5"/>
      </w:pPr>
      <w:bookmarkStart w:id="39" w:name="trends-in-racial-composition-of-visited-high-schools"/>
      <w:bookmarkEnd w:id="39"/>
      <w:r>
        <w:t xml:space="preserve">Trends in Racial Composition of Visited High Schools</w:t>
      </w:r>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A majority of the institutions in our sample visited out-of-state public high schools with an overall higher share of white students and lower share of black, Latinx, and Native American students. For example, the University of Colorado-Boulder visited out-of-state public high schools where white students make up 56% of the combined total, as compared to 49%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40" w:name="figure-6-average-racial-composition-of-visited-vs-not-visited-high-schools-by-in-state-out-of-state"/>
      <w:bookmarkEnd w:id="40"/>
      <w:r>
        <w:t xml:space="preserve">Figure 6: Average racial composition of visited vs not visited high schools by in-state, out-of-state</w:t>
      </w:r>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people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41" w:name="figure-7-visits-to-metro-areas-by-percent-black-latinx-and-native-american"/>
      <w:bookmarkEnd w:id="41"/>
      <w:r>
        <w:t xml:space="preserve">Figure 7: Visits to metro areas by percent black, Latinx, and Native American</w:t>
      </w:r>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 and universities tend to visit a disproportionate number of out-of-state private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a higher proportion of students of color. Nevertheless, in comparison to out-of-state visits to public high schools, the difference in average racial composition between visited and non-visited students remains relatively small across all cases.</w:t>
      </w:r>
    </w:p>
    <w:p>
      <w:pPr>
        <w:pStyle w:val="Heading2"/>
      </w:pPr>
      <w:bookmarkStart w:id="42" w:name="policy-implications"/>
      <w:bookmarkEnd w:id="42"/>
      <w:r>
        <w:t xml:space="preserve">Policy Implications</w:t>
      </w:r>
    </w:p>
    <w:p>
      <w:pPr>
        <w:pStyle w:val="FirstParagraph"/>
      </w:pPr>
      <w:r>
        <w:t xml:space="preserve">Mainstream policy debates about socioeconomic and racial inequality in college access point to</w:t>
      </w:r>
      <w:r>
        <w:t xml:space="preserve"> </w:t>
      </w:r>
      <w:r>
        <w:t xml:space="preserve">“</w:t>
      </w:r>
      <w:r>
        <w:t xml:space="preserve">deficiencies</w:t>
      </w:r>
      <w:r>
        <w:t xml:space="preserve">”</w:t>
      </w:r>
      <w:r>
        <w:t xml:space="preserve"> </w:t>
      </w:r>
      <w:r>
        <w:t xml:space="preserve">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by high-achieving students who do not apply to selective universities.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decision-making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13–17</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attend a nearby community college or state college. Student outcomes are substantially a function of access. Research unequivocally finds that starting at a community college dramatically reduces the probability of obtaining a BA,</w:t>
      </w:r>
      <w:r>
        <w:rPr>
          <w:vertAlign w:val="superscript"/>
        </w:rPr>
        <w:t xml:space="preserve">5, 8</w:t>
      </w:r>
      <w:r>
        <w:t xml:space="preserve"> </w:t>
      </w:r>
      <w:r>
        <w:t xml:space="preserve">increases the time to degree, and lowers lifetime earnings. Regional public universities fare better than community colleges on degree completion. However, most states designate public flagship universities the responsibility of preparing the future business, professional, and civic leaders of the state. When public flagship universities ignore poor, minority communities in their backyard, they deny local talent the opportunity to reach its full potential. The best inputs are not being sent to the place that maximizes their output. Further, when public flagships enroll great quantities of affluent nonresident students who were rejected by public universities in their own state, campus culture becomes hostile to first-generation students reaching for their full potential.</w:t>
      </w:r>
      <w:r>
        <w:rPr>
          <w:vertAlign w:val="superscript"/>
        </w:rPr>
        <w:t xml:space="preserve">40</w:t>
      </w:r>
    </w:p>
    <w:p>
      <w:pPr>
        <w:pStyle w:val="Heading4"/>
      </w:pPr>
      <w:bookmarkStart w:id="43" w:name="public-funding-and-enrollment-priorities"/>
      <w:bookmarkEnd w:id="43"/>
      <w:r>
        <w:t xml:space="preserve">Public Funding and Enrollment Priorities</w:t>
      </w:r>
    </w:p>
    <w:p>
      <w:pPr>
        <w:pStyle w:val="FirstParagraph"/>
      </w:pPr>
      <w:r>
        <w:t xml:space="preserve">Debates about higher education funding focus mainly on students. It’s time for a debate about the effects of funding on university behavior, one that does get hijacked by the sideshow that is</w:t>
      </w:r>
      <w:r>
        <w:t xml:space="preserve"> </w:t>
      </w:r>
      <w:r>
        <w:t xml:space="preserve">“</w:t>
      </w:r>
      <w:r>
        <w:t xml:space="preserve">performance funding.</w:t>
      </w:r>
      <w:r>
        <w:t xml:space="preserve">”</w:t>
      </w:r>
      <w:r>
        <w:t xml:space="preserve"> </w:t>
      </w:r>
      <w:r>
        <w:t xml:space="preserve">Spending hawks often rationalize cuts to public universities on the ground that these organizations can generate their own revenue. Although this may be true for some universities, cuts to public funding shift higher education from a public good to a private good by creating incentives for universities to prioritize the customers who pay the most. In response to state funding cuts after the 2008 recession, public research universities dramatically increased nonresident enrollment because each nonresident student generates three times as much net tuition revenue, on average, than each resident. Our analyses suggested a strong relationship between state funding and recruiting behavior. Universities with weak state funding tended to make the most out-of-state recruiting visits, concentrated in the most affluent communities. Universities with strong state funding tended to visit a larger share of in-state high schools and were more likely to visit in-state schools with large numbers of low-income students and non-white students.</w:t>
      </w:r>
    </w:p>
    <w:p>
      <w:pPr>
        <w:pStyle w:val="BodyText"/>
      </w:pPr>
      <w:r>
        <w:t xml:space="preserve">Can we develop funding policies that encourage public universities to expand opportunities for high-achieving state residents, particularly those from low- and middle-income families? Yes. We highlight two alternative approaches to funding public universities: block grant funding to universities and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increase block grant funding by matching state appropriations. If states substantially increased block grant funding, they could simultaneously demand a reduction in resident tuition price and more enrollment spaces for resident students.</w:t>
      </w:r>
    </w:p>
    <w:p>
      <w:pPr>
        <w:pStyle w:val="BodyText"/>
      </w:pPr>
      <w:r>
        <w:t xml:space="preserve">Need-based grant aid programs follow students to the institution they choose to attend. The most important need-based grant programs are the Federal Pell Grant program and state need-based grant aid programs, such as the Cal Grant and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award–for example, increasing the Pell maximum from $6,195 to $12,000–can enable a university to enroll a low-income student without substantial need-based institutional aid, thereby creating incentives for universities to enroll more low-income students. State</w:t>
      </w:r>
      <w:r>
        <w:t xml:space="preserve"> </w:t>
      </w:r>
      <w:r>
        <w:t xml:space="preserve">“</w:t>
      </w:r>
      <w:r>
        <w:t xml:space="preserve">free college</w:t>
      </w:r>
      <w:r>
        <w:t xml:space="preserve">”</w:t>
      </w:r>
      <w:r>
        <w:t xml:space="preserve"> </w:t>
      </w:r>
      <w:r>
        <w:t xml:space="preserve">policies are similar to state need-based aid programs, albeit much smaller in scale, in that they provide grant aid to eligible students attending in-state public institutions.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advocate for one allocation approach, we advocate for more generous funding. Low-levels of state appropriations encourage universities to restrict enrollment opportunities, decrease the quality of education, or prioritize enrollment opportunities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funding policy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In the absence of block grants from the state, universities become reliant on tuition revenue from affluent students who desire such amenities. See the University of Colorado-Boulder and the University of Alabama. By contrast, generous state appropriations disincentivize expenditure on amenities because the university is less beholden to the consumption preferences of affluent students.</w:t>
      </w:r>
    </w:p>
    <w:p>
      <w:pPr>
        <w:pStyle w:val="Heading4"/>
      </w:pPr>
      <w:bookmarkStart w:id="44" w:name="regulation-and-oversight"/>
      <w:bookmarkEnd w:id="44"/>
      <w:r>
        <w:t xml:space="preserve">Regulation and Oversight</w:t>
      </w:r>
    </w:p>
    <w:p>
      <w:pPr>
        <w:pStyle w:val="FirstParagraph"/>
      </w:pPr>
      <w:r>
        <w:t xml:space="preserve">Several states are considering nonresident enrollment caps as a response to nonresident enrollment growth. Our research suggests that these caps do affect university behavior. The only universities that made more in-state than out-of-state visits were located in states – North Carolina and California – with strong nonresident enrollment caps. However, regulation is not an alternative to adequate funding. State spending on higher education in North Carolina and California is above the national average. Without adequate state funding, restrictions on university revenue-generating behavior negatively affects the quality of education students receive. State funding cuts force universities to hire fewer faculty or to rely on part-time adjunct faculty. Adjuncts are underpaid, treated poorly, and negatively affect student learning outcomes.</w:t>
      </w:r>
      <w:r>
        <w:rPr>
          <w:vertAlign w:val="superscript"/>
        </w:rPr>
        <w:t xml:space="preserve">41</w:t>
      </w:r>
      <w:r>
        <w:t xml:space="preserve"> </w:t>
      </w:r>
      <w:r>
        <w:t xml:space="preserve">However, we find that public research universities hire more tenure-line faculty in response to nonresident enrollment growth than they do in response to equivalent resident enrollment growth,</w:t>
      </w:r>
      <w:r>
        <w:rPr>
          <w:vertAlign w:val="superscript"/>
        </w:rPr>
        <w:t xml:space="preserve">19</w:t>
      </w:r>
      <w:r>
        <w:t xml:space="preserve"> </w:t>
      </w:r>
      <w:r>
        <w:t xml:space="preserve">suggesting that universities are using nonresident tuition revenue to pay core inputs to student education that were once largely financed through state support. Therefore, capping nonresident enrollment without providing sufficient state funding stops universities from hiring the faculty that help students the most. It also incentivizes universities to enroll affluent residents who do not require need-based aid.</w:t>
      </w:r>
    </w:p>
    <w:p>
      <w:pPr>
        <w:pStyle w:val="BodyText"/>
      </w:pPr>
      <w:r>
        <w:t xml:space="preserve">Racial biases in university enrollment priorities and recruiting behaviors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it does not explain the systematic bias against communities of color. Rather, these results may be due to institutional racism against communities of color. More broadly, a growing number of studies find that universities prefer students of color from affluent, predominantly white public and private schools.</w:t>
      </w:r>
      <w:r>
        <w:rPr>
          <w:vertAlign w:val="superscript"/>
        </w:rPr>
        <w:t xml:space="preserve">42–44</w:t>
      </w:r>
      <w:r>
        <w:t xml:space="preserve"> </w:t>
      </w:r>
      <w:r>
        <w:t xml:space="preserve">Ted Thornhill found that university admissions representatives respond less favorably to inquiries from African American males who presented themselves as committed to racial justice than African American males that presented deracialized interests.</w:t>
      </w:r>
      <w:r>
        <w:rPr>
          <w:vertAlign w:val="superscript"/>
        </w:rPr>
        <w:t xml:space="preserve">45</w:t>
      </w:r>
      <w:r>
        <w:t xml:space="preserve"> </w:t>
      </w:r>
      <w:r>
        <w:t xml:space="preserve">Universities market and recruit students through advertising, social media, sending them emails and brochures, visiting their school, and by responding to their questions. Racial discrimination can occur at any of these stages. Policymakers devote a substantial amount of attention to potential discrimination in the application review process. We recommend that policymakers also begin asking universities which prospects they target and how they target prospects during different stages of the enrollment process.</w:t>
      </w:r>
    </w:p>
    <w:p>
      <w:pPr>
        <w:pStyle w:val="Heading2"/>
      </w:pPr>
      <w:bookmarkStart w:id="45" w:name="conclusion"/>
      <w:bookmarkEnd w:id="45"/>
      <w:r>
        <w:t xml:space="preserve">Conclusion</w:t>
      </w:r>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must take responsibility for providing a financial pathway that enables public universities to flourish by serving the mission of social mobility that they were founded to serve.</w:t>
      </w:r>
    </w:p>
    <w:p>
      <w:pPr>
        <w:pStyle w:val="Heading2"/>
      </w:pPr>
      <w:bookmarkStart w:id="46" w:name="endnotes"/>
      <w:bookmarkEnd w:id="46"/>
      <w:r>
        <w:t xml:space="preserve">Endnotes</w:t>
      </w:r>
    </w:p>
    <w:p>
      <w:pPr>
        <w:pStyle w:val="FirstParagraph"/>
      </w:pPr>
      <w:r>
        <w:rPr>
          <w:b/>
        </w:rPr>
        <w:t xml:space="preserve">1</w:t>
      </w:r>
      <w:r>
        <w:t xml:space="preserve">. The White House.</w:t>
      </w:r>
      <w:r>
        <w:t xml:space="preserve"> </w:t>
      </w:r>
      <w:r>
        <w:rPr>
          <w:i/>
        </w:rPr>
        <w:t xml:space="preserve">Increasing College Opportunity for Low-Income Students</w:t>
      </w:r>
      <w:r>
        <w:t xml:space="preserve">. The Executive Office of the President, 2014.</w:t>
      </w:r>
    </w:p>
    <w:p>
      <w:pPr>
        <w:pStyle w:val="BodyText"/>
      </w:pPr>
      <w:r>
        <w:rPr>
          <w:b/>
        </w:rPr>
        <w:t xml:space="preserve">2</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p>
      <w:pPr>
        <w:pStyle w:val="BodyText"/>
      </w:pPr>
      <w:r>
        <w:rPr>
          <w:b/>
        </w:rPr>
        <w:t xml:space="preserve">3</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7">
        <w:r>
          <w:rPr>
            <w:rStyle w:val="Hyperlink"/>
          </w:rPr>
          <w:t xml:space="preserve">http://edworkingpapers.com/ai19-40</w:t>
        </w:r>
      </w:hyperlink>
      <w:r>
        <w:t xml:space="preserve">.</w:t>
      </w:r>
    </w:p>
    <w:p>
      <w:pPr>
        <w:pStyle w:val="BodyText"/>
      </w:pPr>
      <w:r>
        <w:rPr>
          <w:b/>
        </w:rPr>
        <w:t xml:space="preserve">4</w:t>
      </w:r>
      <w:r>
        <w:t xml:space="preserve">. Doyle, William R. “The Effect of Community College Enrollment on Bachelor’s Degree Completion.”</w:t>
      </w:r>
      <w:r>
        <w:t xml:space="preserve"> </w:t>
      </w:r>
      <w:r>
        <w:rPr>
          <w:i/>
        </w:rPr>
        <w:t xml:space="preserve">Economics of Education Review</w:t>
      </w:r>
      <w:r>
        <w:t xml:space="preserve">, vol. 28, no. 2, 2009, pp. 199–206, doi:</w:t>
      </w:r>
      <w:hyperlink r:id="rId48">
        <w:r>
          <w:rPr>
            <w:rStyle w:val="Hyperlink"/>
          </w:rPr>
          <w:t xml:space="preserve">https://doi.org/10.1016/j.econedurev.2008.01.006</w:t>
        </w:r>
      </w:hyperlink>
      <w:r>
        <w:t xml:space="preserve">.</w:t>
      </w:r>
    </w:p>
    <w:p>
      <w:pPr>
        <w:pStyle w:val="BodyText"/>
      </w:pPr>
      <w:r>
        <w:rPr>
          <w:b/>
        </w:rPr>
        <w:t xml:space="preserve">5</w:t>
      </w:r>
      <w:r>
        <w:t xml:space="preserve">. Long, B. T., and M. Kurlaender. “Do Community Colleges Provide a Viable Pathway to a Baccalaureate Degree?”</w:t>
      </w:r>
      <w:r>
        <w:t xml:space="preserve"> </w:t>
      </w:r>
      <w:r>
        <w:rPr>
          <w:i/>
        </w:rPr>
        <w:t xml:space="preserve">Educational Evaluation and Policy Analysis</w:t>
      </w:r>
      <w:r>
        <w:t xml:space="preserve">, vol. 31, no. 1, 2009, pp. 30–53, doi:</w:t>
      </w:r>
      <w:hyperlink r:id="rId49">
        <w:r>
          <w:rPr>
            <w:rStyle w:val="Hyperlink"/>
          </w:rPr>
          <w:t xml:space="preserve">10.3102/0162373708327756</w:t>
        </w:r>
      </w:hyperlink>
      <w:r>
        <w:t xml:space="preserve">.</w:t>
      </w:r>
    </w:p>
    <w:p>
      <w:pPr>
        <w:pStyle w:val="BodyText"/>
      </w:pPr>
      <w:r>
        <w:rPr>
          <w:b/>
        </w:rPr>
        <w:t xml:space="preserve">6</w:t>
      </w:r>
      <w:r>
        <w:t xml:space="preserve">. Reynolds, C. Lockwood. “Where to Attend? Estimating the Effects of Beginning College at a Two-Year Institution.”</w:t>
      </w:r>
      <w:r>
        <w:t xml:space="preserve"> </w:t>
      </w:r>
      <w:r>
        <w:rPr>
          <w:i/>
        </w:rPr>
        <w:t xml:space="preserve">Economics of Education Review</w:t>
      </w:r>
      <w:r>
        <w:t xml:space="preserve">, vol. 31, no. 4, 2012, pp. 345–62, doi:</w:t>
      </w:r>
      <w:hyperlink r:id="rId50">
        <w:r>
          <w:rPr>
            <w:rStyle w:val="Hyperlink"/>
          </w:rPr>
          <w:t xml:space="preserve">https://doi.org/10.1016/j.econedurev.2011.12.001</w:t>
        </w:r>
      </w:hyperlink>
      <w:r>
        <w:t xml:space="preserve">.</w:t>
      </w:r>
    </w:p>
    <w:p>
      <w:pPr>
        <w:pStyle w:val="BodyText"/>
      </w:pPr>
      <w:r>
        <w:rPr>
          <w:b/>
        </w:rPr>
        <w:t xml:space="preserve">7</w:t>
      </w:r>
      <w:r>
        <w:t xml:space="preserve">. Rouse, Cecilia Elena. “Democratization or Diversion? The Effect of Community Colleges on Educational Attainment.”</w:t>
      </w:r>
      <w:r>
        <w:t xml:space="preserve"> </w:t>
      </w:r>
      <w:r>
        <w:rPr>
          <w:i/>
        </w:rPr>
        <w:t xml:space="preserve">Journal of Business &amp; Economic Statistics</w:t>
      </w:r>
      <w:r>
        <w:t xml:space="preserve">, vol. 13, no. 2, 1995, pp. 217–24, doi:</w:t>
      </w:r>
      <w:hyperlink r:id="rId51">
        <w:r>
          <w:rPr>
            <w:rStyle w:val="Hyperlink"/>
          </w:rPr>
          <w:t xml:space="preserve">10.2307/1392376</w:t>
        </w:r>
      </w:hyperlink>
      <w:r>
        <w:t xml:space="preserve">.</w:t>
      </w:r>
    </w:p>
    <w:p>
      <w:pPr>
        <w:pStyle w:val="BodyText"/>
      </w:pPr>
      <w:r>
        <w:rPr>
          <w:b/>
        </w:rPr>
        <w:t xml:space="preserve">8</w:t>
      </w:r>
      <w:r>
        <w:t xml:space="preserve">. Mountjoy, Jack.</w:t>
      </w:r>
      <w:r>
        <w:t xml:space="preserve"> </w:t>
      </w:r>
      <w:r>
        <w:rPr>
          <w:i/>
        </w:rPr>
        <w:t xml:space="preserve">Community Colleges and Upward Mobility</w:t>
      </w:r>
      <w:r>
        <w:t xml:space="preserve">. Princeton &amp; Chicago Booth, 2018,</w:t>
      </w:r>
      <w:r>
        <w:t xml:space="preserve"> </w:t>
      </w:r>
      <w:hyperlink r:id="rId52">
        <w:r>
          <w:rPr>
            <w:rStyle w:val="Hyperlink"/>
          </w:rPr>
          <w:t xml:space="preserve">https://economics.stanford.edu/sites/g/files/sbiybj9386/f/mountjoy_2018_community_colleges_and_upward_mobility.pdf</w:t>
        </w:r>
      </w:hyperlink>
      <w:r>
        <w:t xml:space="preserve">.</w:t>
      </w:r>
    </w:p>
    <w:p>
      <w:pPr>
        <w:pStyle w:val="BodyText"/>
      </w:pPr>
      <w:r>
        <w:rPr>
          <w:b/>
        </w:rPr>
        <w:t xml:space="preserve">9</w:t>
      </w:r>
      <w:r>
        <w:t xml:space="preserve">. Hossler, Donald, and John P. Bean.</w:t>
      </w:r>
      <w:r>
        <w:t xml:space="preserve"> </w:t>
      </w:r>
      <w:r>
        <w:rPr>
          <w:i/>
        </w:rPr>
        <w:t xml:space="preserve">The Strategic Management of College Enrollments</w:t>
      </w:r>
      <w:r>
        <w:t xml:space="preserve">. Jossey-Bass, 1990, pp. xxii, 330p.</w:t>
      </w:r>
    </w:p>
    <w:p>
      <w:pPr>
        <w:pStyle w:val="BodyText"/>
      </w:pPr>
      <w:r>
        <w:rPr>
          <w:b/>
        </w:rPr>
        <w:t xml:space="preserve">10</w:t>
      </w:r>
      <w:r>
        <w:t xml:space="preserve">. Author calculations based on the Integrated Postsecondary Education Data System (IPEDS) Finance survey component.</w:t>
      </w:r>
    </w:p>
    <w:p>
      <w:pPr>
        <w:pStyle w:val="BodyText"/>
      </w:pPr>
      <w:r>
        <w:rPr>
          <w:b/>
        </w:rPr>
        <w:t xml:space="preserve">11</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p>
      <w:pPr>
        <w:pStyle w:val="BodyText"/>
      </w:pPr>
      <w:r>
        <w:rPr>
          <w:b/>
        </w:rPr>
        <w:t xml:space="preserve">12</w:t>
      </w:r>
      <w:r>
        <w:t xml:space="preserve">. Author calculations based on the Integrated Postsecondary Education Data System (IPEDS) Student Financial Aid survey component.</w:t>
      </w:r>
    </w:p>
    <w:p>
      <w:pPr>
        <w:pStyle w:val="BodyText"/>
      </w:pPr>
      <w:r>
        <w:rPr>
          <w:b/>
        </w:rPr>
        <w:t xml:space="preserve">13</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53">
        <w:r>
          <w:rPr>
            <w:rStyle w:val="Hyperlink"/>
          </w:rPr>
          <w:t xml:space="preserve">https://www.newamerica.org/education-policy/reports/undermining-pell-iv/</w:t>
        </w:r>
      </w:hyperlink>
      <w:r>
        <w:t xml:space="preserve">.</w:t>
      </w:r>
    </w:p>
    <w:p>
      <w:pPr>
        <w:pStyle w:val="BodyText"/>
      </w:pPr>
      <w:r>
        <w:rPr>
          <w:b/>
        </w:rPr>
        <w:t xml:space="preserve">14</w:t>
      </w:r>
      <w:r>
        <w:t xml:space="preserve">. Burd, Stephen.</w:t>
      </w:r>
      <w:r>
        <w:t xml:space="preserve"> </w:t>
      </w:r>
      <w:r>
        <w:rPr>
          <w:i/>
        </w:rPr>
        <w:t xml:space="preserve">The Out-of-State Student Arms Race: How Public Universities Use Merit Aid to Recruit Nonresident Students</w:t>
      </w:r>
      <w:r>
        <w:t xml:space="preserve">. New America Foundation, 2015.</w:t>
      </w:r>
    </w:p>
    <w:p>
      <w:pPr>
        <w:pStyle w:val="BodyText"/>
      </w:pPr>
      <w:r>
        <w:rPr>
          <w:b/>
        </w:rPr>
        <w:t xml:space="preserve">15</w:t>
      </w:r>
      <w:r>
        <w:t xml:space="preserve">. Stevens, Mitchell L.</w:t>
      </w:r>
      <w:r>
        <w:t xml:space="preserve"> </w:t>
      </w:r>
      <w:r>
        <w:rPr>
          <w:i/>
        </w:rPr>
        <w:t xml:space="preserve">Creating a Class: College Admissions and the Education of Elites</w:t>
      </w:r>
      <w:r>
        <w:t xml:space="preserve">. Harvard University Press, 2007, p. 308 p.</w:t>
      </w:r>
    </w:p>
    <w:p>
      <w:pPr>
        <w:pStyle w:val="BodyText"/>
      </w:pPr>
      <w:r>
        <w:rPr>
          <w:b/>
        </w:rPr>
        <w:t xml:space="preserve">16</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54">
        <w:r>
          <w:rPr>
            <w:rStyle w:val="Hyperlink"/>
          </w:rPr>
          <w:t xml:space="preserve">10.1007/s11162-014-9359-2</w:t>
        </w:r>
      </w:hyperlink>
      <w:r>
        <w:t xml:space="preserve">.</w:t>
      </w:r>
    </w:p>
    <w:p>
      <w:pPr>
        <w:pStyle w:val="BodyText"/>
      </w:pPr>
      <w:r>
        <w:rPr>
          <w:b/>
        </w:rPr>
        <w:t xml:space="preserve">17</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55">
        <w:r>
          <w:rPr>
            <w:rStyle w:val="Hyperlink"/>
          </w:rPr>
          <w:t xml:space="preserve">https://www.arkansasonline.com/news/2019/aug/01/ua-relaxes-academic-standards-for-out-o/</w:t>
        </w:r>
      </w:hyperlink>
      <w:r>
        <w:t xml:space="preserve">.</w:t>
      </w:r>
    </w:p>
    <w:p>
      <w:pPr>
        <w:pStyle w:val="BodyText"/>
      </w:pPr>
      <w:r>
        <w:rPr>
          <w:b/>
        </w:rPr>
        <w:t xml:space="preserve">18</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56">
        <w:r>
          <w:rPr>
            <w:rStyle w:val="Hyperlink"/>
          </w:rPr>
          <w:t xml:space="preserve">10.3102/0162373717704719</w:t>
        </w:r>
      </w:hyperlink>
      <w:r>
        <w:t xml:space="preserve">.</w:t>
      </w:r>
    </w:p>
    <w:p>
      <w:pPr>
        <w:pStyle w:val="BodyText"/>
      </w:pPr>
      <w:r>
        <w:rPr>
          <w:b/>
        </w:rPr>
        <w:t xml:space="preserve">19</w:t>
      </w:r>
      <w:r>
        <w:t xml:space="preserve">. Jaquette, Ozan, and Bradley R. Curs. “Faculty Hiring at the Out-of-State University.”</w:t>
      </w:r>
      <w:r>
        <w:t xml:space="preserve"> </w:t>
      </w:r>
      <w:r>
        <w:rPr>
          <w:i/>
        </w:rPr>
        <w:t xml:space="preserve">American Educational Research Journal</w:t>
      </w:r>
      <w:r>
        <w:t xml:space="preserve">, submitted.</w:t>
      </w:r>
    </w:p>
    <w:p>
      <w:pPr>
        <w:pStyle w:val="BodyText"/>
      </w:pPr>
      <w:r>
        <w:rPr>
          <w:b/>
        </w:rPr>
        <w:t xml:space="preserve">20</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p>
      <w:pPr>
        <w:pStyle w:val="BodyText"/>
      </w:pPr>
      <w:r>
        <w:rPr>
          <w:b/>
        </w:rPr>
        <w:t xml:space="preserve">21</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p>
      <w:pPr>
        <w:pStyle w:val="BodyText"/>
      </w:pPr>
      <w:r>
        <w:rPr>
          <w:b/>
        </w:rPr>
        <w:t xml:space="preserve">22</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p>
      <w:pPr>
        <w:pStyle w:val="BodyText"/>
      </w:pPr>
      <w:r>
        <w:rPr>
          <w:b/>
        </w:rPr>
        <w:t xml:space="preserve">23</w:t>
      </w:r>
      <w:r>
        <w:t xml:space="preserve">. Karen, D. “Toward a Political-Organizational Model of Gatekeeping: The Case of Elite Colleges.”</w:t>
      </w:r>
      <w:r>
        <w:t xml:space="preserve"> </w:t>
      </w:r>
      <w:r>
        <w:rPr>
          <w:i/>
        </w:rPr>
        <w:t xml:space="preserve">Sociology of Education</w:t>
      </w:r>
      <w:r>
        <w:t xml:space="preserve">, vol. 63, no. 4, 1990, pp. 227–40.</w:t>
      </w:r>
    </w:p>
    <w:p>
      <w:pPr>
        <w:pStyle w:val="BodyText"/>
      </w:pPr>
      <w:r>
        <w:rPr>
          <w:b/>
        </w:rPr>
        <w:t xml:space="preserve">24</w:t>
      </w:r>
      <w:r>
        <w:t xml:space="preserve">. Posselt, Julie Renee.</w:t>
      </w:r>
      <w:r>
        <w:t xml:space="preserve"> </w:t>
      </w:r>
      <w:r>
        <w:rPr>
          <w:i/>
        </w:rPr>
        <w:t xml:space="preserve">Inside Graduate Admissions: Merit, Diversity, and Faculty Gatekeeping</w:t>
      </w:r>
      <w:r>
        <w:t xml:space="preserve">. Harvard University Press, 2016, pp. x, 250pages.</w:t>
      </w:r>
    </w:p>
    <w:p>
      <w:pPr>
        <w:pStyle w:val="BodyText"/>
      </w:pPr>
      <w:r>
        <w:rPr>
          <w:b/>
        </w:rPr>
        <w:t xml:space="preserve">25</w:t>
      </w:r>
      <w:r>
        <w:t xml:space="preserve">. Doyle, William R. “Changes in Institutional Aid, 1992-2003: The Evolving Role of Merit Aid.”</w:t>
      </w:r>
      <w:r>
        <w:t xml:space="preserve"> </w:t>
      </w:r>
      <w:r>
        <w:rPr>
          <w:i/>
        </w:rPr>
        <w:t xml:space="preserve">Research in Higher Education</w:t>
      </w:r>
      <w:r>
        <w:t xml:space="preserve">, vol. 51, no. 8, 2010, pp. 789–810.</w:t>
      </w:r>
    </w:p>
    <w:p>
      <w:pPr>
        <w:pStyle w:val="BodyText"/>
      </w:pPr>
      <w:r>
        <w:rPr>
          <w:b/>
        </w:rPr>
        <w:t xml:space="preserve">26</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p>
      <w:pPr>
        <w:pStyle w:val="BodyText"/>
      </w:pPr>
      <w:r>
        <w:rPr>
          <w:b/>
        </w:rPr>
        <w:t xml:space="preserve">27</w:t>
      </w:r>
      <w:r>
        <w:t xml:space="preserve">. McPherson, Michael S., and Morton Owen Schapiro.</w:t>
      </w:r>
      <w:r>
        <w:t xml:space="preserve"> </w:t>
      </w:r>
      <w:r>
        <w:rPr>
          <w:i/>
        </w:rPr>
        <w:t xml:space="preserve">The Student Aid Game</w:t>
      </w:r>
      <w:r>
        <w:t xml:space="preserve">. Princeton University Press, 1998.</w:t>
      </w:r>
    </w:p>
    <w:p>
      <w:pPr>
        <w:pStyle w:val="BodyText"/>
      </w:pPr>
      <w:r>
        <w:rPr>
          <w:b/>
        </w:rPr>
        <w:t xml:space="preserve">28</w:t>
      </w:r>
      <w:r>
        <w:t xml:space="preserve">. Campbell, Alec.</w:t>
      </w:r>
      <w:r>
        <w:t xml:space="preserve"> </w:t>
      </w:r>
      <w:r>
        <w:rPr>
          <w:i/>
        </w:rPr>
        <w:t xml:space="preserve">Higher Education Marketing: How to Master Your Admissions Funnel</w:t>
      </w:r>
      <w:r>
        <w:t xml:space="preserve">. 2017,</w:t>
      </w:r>
      <w:r>
        <w:t xml:space="preserve"> </w:t>
      </w:r>
      <w:hyperlink r:id="rId57">
        <w:r>
          <w:rPr>
            <w:rStyle w:val="Hyperlink"/>
          </w:rPr>
          <w:t xml:space="preserve">https://hop-online.com/blog/higher-education-marketing-admissions-process/</w:t>
        </w:r>
      </w:hyperlink>
      <w:r>
        <w:t xml:space="preserve">.</w:t>
      </w:r>
    </w:p>
    <w:p>
      <w:pPr>
        <w:pStyle w:val="BodyText"/>
      </w:pPr>
      <w:r>
        <w:rPr>
          <w:b/>
        </w:rPr>
        <w:t xml:space="preserve">29</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58">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30</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59">
        <w:r>
          <w:rPr>
            <w:rStyle w:val="Hyperlink"/>
          </w:rPr>
          <w:t xml:space="preserve">http://learn.ruffalonl.com/rs/395-EOG-977/images/RNL_2018_Student_Recruitment_Marketing_Report_EM-19.pdf</w:t>
        </w:r>
      </w:hyperlink>
      <w:r>
        <w:t xml:space="preserve">.</w:t>
      </w:r>
    </w:p>
    <w:p>
      <w:pPr>
        <w:pStyle w:val="BodyText"/>
      </w:pPr>
      <w:r>
        <w:rPr>
          <w:b/>
        </w:rPr>
        <w:t xml:space="preserve">31</w:t>
      </w:r>
      <w:r>
        <w:t xml:space="preserve">. University of Alabama.</w:t>
      </w:r>
      <w:r>
        <w:t xml:space="preserve"> </w:t>
      </w:r>
      <w:r>
        <w:rPr>
          <w:i/>
        </w:rPr>
        <w:t xml:space="preserve">Open Records</w:t>
      </w:r>
      <w:r>
        <w:t xml:space="preserve">. 2019,</w:t>
      </w:r>
      <w:r>
        <w:t xml:space="preserve"> </w:t>
      </w:r>
      <w:hyperlink r:id="rId60">
        <w:r>
          <w:rPr>
            <w:rStyle w:val="Hyperlink"/>
          </w:rPr>
          <w:t xml:space="preserve">http://open.ua.edu/</w:t>
        </w:r>
      </w:hyperlink>
      <w:r>
        <w:t xml:space="preserve">.</w:t>
      </w:r>
    </w:p>
    <w:p>
      <w:pPr>
        <w:pStyle w:val="BodyText"/>
      </w:pPr>
      <w:r>
        <w:rPr>
          <w:b/>
        </w:rPr>
        <w:t xml:space="preserve">32</w:t>
      </w:r>
      <w:r>
        <w:t xml:space="preserve">. Clinedinst, Mellissa, and Anna-Maria Koranteng.</w:t>
      </w:r>
      <w:r>
        <w:t xml:space="preserve"> </w:t>
      </w:r>
      <w:r>
        <w:rPr>
          <w:i/>
        </w:rPr>
        <w:t xml:space="preserve">2017 State of College Admission</w:t>
      </w:r>
      <w:r>
        <w:t xml:space="preserve">. National Association of College Admissions Officers, 2017.</w:t>
      </w:r>
    </w:p>
    <w:p>
      <w:pPr>
        <w:pStyle w:val="BodyText"/>
      </w:pPr>
      <w:r>
        <w:rPr>
          <w:b/>
        </w:rPr>
        <w:t xml:space="preserve">33</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p>
      <w:pPr>
        <w:pStyle w:val="BodyText"/>
      </w:pPr>
      <w:r>
        <w:rPr>
          <w:b/>
        </w:rPr>
        <w:t xml:space="preserve">34</w:t>
      </w:r>
      <w:r>
        <w:t xml:space="preserve">. Only “traditional advertising” (e.g., billboards, newspapers, magazines, TV, radio) accounted for a higher percentage (24%).</w:t>
      </w:r>
    </w:p>
    <w:p>
      <w:pPr>
        <w:pStyle w:val="BodyText"/>
      </w:pPr>
      <w:r>
        <w:rPr>
          <w:b/>
        </w:rPr>
        <w:t xml:space="preserve">35</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58">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36</w:t>
      </w:r>
      <w:r>
        <w:t xml:space="preserve">. Holland, Megan M.</w:t>
      </w:r>
      <w:r>
        <w:t xml:space="preserve"> </w:t>
      </w:r>
      <w:r>
        <w:rPr>
          <w:i/>
        </w:rPr>
        <w:t xml:space="preserve">Divergent Paths to College: Race, Class, and Inequality in High Schools</w:t>
      </w:r>
      <w:r>
        <w:t xml:space="preserve">. Rutgers University Press, 2019.</w:t>
      </w:r>
    </w:p>
    <w:p>
      <w:pPr>
        <w:pStyle w:val="BodyText"/>
      </w:pPr>
      <w:r>
        <w:rPr>
          <w:b/>
        </w:rPr>
        <w:t xml:space="preserve">37</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p>
      <w:pPr>
        <w:pStyle w:val="BodyText"/>
      </w:pPr>
      <w:r>
        <w:rPr>
          <w:b/>
        </w:rPr>
        <w:t xml:space="preserve">38</w:t>
      </w:r>
      <w:r>
        <w:t xml:space="preserve">. More details on the proportional vs. actual number of visits to out-of-state private high schools compared to public high schools can be found here.</w:t>
      </w:r>
    </w:p>
    <w:p>
      <w:pPr>
        <w:pStyle w:val="BodyText"/>
      </w:pPr>
      <w:r>
        <w:rPr>
          <w:b/>
        </w:rPr>
        <w:t xml:space="preserve">39</w:t>
      </w:r>
      <w:r>
        <w:t xml:space="preserve">. Regression results can be found in the report here.</w:t>
      </w:r>
    </w:p>
    <w:p>
      <w:pPr>
        <w:pStyle w:val="BodyText"/>
      </w:pPr>
      <w:r>
        <w:rPr>
          <w:b/>
        </w:rPr>
        <w:t xml:space="preserve">40</w:t>
      </w:r>
      <w:r>
        <w:t xml:space="preserve">. Armstrong, Elizabeth A., and Laura T. Hamilton.</w:t>
      </w:r>
      <w:r>
        <w:t xml:space="preserve"> </w:t>
      </w:r>
      <w:r>
        <w:rPr>
          <w:i/>
        </w:rPr>
        <w:t xml:space="preserve">Paying for the Party: How College Maintains Inequality</w:t>
      </w:r>
      <w:r>
        <w:t xml:space="preserve">. Harvard University Press, 2013, pp. xv, 326pages.</w:t>
      </w:r>
    </w:p>
    <w:p>
      <w:pPr>
        <w:pStyle w:val="BodyText"/>
      </w:pPr>
      <w:r>
        <w:rPr>
          <w:b/>
        </w:rPr>
        <w:t xml:space="preserve">41</w:t>
      </w:r>
      <w:r>
        <w:t xml:space="preserve">. Ehrenberg, R. G., and L. Zhang. “Do Tenured and Tenure-Track Faculty Matter?”</w:t>
      </w:r>
      <w:r>
        <w:t xml:space="preserve"> </w:t>
      </w:r>
      <w:r>
        <w:rPr>
          <w:i/>
        </w:rPr>
        <w:t xml:space="preserve">Journal of Human Resources</w:t>
      </w:r>
      <w:r>
        <w:t xml:space="preserve">, vol. 40, no. 3, 2005, pp. 647–59,</w:t>
      </w:r>
      <w:r>
        <w:t xml:space="preserve"> </w:t>
      </w:r>
      <w:hyperlink r:id="rId61">
        <w:r>
          <w:rPr>
            <w:rStyle w:val="Hyperlink"/>
          </w:rPr>
          <w:t xml:space="preserve">&lt;Go to ISI&gt;://WOS:000231057500005</w:t>
        </w:r>
      </w:hyperlink>
      <w:r>
        <w:t xml:space="preserve">.</w:t>
      </w:r>
    </w:p>
    <w:p>
      <w:pPr>
        <w:pStyle w:val="BodyText"/>
      </w:pPr>
      <w:r>
        <w:rPr>
          <w:b/>
        </w:rPr>
        <w:t xml:space="preserve">42</w:t>
      </w:r>
      <w:r>
        <w:t xml:space="preserve">. Jack, Anthony Abraham.</w:t>
      </w:r>
      <w:r>
        <w:t xml:space="preserve"> </w:t>
      </w:r>
      <w:r>
        <w:rPr>
          <w:i/>
        </w:rPr>
        <w:t xml:space="preserve">The Privileged Poor: How Elite Colleges Are Failing Disadvantaged Students</w:t>
      </w:r>
      <w:r>
        <w:t xml:space="preserve">. Harvard University Press, 2019, p. 276.</w:t>
      </w:r>
    </w:p>
    <w:p>
      <w:pPr>
        <w:pStyle w:val="BodyText"/>
      </w:pPr>
      <w:r>
        <w:rPr>
          <w:b/>
        </w:rPr>
        <w:t xml:space="preserve">43</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62">
        <w:r>
          <w:rPr>
            <w:rStyle w:val="Hyperlink"/>
          </w:rPr>
          <w:t xml:space="preserve">10.1177/0038040715614913</w:t>
        </w:r>
      </w:hyperlink>
      <w:r>
        <w:t xml:space="preserve">.</w:t>
      </w:r>
    </w:p>
    <w:p>
      <w:pPr>
        <w:pStyle w:val="BodyText"/>
      </w:pPr>
      <w:r>
        <w:rPr>
          <w:b/>
        </w:rPr>
        <w:t xml:space="preserve">44</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p>
      <w:pPr>
        <w:pStyle w:val="BodyText"/>
      </w:pPr>
      <w:r>
        <w:rPr>
          <w:b/>
        </w:rPr>
        <w:t xml:space="preserve">45</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sectPr w:rsidR="002567EF" w:rsidRPr="00DF2BDD" w:rsidSect="00E9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07a0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61" Target="&lt;Go to ISI&gt;://WOS:000231057500005" TargetMode="External" /><Relationship Type="http://schemas.openxmlformats.org/officeDocument/2006/relationships/hyperlink" Id="rId47" Target="http://edworkingpapers.com/ai19-40" TargetMode="External" /><Relationship Type="http://schemas.openxmlformats.org/officeDocument/2006/relationships/hyperlink" Id="rId59" Target="http://learn.ruffalonl.com/rs/395-EOG-977/images/RNL_2018_Student_Recruitment_Marketing_Report_EM-19.pdf" TargetMode="External" /><Relationship Type="http://schemas.openxmlformats.org/officeDocument/2006/relationships/hyperlink" Id="rId60" Target="http://open.ua.edu/" TargetMode="External" /><Relationship Type="http://schemas.openxmlformats.org/officeDocument/2006/relationships/hyperlink" Id="rId54" Target="https://doi.org/10.1007/s11162-014-9359-2" TargetMode="External" /><Relationship Type="http://schemas.openxmlformats.org/officeDocument/2006/relationships/hyperlink" Id="rId62" Target="https://doi.org/10.1177/0038040715614913" TargetMode="External" /><Relationship Type="http://schemas.openxmlformats.org/officeDocument/2006/relationships/hyperlink" Id="rId51" Target="https://doi.org/10.2307/1392376" TargetMode="External" /><Relationship Type="http://schemas.openxmlformats.org/officeDocument/2006/relationships/hyperlink" Id="rId49" Target="https://doi.org/10.3102/0162373708327756" TargetMode="External" /><Relationship Type="http://schemas.openxmlformats.org/officeDocument/2006/relationships/hyperlink" Id="rId56" Target="https://doi.org/10.3102/0162373717704719" TargetMode="External" /><Relationship Type="http://schemas.openxmlformats.org/officeDocument/2006/relationships/hyperlink" Id="rId48" Target="https://doi.org/https://doi.org/10.1016/j.econedurev.2008.01.006" TargetMode="External" /><Relationship Type="http://schemas.openxmlformats.org/officeDocument/2006/relationships/hyperlink" Id="rId50" Target="https://doi.org/https://doi.org/10.1016/j.econedurev.2011.12.001" TargetMode="External" /><Relationship Type="http://schemas.openxmlformats.org/officeDocument/2006/relationships/hyperlink" Id="rId52" Target="https://economics.stanford.edu/sites/g/files/sbiybj9386/f/mountjoy_2018_community_colleges_and_upward_mobility.pdf" TargetMode="External" /><Relationship Type="http://schemas.openxmlformats.org/officeDocument/2006/relationships/hyperlink" Id="rId57" Target="https://hop-online.com/blog/higher-education-marketing-admissions-process/" TargetMode="External" /><Relationship Type="http://schemas.openxmlformats.org/officeDocument/2006/relationships/hyperlink" Id="rId55"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58"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61" Target="&lt;Go to ISI&gt;://WOS:000231057500005" TargetMode="External" /><Relationship Type="http://schemas.openxmlformats.org/officeDocument/2006/relationships/hyperlink" Id="rId47" Target="http://edworkingpapers.com/ai19-40" TargetMode="External" /><Relationship Type="http://schemas.openxmlformats.org/officeDocument/2006/relationships/hyperlink" Id="rId59" Target="http://learn.ruffalonl.com/rs/395-EOG-977/images/RNL_2018_Student_Recruitment_Marketing_Report_EM-19.pdf" TargetMode="External" /><Relationship Type="http://schemas.openxmlformats.org/officeDocument/2006/relationships/hyperlink" Id="rId60" Target="http://open.ua.edu/" TargetMode="External" /><Relationship Type="http://schemas.openxmlformats.org/officeDocument/2006/relationships/hyperlink" Id="rId54" Target="https://doi.org/10.1007/s11162-014-9359-2" TargetMode="External" /><Relationship Type="http://schemas.openxmlformats.org/officeDocument/2006/relationships/hyperlink" Id="rId62" Target="https://doi.org/10.1177/0038040715614913" TargetMode="External" /><Relationship Type="http://schemas.openxmlformats.org/officeDocument/2006/relationships/hyperlink" Id="rId51" Target="https://doi.org/10.2307/1392376" TargetMode="External" /><Relationship Type="http://schemas.openxmlformats.org/officeDocument/2006/relationships/hyperlink" Id="rId49" Target="https://doi.org/10.3102/0162373708327756" TargetMode="External" /><Relationship Type="http://schemas.openxmlformats.org/officeDocument/2006/relationships/hyperlink" Id="rId56" Target="https://doi.org/10.3102/0162373717704719" TargetMode="External" /><Relationship Type="http://schemas.openxmlformats.org/officeDocument/2006/relationships/hyperlink" Id="rId48" Target="https://doi.org/https://doi.org/10.1016/j.econedurev.2008.01.006" TargetMode="External" /><Relationship Type="http://schemas.openxmlformats.org/officeDocument/2006/relationships/hyperlink" Id="rId50" Target="https://doi.org/https://doi.org/10.1016/j.econedurev.2011.12.001" TargetMode="External" /><Relationship Type="http://schemas.openxmlformats.org/officeDocument/2006/relationships/hyperlink" Id="rId52" Target="https://economics.stanford.edu/sites/g/files/sbiybj9386/f/mountjoy_2018_community_colleges_and_upward_mobility.pdf" TargetMode="External" /><Relationship Type="http://schemas.openxmlformats.org/officeDocument/2006/relationships/hyperlink" Id="rId57" Target="https://hop-online.com/blog/higher-education-marketing-admissions-process/" TargetMode="External" /><Relationship Type="http://schemas.openxmlformats.org/officeDocument/2006/relationships/hyperlink" Id="rId55"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58"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dcterms:created xsi:type="dcterms:W3CDTF">2019-09-19T00:12:33Z</dcterms:created>
  <dcterms:modified xsi:type="dcterms:W3CDTF">2019-09-19T00:12:33Z</dcterms:modified>
</cp:coreProperties>
</file>