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rstParagraph"/>
      </w:pPr>
      <w:r>
        <w:drawing>
          <wp:inline>
            <wp:extent cx="5943600" cy="2806700"/>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0"/>
                    <a:stretch>
                      <a:fillRect/>
                    </a:stretch>
                  </pic:blipFill>
                  <pic:spPr bwMode="auto">
                    <a:xfrm>
                      <a:off x="0" y="0"/>
                      <a:ext cx="5943600" cy="28067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Varsity Blues</w:t>
      </w:r>
      <w:r>
        <w:t xml:space="preserve">”</w:t>
      </w:r>
      <w:r>
        <w:t xml:space="preserve"> </w:t>
      </w:r>
      <w:r>
        <w:t xml:space="preserve">admissions scandal captured national attention by showing how the rich and famous used back doors to bribe their way into selective universities. While the outcry that has resulted is justified, Varsity Blues only scratches the surface of the troubling practices plaguing college admissions, even at public research universities that were founded with the mission of providing opportunity and social mobility for state residents.</w:t>
      </w:r>
      <w:r>
        <w:rPr>
          <w:vertAlign w:val="superscript"/>
        </w:rPr>
        <w:t xml:space="preserve">1</w:t>
      </w:r>
      <w:r>
        <w:t xml:space="preserve"> </w:t>
      </w:r>
      <w:r>
        <w:t xml:space="preserve">Today, many state flagship universities are increasingly unrepresentative of the socioeconomic and racial diversity of the state they serve, in large part because they enroll a growing number of affluent, out-of-state students. This systematic preference for wealth, at times independent of merit, reveals how incentives created by policy decisions and unstable funding streams can distort the enrollment priorities of public universities—with powerful and far-reaching consequences for socioeconomic and racial equality in college access.</w:t>
      </w:r>
    </w:p>
    <w:p>
      <w:pPr>
        <w:pStyle w:val="BodyText"/>
      </w:pPr>
      <w:r>
        <w:t xml:space="preserve">Mainstream policy discussions often attribute access inequality to the academic achievement gap between low-income and affluent students.</w:t>
      </w:r>
      <w:r>
        <w:rPr>
          <w:vertAlign w:val="superscript"/>
        </w:rPr>
        <w:t xml:space="preserve">2</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colleges instead. Policymakers refer to this phenomenon as</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are unaware that selective institutions would admit them and provide generous financial aid packages.</w:t>
      </w:r>
      <w:r>
        <w:rPr>
          <w:vertAlign w:val="superscript"/>
        </w:rPr>
        <w:t xml:space="preserve">3</w:t>
      </w:r>
      <w:r>
        <w:t xml:space="preserve"> </w:t>
      </w:r>
      <w:r>
        <w:t xml:space="preserve">However, a recent evaluation by the College Board—in which 785,000 high-achieving low- and middle-income students were randomly given additional information about their college choice and financial aid opportunities—found no effect on the probability of those students enrolling in a selective institution.</w:t>
      </w:r>
      <w:r>
        <w:rPr>
          <w:vertAlign w:val="superscript"/>
        </w:rPr>
        <w:t xml:space="preserve">4</w:t>
      </w:r>
      <w:r>
        <w:t xml:space="preserve"> </w:t>
      </w:r>
      <w:r>
        <w:t xml:space="preserve">These results complement a growing research base that suggests that student achievement and student decisions about where to apply are not the dominant explanations for access inequality.</w:t>
      </w:r>
    </w:p>
    <w:p>
      <w:pPr>
        <w:pStyle w:val="BodyText"/>
      </w:pPr>
      <w:r>
        <w:t xml:space="preserve">An alternative explanation is that university enrollment priorities may be biased against low-income students and/or students of color. If so, fixing student achievement and college application decisions will ultimately fail to overcome the access inequality. However,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Therefore, we argue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w:t>
      </w:r>
    </w:p>
    <w:p>
      <w:pPr>
        <w:pStyle w:val="BodyText"/>
      </w:pPr>
      <w:r>
        <w:t xml:space="preserve">Reports showing that universities stack the deck for rich kids are a dime a dozen. We explain why universities behave this way, and we begin a discussion about what can be done to change it.</w:t>
      </w:r>
    </w:p>
    <w:p>
      <w:pPr>
        <w:pStyle w:val="Heading6"/>
      </w:pPr>
      <w:bookmarkStart w:id="21" w:name="table-1-population-weighted-number-of-high-achieving-students-by-socioeconomic-quintile"/>
      <w:r>
        <w:t xml:space="preserve">Table 1: Population weighted number of high-achieving students by socioeconomic quintile</w:t>
      </w:r>
      <w:bookmarkEnd w:id="21"/>
    </w:p>
    <w:p>
      <w:pPr>
        <w:pStyle w:val="Heading6"/>
      </w:pPr>
      <w:bookmarkStart w:id="22" w:name="table-2-population-weighted-initial-post-secondary-destination-of-high-achieving-students-by-socioeconomic-quintile"/>
      <w:r>
        <w:t xml:space="preserve">Table 2: Population weighted initial post-secondary destination of high-achieving students by socioeconomic quintile</w:t>
      </w:r>
      <w:bookmarkEnd w:id="22"/>
    </w:p>
    <w:p>
      <w:pPr>
        <w:pStyle w:val="Heading2"/>
      </w:pPr>
      <w:bookmarkStart w:id="23" w:name="background"/>
      <w:r>
        <w:t xml:space="preserve">Background</w:t>
      </w:r>
      <w:bookmarkEnd w:id="23"/>
    </w:p>
    <w:p>
      <w:pPr>
        <w:pStyle w:val="Heading4"/>
      </w:pPr>
      <w:bookmarkStart w:id="24" w:name="enrollment-management-by-public-research-universities"/>
      <w:r>
        <w:t xml:space="preserve">Enrollment Management by Public Research Universities</w:t>
      </w:r>
      <w:bookmarkEnd w:id="24"/>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5</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5" w:name="figure-1-iron-triangle-of-enrollment-management"/>
      <w:r>
        <w:t xml:space="preserve">Figure 1: Iron triangle of enrollment management</w:t>
      </w:r>
      <w:bookmarkEnd w:id="25"/>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quality,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quality</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quality goal, while state disinvestment incentivizes universities to prioritize the tuition revenue goal and discourages universities from enrolling large numbers of low-income students. Consistent with this idea, average state funding at public research-extensive universities declined from $387 million in 2001-02 to $280 million in 2012-13, recovering only to $314 million by 2016-17 despite several years of economic growth.</w:t>
      </w:r>
      <w:r>
        <w:rPr>
          <w:vertAlign w:val="superscript"/>
        </w:rPr>
        <w:t xml:space="preserve">6</w:t>
      </w:r>
      <w:r>
        <w:t xml:space="preserve"> </w:t>
      </w:r>
      <w:r>
        <w:t xml:space="preserve">By contrast, average net tuition revenue at these institutions increased from $213 million in 2001-02 to $501 million in 2016-17.</w:t>
      </w:r>
    </w:p>
    <w:p>
      <w:pPr>
        <w:pStyle w:val="Heading6"/>
      </w:pPr>
      <w:bookmarkStart w:id="26" w:name="figure-2-average-state-and-tuition-revenue-of-public-research-extensive-universities-2001-02-through-2016-17"/>
      <w:r>
        <w:t xml:space="preserve">Figure 2: Average state and tuition revenue of public research-extensive universities, 2001-02 through 2016-17</w:t>
      </w:r>
      <w:bookmarkEnd w:id="26"/>
    </w:p>
    <w:p>
      <w:pPr>
        <w:pStyle w:val="FirstParagraph"/>
      </w:pPr>
    </w:p>
    <w:p>
      <w:pPr>
        <w:pStyle w:val="Heading4"/>
      </w:pPr>
      <w:bookmarkStart w:id="27" w:name="creating-the-out-of-state-university"/>
      <w:r>
        <w:t xml:space="preserve">Creating the Out-of-State University</w:t>
      </w:r>
      <w:bookmarkEnd w:id="27"/>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 at public research institutions.</w:t>
      </w:r>
      <w:r>
        <w:rPr>
          <w:vertAlign w:val="superscript"/>
        </w:rPr>
        <w:t xml:space="preserve">7</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8</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 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9–13</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previous research assessed these claims empirically. On one hand, we found that nonresident enrollment has no effect on resident enrollment for public research universities as a whole and has a negative effect on resident enrollment at nationally prestigious universities.</w:t>
      </w:r>
      <w:r>
        <w:rPr>
          <w:vertAlign w:val="superscript"/>
        </w:rPr>
        <w:t xml:space="preserve">14</w:t>
      </w:r>
      <w:r>
        <w:t xml:space="preserve"> </w:t>
      </w:r>
      <w:r>
        <w:t xml:space="preserve">On the other hand, we found that nonresident enrollment has a strong positive relationship with faculty hiring.</w:t>
      </w:r>
      <w:r>
        <w:rPr>
          <w:vertAlign w:val="superscript"/>
        </w:rPr>
        <w:t xml:space="preserve">15</w:t>
      </w:r>
      <w:r>
        <w:t xml:space="preserve"> </w:t>
      </w:r>
      <w:r>
        <w:t xml:space="preserve">Specifically, enrolling 100 additional nonresident freshmen was associated with hiring 1.42 new tenure-line faculty, while enrolling 100 additional resident freshmen was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16</w:t>
      </w:r>
    </w:p>
    <w:p>
      <w:pPr>
        <w:pStyle w:val="Heading4"/>
      </w:pPr>
      <w:bookmarkStart w:id="28" w:name="the-enrollment-funnel"/>
      <w:r>
        <w:t xml:space="preserve">The Enrollment Funnel</w:t>
      </w:r>
      <w:bookmarkEnd w:id="28"/>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 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17–23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r>
        <w:rPr>
          <w:vertAlign w:val="superscript"/>
        </w:rPr>
        <w:t xml:space="preserve">24</w:t>
      </w:r>
    </w:p>
    <w:p>
      <w:pPr>
        <w:pStyle w:val="Heading6"/>
      </w:pPr>
      <w:bookmarkStart w:id="29" w:name="figure-3-enrollment-management-funnel"/>
      <w:r>
        <w:t xml:space="preserve">Figure 3: Enrollment management funnel</w:t>
      </w:r>
      <w:bookmarkEnd w:id="29"/>
    </w:p>
    <w:p>
      <w:pPr>
        <w:pStyle w:val="FirstParagraph"/>
      </w:pPr>
    </w:p>
    <w:p>
      <w:pPr>
        <w:pStyle w:val="BodyText"/>
      </w:pPr>
      <w:r>
        <w:t xml:space="preserve">Universities identify prospects primarily by purchasing student lists from the College Board and ACT, Inc., which own large databases of prospective college student data.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25</w:t>
      </w:r>
      <w:r>
        <w:t xml:space="preserve"> </w:t>
      </w:r>
      <w:r>
        <w:t xml:space="preserve">These names don’t come cheap. Of the 45 public universities surveyed by Ruffalo Noel Levitz in 2018, the median university spent 14% of its marketing and recruiting budget on student list purchases.</w:t>
      </w:r>
      <w:r>
        <w:rPr>
          <w:vertAlign w:val="superscript"/>
        </w:rPr>
        <w:t xml:space="preserve">26</w:t>
      </w:r>
      <w:r>
        <w:t xml:space="preserve"> </w:t>
      </w:r>
      <w:r>
        <w:t xml:space="preserve">To provide a concrete example, from 2010 to 2018, the University of Alabama paid $1.9 million to College Board and $349,000 to ACT, Inc. for student data.</w:t>
      </w:r>
      <w:r>
        <w:rPr>
          <w:vertAlign w:val="superscript"/>
        </w:rPr>
        <w:t xml:space="preserve">27</w:t>
      </w:r>
    </w:p>
    <w:p>
      <w:pPr>
        <w:pStyle w:val="BodyText"/>
      </w:pPr>
      <w:r>
        <w:t xml:space="preserve">Once identified, prospects are then targeted with recruiting interventions aimed at soliciting inquiries and applications.</w:t>
      </w:r>
      <w:r>
        <w:rPr>
          <w:vertAlign w:val="superscript"/>
        </w:rPr>
        <w:t xml:space="preserve">26, 28</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 social media enables universities to tell their story to prospects who do not contact the university and may not wish to be contacted.</w:t>
      </w:r>
      <w:r>
        <w:rPr>
          <w:vertAlign w:val="superscript"/>
        </w:rPr>
        <w:t xml:space="preserve">29</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by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w:t>
      </w:r>
      <w:r>
        <w:rPr>
          <w:vertAlign w:val="superscript"/>
        </w:rPr>
        <w:t xml:space="preserve">27, 30</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0" w:name="off-campus-recruiting"/>
      <w:r>
        <w:t xml:space="preserve">Off-Campus Recruiting</w:t>
      </w:r>
      <w:bookmarkEnd w:id="30"/>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attend college fairs, and visit high schools across the country.</w:t>
      </w:r>
      <w:r>
        <w:rPr>
          <w:vertAlign w:val="superscript"/>
        </w:rPr>
        <w:t xml:space="preserve">11</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26, 31</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11, 28, 32</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11, 26</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11</w:t>
      </w:r>
    </w:p>
    <w:p>
      <w:pPr>
        <w:pStyle w:val="BodyText"/>
      </w:pPr>
      <w:r>
        <w:t xml:space="preserve">Market research on the effect of off-campus recruiting has found that off-campus visits were the second highest source of inquiries after student list purchases, accounting for 19% of inquiries for the median public university.</w:t>
      </w:r>
      <w:r>
        <w:rPr>
          <w:vertAlign w:val="superscript"/>
        </w:rPr>
        <w:t xml:space="preserve">26</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33</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has found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1" w:name="research-and-findings-follow-the-money"/>
      <w:r>
        <w:t xml:space="preserve">Research and Findings: Follow the Money</w:t>
      </w:r>
      <w:bookmarkEnd w:id="31"/>
    </w:p>
    <w:p>
      <w:pPr>
        <w:pStyle w:val="FirstParagraph"/>
      </w:pPr>
      <w:r>
        <w:t xml:space="preserve">Our original research collected data on off-campus recruiting visits by public research universities, with the goal of assessing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34</w:t>
      </w:r>
      <w:r>
        <w:t xml:space="preserve"> </w:t>
      </w:r>
      <w:r>
        <w:t xml:space="preserve">Table 3 shows the number of recruiting visits by type of institution visited—such as public high school, private high school, or other—and whether the visit was in-state or out-of-state. Across all the 15 public research universities in our sample,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35</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large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2" w:name="table-3-state-funding-and-number-of-events-by-type-in-state-vs.out-of-state"/>
      <w:r>
        <w:t xml:space="preserve">Table 3: State funding and number of events by type, in-state vs. out-of-state</w:t>
      </w:r>
      <w:bookmarkEnd w:id="32"/>
    </w:p>
    <w:p>
      <w:pPr>
        <w:pStyle w:val="Heading4"/>
      </w:pPr>
      <w:bookmarkStart w:id="33" w:name="trends-in-median-income-of-visited-high-schools"/>
      <w:r>
        <w:t xml:space="preserve">Trends in Median Income of Visited High Schools</w:t>
      </w:r>
      <w:bookmarkEnd w:id="33"/>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36</w:t>
      </w:r>
    </w:p>
    <w:p>
      <w:pPr>
        <w:pStyle w:val="Heading6"/>
      </w:pPr>
      <w:bookmarkStart w:id="34" w:name="figure-4-average-median-household-income-of-visited-vs.non-visited-public-high-schools"/>
      <w:r>
        <w:t xml:space="preserve">Figure 4: Average median household income of visited vs. non-visited public high schools</w:t>
      </w:r>
      <w:bookmarkEnd w:id="34"/>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 which was a prime target for out-of-state visits by nearly all universities in our sample.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5" w:name="figure-5-visits-to-metro-areas-by-median-household-income"/>
      <w:r>
        <w:t xml:space="preserve">Figure 5: Visits to metro areas by median household income</w:t>
      </w:r>
      <w:bookmarkEnd w:id="35"/>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4"/>
      </w:pPr>
      <w:bookmarkStart w:id="36" w:name="trends-in-racial-composition-of-visited-high-schools"/>
      <w:r>
        <w:t xml:space="preserve">Trends in Racial Composition of Visited High Schools</w:t>
      </w:r>
      <w:bookmarkEnd w:id="36"/>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For the majority of institutions in our sample, visited out-of-state public high schools had a higher percentage of white students and Asian students than non-visited schools and a lower percentage of black, Latinx, and Native American students than non-visited schools. For example, the University of Colorado-Boulder visited out-of-state public high schools where white students made up 56% of enrollment and Asian students made up 13% of enrollment, compared to 49% and 5%, respectively,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7" w:name="figure-6-average-racial-composition-of-visited-vs.non-visited-high-schools-by-in-state-out-of-state"/>
      <w:r>
        <w:t xml:space="preserve">Figure 6: Average racial composition of visited vs. non-visited high schools by in-state, out-of-state</w:t>
      </w:r>
      <w:bookmarkEnd w:id="37"/>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38" w:name="figure-7-visits-to-metro-areas-by-percent-black-latinx-and-native-american"/>
      <w:r>
        <w:t xml:space="preserve">Figure 7: Visits to metro areas by percent black, Latinx, and Native American</w:t>
      </w:r>
      <w:bookmarkEnd w:id="38"/>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w:t>
      </w:r>
      <w:r>
        <w:rPr>
          <w:vertAlign w:val="superscript"/>
        </w:rPr>
        <w:t xml:space="preserve">37</w:t>
      </w:r>
      <w:r>
        <w:t xml:space="preserve"> </w:t>
      </w:r>
      <w:r>
        <w:t xml:space="preserve">Our analyses found that universities tend to visit a disproportionate number of out-of-state private high schools, as compared to public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in-state visited and non-visited students remains relatively small across all cases.</w:t>
      </w:r>
    </w:p>
    <w:p>
      <w:pPr>
        <w:pStyle w:val="Heading2"/>
      </w:pPr>
      <w:bookmarkStart w:id="39" w:name="policy-implications"/>
      <w:r>
        <w:t xml:space="preserve">Policy Implications</w:t>
      </w:r>
      <w:bookmarkEnd w:id="39"/>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equipping students with better information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9–13</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38, 39</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0" w:name="public-funding-and-enrollment-priorities"/>
      <w:r>
        <w:t xml:space="preserve">Public Funding and Enrollment Priorities</w:t>
      </w:r>
      <w:bookmarkEnd w:id="40"/>
    </w:p>
    <w:p>
      <w:pPr>
        <w:pStyle w:val="FirstParagraph"/>
      </w:pPr>
      <w:r>
        <w:t xml:space="preserve">State policymakers have often rationalized funding cuts to public universities on the grounds that institutions can generate their own revenue through tuition. While this assumption may be true for some universities, cuts to public funding create incentives for universities to prioritize the customers who pay the most, thereby shifting higher education from a public good to a private good.</w:t>
      </w:r>
    </w:p>
    <w:p>
      <w:pPr>
        <w:pStyle w:val="BodyText"/>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on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also help to increase block grant funding by matching state appropriations. If states and the federal government through a match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With respect to university enrollment priorities, need-based grant aid increases the purchasing power of poor students, making them more financially attractive to universities that rely on tuition revenue. The most important need-based grant programs are the federal Pell Grant program and state need-based grant aid programs, such as the Cal Grant and Minnesota State Grant. Policy changes that substantially increase maximum need-based aid awards—for example, doubling the maximum Pell Grant award from $6,195 to $12,000—enable a university to enroll a low-income student without substantial need-based institutional aid, thereby creating incentives for universities to enroll more low-income students.</w:t>
      </w:r>
    </w:p>
    <w:p>
      <w:pPr>
        <w:pStyle w:val="BodyText"/>
      </w:pPr>
      <w:r>
        <w:t xml:space="preserve">Other policies that increase student purchasing power include state</w:t>
      </w:r>
      <w:r>
        <w:t xml:space="preserve"> </w:t>
      </w:r>
      <w:r>
        <w:t xml:space="preserve">“</w:t>
      </w:r>
      <w:r>
        <w:t xml:space="preserve">free college</w:t>
      </w:r>
      <w:r>
        <w:t xml:space="preserve">”</w:t>
      </w:r>
      <w:r>
        <w:t xml:space="preserve"> </w:t>
      </w:r>
      <w:r>
        <w:t xml:space="preserve">policies and</w:t>
      </w:r>
      <w:r>
        <w:t xml:space="preserve"> </w:t>
      </w:r>
      <w:r>
        <w:t xml:space="preserve">“</w:t>
      </w:r>
      <w:r>
        <w:t xml:space="preserve">income sharing agreements.</w:t>
      </w:r>
      <w:r>
        <w:t xml:space="preserve">”</w:t>
      </w:r>
      <w:r>
        <w:t xml:space="preserve"> </w:t>
      </w:r>
      <w:r>
        <w:t xml:space="preserve">State</w:t>
      </w:r>
      <w:r>
        <w:t xml:space="preserve"> </w:t>
      </w:r>
      <w:r>
        <w:t xml:space="preserve">“</w:t>
      </w:r>
      <w:r>
        <w:t xml:space="preserve">free college</w:t>
      </w:r>
      <w:r>
        <w:t xml:space="preserve">”</w:t>
      </w:r>
      <w:r>
        <w:t xml:space="preserve"> </w:t>
      </w:r>
      <w:r>
        <w:t xml:space="preserve">policies are similar to state need-based aid programs in that they provide grant aid to eligible students attending in-state public institutions. However, in most states that have adopted such programs, the amount of money expended on free college programs is much smaller than the amount expended on need-based aid.</w:t>
      </w:r>
      <w:r>
        <w:rPr>
          <w:vertAlign w:val="superscript"/>
        </w:rPr>
        <w:t xml:space="preserve">40</w:t>
      </w:r>
      <w:r>
        <w:t xml:space="preserve"> </w:t>
      </w:r>
      <w:r>
        <w:t xml:space="preserve">Therefore, these programs likely have a smaller effect on university enrollment priorities than state need-based aid programs. Though not a grant, income sharing agreements (ISAs) are a private sector approach to increasing student purchasing power. ISAs provide students up-front funds to pay for the cost of attending college. In exchange, students agree to pay some percentage of their income to the investor upon graduation, so long as their income is above some minimum threshold (e.g., $50,000). While ISAs may serve to limit some risks for borrowing students, they can also introduce others—like paying back a sum that greatly exceeds the amount borrowed, or investors being incentivized to support only certain academic programs or students on the basis of anticipated earnings. As more universities consider this option, empirical research is needed to better understand the benefits and risks, and to inform regulatory policy around ISAs.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 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 In short, if policymakers want public universities to prioritize education over amenities, they should fund them appropriately.</w:t>
      </w:r>
    </w:p>
    <w:p>
      <w:pPr>
        <w:pStyle w:val="Heading4"/>
      </w:pPr>
      <w:bookmarkStart w:id="41" w:name="regulation-and-oversight"/>
      <w:r>
        <w:t xml:space="preserve">Regulation and Oversight</w:t>
      </w:r>
      <w:bookmarkEnd w:id="41"/>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15</w:t>
      </w:r>
      <w:r>
        <w:t xml:space="preserve"> </w:t>
      </w:r>
      <w:r>
        <w:t xml:space="preserve">Therefore, capping nonresident enrollment without providing sufficient state funding incentivizes universities to enroll students who do not require need-based aid and stops universities from hiring core faculty.</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41–44</w:t>
      </w:r>
    </w:p>
    <w:p>
      <w:pPr>
        <w:pStyle w:val="BodyText"/>
      </w:pP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they should apply an equal amount of scrutiny to better understanding which prospects universities target and how they do so during different stages of the enrollment process.</w:t>
      </w:r>
    </w:p>
    <w:p>
      <w:pPr>
        <w:pStyle w:val="Heading2"/>
      </w:pPr>
      <w:bookmarkStart w:id="42" w:name="conclusion"/>
      <w:r>
        <w:t xml:space="preserve">Conclusion</w:t>
      </w:r>
      <w:bookmarkEnd w:id="42"/>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often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3" w:name="endnotes"/>
      <w:r>
        <w:t xml:space="preserve">Endnotes</w:t>
      </w:r>
      <w:bookmarkEnd w:id="43"/>
    </w:p>
    <w:bookmarkStart w:id="102" w:name="refs"/>
    <w:bookmarkStart w:id="44" w:name="ref-RN2269"/>
    <w:p>
      <w:pPr>
        <w:pStyle w:val="FirstParagraph"/>
      </w:pPr>
      <w:r>
        <w:rPr>
          <w:b/>
        </w:rPr>
        <w:t xml:space="preserve">1</w:t>
      </w:r>
      <w:r>
        <w:t xml:space="preserve">. Haycock, Kati, Lynch Mary, and Jennifer Engle.</w:t>
      </w:r>
      <w:r>
        <w:t xml:space="preserve"> </w:t>
      </w:r>
      <w:r>
        <w:rPr>
          <w:i/>
        </w:rPr>
        <w:t xml:space="preserve">Opportunity Adrift: Our Flagship Universities Are Straying from Their Public Mission</w:t>
      </w:r>
      <w:r>
        <w:t xml:space="preserve">. Education Trust, 2010.</w:t>
      </w:r>
    </w:p>
    <w:bookmarkEnd w:id="44"/>
    <w:bookmarkStart w:id="45" w:name="ref-RN4016"/>
    <w:p>
      <w:pPr>
        <w:pStyle w:val="BodyText"/>
      </w:pPr>
      <w:r>
        <w:rPr>
          <w:b/>
        </w:rPr>
        <w:t xml:space="preserve">2</w:t>
      </w:r>
      <w:r>
        <w:t xml:space="preserve">. The White House.</w:t>
      </w:r>
      <w:r>
        <w:t xml:space="preserve"> </w:t>
      </w:r>
      <w:r>
        <w:rPr>
          <w:i/>
        </w:rPr>
        <w:t xml:space="preserve">Increasing College Opportunity for Low-Income Students</w:t>
      </w:r>
      <w:r>
        <w:t xml:space="preserve">. The Executive Office of the President, 2014.</w:t>
      </w:r>
    </w:p>
    <w:bookmarkEnd w:id="45"/>
    <w:bookmarkStart w:id="46" w:name="ref-RN3699"/>
    <w:p>
      <w:pPr>
        <w:pStyle w:val="BodyText"/>
      </w:pPr>
      <w:r>
        <w:rPr>
          <w:b/>
        </w:rPr>
        <w:t xml:space="preserve">3</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bookmarkEnd w:id="46"/>
    <w:bookmarkStart w:id="48" w:name="ref-RN4468"/>
    <w:p>
      <w:pPr>
        <w:pStyle w:val="BodyText"/>
      </w:pPr>
      <w:r>
        <w:rPr>
          <w:b/>
        </w:rPr>
        <w:t xml:space="preserve">4</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bookmarkEnd w:id="48"/>
    <w:bookmarkStart w:id="49" w:name="ref-RN2771"/>
    <w:p>
      <w:pPr>
        <w:pStyle w:val="BodyText"/>
      </w:pPr>
      <w:r>
        <w:rPr>
          <w:b/>
        </w:rPr>
        <w:t xml:space="preserve">5</w:t>
      </w:r>
      <w:r>
        <w:t xml:space="preserve">. Hossler, Donald, and John P. Bean.</w:t>
      </w:r>
      <w:r>
        <w:t xml:space="preserve"> </w:t>
      </w:r>
      <w:r>
        <w:rPr>
          <w:i/>
        </w:rPr>
        <w:t xml:space="preserve">The Strategic Management of College Enrollments</w:t>
      </w:r>
      <w:r>
        <w:t xml:space="preserve">. Jossey-Bass, 1990, pp. xxii, 330p.</w:t>
      </w:r>
    </w:p>
    <w:bookmarkEnd w:id="49"/>
    <w:bookmarkStart w:id="50" w:name="ref-NOTE1"/>
    <w:p>
      <w:pPr>
        <w:pStyle w:val="BodyText"/>
      </w:pPr>
      <w:r>
        <w:rPr>
          <w:b/>
        </w:rPr>
        <w:t xml:space="preserve">6</w:t>
      </w:r>
      <w:r>
        <w:t xml:space="preserve">. Author calculations based on the Integrated Postsecondary Education Data System (IPEDS) Finance survey component for a sample of 63 public research-extensive universities, as defined by the 2005 Carnegie Classification.</w:t>
      </w:r>
    </w:p>
    <w:bookmarkEnd w:id="50"/>
    <w:bookmarkStart w:id="51" w:name="ref-RN3753"/>
    <w:p>
      <w:pPr>
        <w:pStyle w:val="BodyText"/>
      </w:pPr>
      <w:r>
        <w:rPr>
          <w:b/>
        </w:rPr>
        <w:t xml:space="preserve">7</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bookmarkEnd w:id="51"/>
    <w:bookmarkStart w:id="52" w:name="ref-NOTE2"/>
    <w:p>
      <w:pPr>
        <w:pStyle w:val="BodyText"/>
      </w:pPr>
      <w:r>
        <w:rPr>
          <w:b/>
        </w:rPr>
        <w:t xml:space="preserve">8</w:t>
      </w:r>
      <w:r>
        <w:t xml:space="preserve">. Author calculations based on the Integrated Postsecondary Education Data System (IPEDS) Student Financial Aid survey component.</w:t>
      </w:r>
    </w:p>
    <w:bookmarkEnd w:id="52"/>
    <w:bookmarkStart w:id="54" w:name="ref-RN4409"/>
    <w:p>
      <w:pPr>
        <w:pStyle w:val="BodyText"/>
      </w:pPr>
      <w:r>
        <w:rPr>
          <w:b/>
        </w:rPr>
        <w:t xml:space="preserve">9</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bookmarkEnd w:id="54"/>
    <w:bookmarkStart w:id="55" w:name="ref-RN4032"/>
    <w:p>
      <w:pPr>
        <w:pStyle w:val="BodyText"/>
      </w:pPr>
      <w:r>
        <w:rPr>
          <w:b/>
        </w:rPr>
        <w:t xml:space="preserve">10</w:t>
      </w:r>
      <w:r>
        <w:t xml:space="preserve">. Burd, Stephen.</w:t>
      </w:r>
      <w:r>
        <w:t xml:space="preserve"> </w:t>
      </w:r>
      <w:r>
        <w:rPr>
          <w:i/>
        </w:rPr>
        <w:t xml:space="preserve">The Out-of-State Student Arms Race: How Public Universities Use Merit Aid to Recruit Nonresident Students</w:t>
      </w:r>
      <w:r>
        <w:t xml:space="preserve">. New America Foundation, 2015.</w:t>
      </w:r>
    </w:p>
    <w:bookmarkEnd w:id="55"/>
    <w:bookmarkStart w:id="56" w:name="ref-RN3519"/>
    <w:p>
      <w:pPr>
        <w:pStyle w:val="BodyText"/>
      </w:pPr>
      <w:r>
        <w:rPr>
          <w:b/>
        </w:rPr>
        <w:t xml:space="preserve">11</w:t>
      </w:r>
      <w:r>
        <w:t xml:space="preserve">. Stevens, Mitchell L.</w:t>
      </w:r>
      <w:r>
        <w:t xml:space="preserve"> </w:t>
      </w:r>
      <w:r>
        <w:rPr>
          <w:i/>
        </w:rPr>
        <w:t xml:space="preserve">Creating a Class: College Admissions and the Education of Elites</w:t>
      </w:r>
      <w:r>
        <w:t xml:space="preserve">. Harvard University Press, 2007, p. 308 p.</w:t>
      </w:r>
    </w:p>
    <w:bookmarkEnd w:id="56"/>
    <w:bookmarkStart w:id="58" w:name="ref-RN3762"/>
    <w:p>
      <w:pPr>
        <w:pStyle w:val="BodyText"/>
      </w:pPr>
      <w:r>
        <w:rPr>
          <w:b/>
        </w:rPr>
        <w:t xml:space="preserve">12</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7">
        <w:r>
          <w:rPr>
            <w:rStyle w:val="Hyperlink"/>
          </w:rPr>
          <w:t xml:space="preserve">10.1007/s11162-014-9359-2</w:t>
        </w:r>
      </w:hyperlink>
      <w:r>
        <w:t xml:space="preserve">.</w:t>
      </w:r>
    </w:p>
    <w:bookmarkEnd w:id="58"/>
    <w:bookmarkStart w:id="60" w:name="ref-RN4494"/>
    <w:p>
      <w:pPr>
        <w:pStyle w:val="BodyText"/>
      </w:pPr>
      <w:r>
        <w:rPr>
          <w:b/>
        </w:rPr>
        <w:t xml:space="preserve">13</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9">
        <w:r>
          <w:rPr>
            <w:rStyle w:val="Hyperlink"/>
          </w:rPr>
          <w:t xml:space="preserve">https://www.arkansasonline.com/news/2019/aug/01/ua-relaxes-academic-standards-for-out-o/</w:t>
        </w:r>
      </w:hyperlink>
      <w:r>
        <w:t xml:space="preserve">.</w:t>
      </w:r>
    </w:p>
    <w:bookmarkEnd w:id="60"/>
    <w:bookmarkStart w:id="62" w:name="ref-RN4290"/>
    <w:p>
      <w:pPr>
        <w:pStyle w:val="BodyText"/>
      </w:pPr>
      <w:r>
        <w:rPr>
          <w:b/>
        </w:rPr>
        <w:t xml:space="preserve">14</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61">
        <w:r>
          <w:rPr>
            <w:rStyle w:val="Hyperlink"/>
          </w:rPr>
          <w:t xml:space="preserve">10.3102/0162373717704719</w:t>
        </w:r>
      </w:hyperlink>
      <w:r>
        <w:t xml:space="preserve">.</w:t>
      </w:r>
    </w:p>
    <w:bookmarkEnd w:id="62"/>
    <w:bookmarkStart w:id="63" w:name="ref-RN4492"/>
    <w:p>
      <w:pPr>
        <w:pStyle w:val="BodyText"/>
      </w:pPr>
      <w:r>
        <w:rPr>
          <w:b/>
        </w:rPr>
        <w:t xml:space="preserve">15</w:t>
      </w:r>
      <w:r>
        <w:t xml:space="preserve">. Jaquette, Ozan, and Bradley R. Curs. “Faculty Hiring at the Out-of-State University.”</w:t>
      </w:r>
      <w:r>
        <w:t xml:space="preserve"> </w:t>
      </w:r>
      <w:r>
        <w:rPr>
          <w:i/>
        </w:rPr>
        <w:t xml:space="preserve">American Educational Research Journal</w:t>
      </w:r>
      <w:r>
        <w:t xml:space="preserve">.</w:t>
      </w:r>
    </w:p>
    <w:bookmarkEnd w:id="63"/>
    <w:bookmarkStart w:id="64" w:name="ref-RN3685"/>
    <w:p>
      <w:pPr>
        <w:pStyle w:val="BodyText"/>
      </w:pPr>
      <w:r>
        <w:rPr>
          <w:b/>
        </w:rPr>
        <w:t xml:space="preserve">16</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bookmarkEnd w:id="64"/>
    <w:bookmarkStart w:id="65" w:name="ref-RN3536"/>
    <w:p>
      <w:pPr>
        <w:pStyle w:val="BodyText"/>
      </w:pPr>
      <w:r>
        <w:rPr>
          <w:b/>
        </w:rPr>
        <w:t xml:space="preserve">17</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bookmarkEnd w:id="65"/>
    <w:bookmarkStart w:id="66" w:name="ref-RN3544"/>
    <w:p>
      <w:pPr>
        <w:pStyle w:val="BodyText"/>
      </w:pPr>
      <w:r>
        <w:rPr>
          <w:b/>
        </w:rPr>
        <w:t xml:space="preserve">18</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bookmarkEnd w:id="66"/>
    <w:bookmarkStart w:id="67" w:name="ref-RN3523"/>
    <w:p>
      <w:pPr>
        <w:pStyle w:val="BodyText"/>
      </w:pPr>
      <w:r>
        <w:rPr>
          <w:b/>
        </w:rPr>
        <w:t xml:space="preserve">19</w:t>
      </w:r>
      <w:r>
        <w:t xml:space="preserve">. Karen, D. “Toward a Political-Organizational Model of Gatekeeping: The Case of Elite Colleges.”</w:t>
      </w:r>
      <w:r>
        <w:t xml:space="preserve"> </w:t>
      </w:r>
      <w:r>
        <w:rPr>
          <w:i/>
        </w:rPr>
        <w:t xml:space="preserve">Sociology of Education</w:t>
      </w:r>
      <w:r>
        <w:t xml:space="preserve">, vol. 63, no. 4, 1990, pp. 227–40.</w:t>
      </w:r>
    </w:p>
    <w:bookmarkEnd w:id="67"/>
    <w:bookmarkStart w:id="68" w:name="ref-RN4131"/>
    <w:p>
      <w:pPr>
        <w:pStyle w:val="BodyText"/>
      </w:pPr>
      <w:r>
        <w:rPr>
          <w:b/>
        </w:rPr>
        <w:t xml:space="preserve">20</w:t>
      </w:r>
      <w:r>
        <w:t xml:space="preserve">. Posselt, Julie Renee.</w:t>
      </w:r>
      <w:r>
        <w:t xml:space="preserve"> </w:t>
      </w:r>
      <w:r>
        <w:rPr>
          <w:i/>
        </w:rPr>
        <w:t xml:space="preserve">Inside Graduate Admissions: Merit, Diversity, and Faculty Gatekeeping</w:t>
      </w:r>
      <w:r>
        <w:t xml:space="preserve">. Harvard University Press, 2016, pp. x, 250pages.</w:t>
      </w:r>
    </w:p>
    <w:bookmarkEnd w:id="68"/>
    <w:bookmarkStart w:id="69" w:name="ref-RN2241"/>
    <w:p>
      <w:pPr>
        <w:pStyle w:val="BodyText"/>
      </w:pPr>
      <w:r>
        <w:rPr>
          <w:b/>
        </w:rPr>
        <w:t xml:space="preserve">21</w:t>
      </w:r>
      <w:r>
        <w:t xml:space="preserve">. Doyle, William R. “Changes in Institutional Aid, 1992-2003: The Evolving Role of Merit Aid.”</w:t>
      </w:r>
      <w:r>
        <w:t xml:space="preserve"> </w:t>
      </w:r>
      <w:r>
        <w:rPr>
          <w:i/>
        </w:rPr>
        <w:t xml:space="preserve">Research in Higher Education</w:t>
      </w:r>
      <w:r>
        <w:t xml:space="preserve">, vol. 51, no. 8, 2010, pp. 789–810.</w:t>
      </w:r>
    </w:p>
    <w:bookmarkEnd w:id="69"/>
    <w:bookmarkStart w:id="70" w:name="ref-RN3564"/>
    <w:p>
      <w:pPr>
        <w:pStyle w:val="BodyText"/>
      </w:pPr>
      <w:r>
        <w:rPr>
          <w:b/>
        </w:rPr>
        <w:t xml:space="preserve">22</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bookmarkEnd w:id="70"/>
    <w:bookmarkStart w:id="71" w:name="ref-RN1948"/>
    <w:p>
      <w:pPr>
        <w:pStyle w:val="BodyText"/>
      </w:pPr>
      <w:r>
        <w:rPr>
          <w:b/>
        </w:rPr>
        <w:t xml:space="preserve">23</w:t>
      </w:r>
      <w:r>
        <w:t xml:space="preserve">. McPherson, Michael S., and Morton Owen Schapiro.</w:t>
      </w:r>
      <w:r>
        <w:t xml:space="preserve"> </w:t>
      </w:r>
      <w:r>
        <w:rPr>
          <w:i/>
        </w:rPr>
        <w:t xml:space="preserve">The Student Aid Game</w:t>
      </w:r>
      <w:r>
        <w:t xml:space="preserve">. Princeton University Press, 1998.</w:t>
      </w:r>
    </w:p>
    <w:bookmarkEnd w:id="71"/>
    <w:bookmarkStart w:id="73" w:name="ref-RN4322"/>
    <w:p>
      <w:pPr>
        <w:pStyle w:val="BodyText"/>
      </w:pPr>
      <w:r>
        <w:rPr>
          <w:b/>
        </w:rPr>
        <w:t xml:space="preserve">24</w:t>
      </w:r>
      <w:r>
        <w:t xml:space="preserve">. Campbell, Alec.</w:t>
      </w:r>
      <w:r>
        <w:t xml:space="preserve"> </w:t>
      </w:r>
      <w:r>
        <w:rPr>
          <w:i/>
        </w:rPr>
        <w:t xml:space="preserve">Higher Education Marketing: How to Master Your Admissions Funnel</w:t>
      </w:r>
      <w:r>
        <w:t xml:space="preserve">. 2017,</w:t>
      </w:r>
      <w:r>
        <w:t xml:space="preserve"> </w:t>
      </w:r>
      <w:hyperlink r:id="rId72">
        <w:r>
          <w:rPr>
            <w:rStyle w:val="Hyperlink"/>
          </w:rPr>
          <w:t xml:space="preserve">https://hop-online.com/blog/higher-education-marketing-admissions-process/</w:t>
        </w:r>
      </w:hyperlink>
      <w:r>
        <w:t xml:space="preserve">.</w:t>
      </w:r>
    </w:p>
    <w:bookmarkEnd w:id="73"/>
    <w:bookmarkStart w:id="75" w:name="ref-RN4314"/>
    <w:p>
      <w:pPr>
        <w:pStyle w:val="BodyText"/>
      </w:pPr>
      <w:r>
        <w:rPr>
          <w:b/>
        </w:rPr>
        <w:t xml:space="preserve">25</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75"/>
    <w:bookmarkStart w:id="77" w:name="ref-RN4402"/>
    <w:p>
      <w:pPr>
        <w:pStyle w:val="BodyText"/>
      </w:pPr>
      <w:r>
        <w:rPr>
          <w:b/>
        </w:rPr>
        <w:t xml:space="preserve">26</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76">
        <w:r>
          <w:rPr>
            <w:rStyle w:val="Hyperlink"/>
          </w:rPr>
          <w:t xml:space="preserve">http://learn.ruffalonl.com/rs/395-EOG-977/images/RNL_2018_Student_Recruitment_Marketing_Report_EM-19.pdf</w:t>
        </w:r>
      </w:hyperlink>
      <w:r>
        <w:t xml:space="preserve">.</w:t>
      </w:r>
    </w:p>
    <w:bookmarkEnd w:id="77"/>
    <w:bookmarkStart w:id="79" w:name="ref-RN4035"/>
    <w:p>
      <w:pPr>
        <w:pStyle w:val="BodyText"/>
      </w:pPr>
      <w:r>
        <w:rPr>
          <w:b/>
        </w:rPr>
        <w:t xml:space="preserve">27</w:t>
      </w:r>
      <w:r>
        <w:t xml:space="preserve">. University of Alabama.</w:t>
      </w:r>
      <w:r>
        <w:t xml:space="preserve"> </w:t>
      </w:r>
      <w:r>
        <w:rPr>
          <w:i/>
        </w:rPr>
        <w:t xml:space="preserve">Open Records</w:t>
      </w:r>
      <w:r>
        <w:t xml:space="preserve">. 2019,</w:t>
      </w:r>
      <w:r>
        <w:t xml:space="preserve"> </w:t>
      </w:r>
      <w:hyperlink r:id="rId78">
        <w:r>
          <w:rPr>
            <w:rStyle w:val="Hyperlink"/>
          </w:rPr>
          <w:t xml:space="preserve">http://open.ua.edu/</w:t>
        </w:r>
      </w:hyperlink>
      <w:r>
        <w:t xml:space="preserve">.</w:t>
      </w:r>
    </w:p>
    <w:bookmarkEnd w:id="79"/>
    <w:bookmarkStart w:id="80" w:name="ref-RN4323"/>
    <w:p>
      <w:pPr>
        <w:pStyle w:val="BodyText"/>
      </w:pPr>
      <w:r>
        <w:rPr>
          <w:b/>
        </w:rPr>
        <w:t xml:space="preserve">28</w:t>
      </w:r>
      <w:r>
        <w:t xml:space="preserve">. Clinedinst, Mellissa, and Anna-Maria Koranteng.</w:t>
      </w:r>
      <w:r>
        <w:t xml:space="preserve"> </w:t>
      </w:r>
      <w:r>
        <w:rPr>
          <w:i/>
        </w:rPr>
        <w:t xml:space="preserve">2017 State of College Admission</w:t>
      </w:r>
      <w:r>
        <w:t xml:space="preserve">. National Association of College Admissions Officers, 2017.</w:t>
      </w:r>
    </w:p>
    <w:bookmarkEnd w:id="80"/>
    <w:bookmarkStart w:id="81" w:name="ref-RN4411"/>
    <w:p>
      <w:pPr>
        <w:pStyle w:val="BodyText"/>
      </w:pPr>
      <w:r>
        <w:rPr>
          <w:b/>
        </w:rPr>
        <w:t xml:space="preserve">29</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bookmarkEnd w:id="81"/>
    <w:bookmarkStart w:id="82" w:name="ref-NOTE7"/>
    <w:p>
      <w:pPr>
        <w:pStyle w:val="BodyText"/>
      </w:pPr>
      <w:r>
        <w:rPr>
          <w:b/>
        </w:rPr>
        <w:t xml:space="preserve">30</w:t>
      </w:r>
      <w:r>
        <w:t xml:space="preserve">. Figures adjusted using 2018 CPI.</w:t>
      </w:r>
    </w:p>
    <w:bookmarkEnd w:id="82"/>
    <w:bookmarkStart w:id="83" w:name="ref-NOTE3"/>
    <w:p>
      <w:pPr>
        <w:pStyle w:val="BodyText"/>
      </w:pPr>
      <w:r>
        <w:rPr>
          <w:b/>
        </w:rPr>
        <w:t xml:space="preserve">31</w:t>
      </w:r>
      <w:r>
        <w:t xml:space="preserve">. Only "traditional advertising" (e.g., billboards, newspapers, magazines, TV, radio) accounted for a higher percentage (24%).</w:t>
      </w:r>
    </w:p>
    <w:bookmarkEnd w:id="83"/>
    <w:bookmarkStart w:id="84" w:name="ref-RN4315"/>
    <w:p>
      <w:pPr>
        <w:pStyle w:val="BodyText"/>
      </w:pPr>
      <w:r>
        <w:rPr>
          <w:b/>
        </w:rPr>
        <w:t xml:space="preserve">32</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84"/>
    <w:bookmarkStart w:id="85" w:name="ref-RN4324"/>
    <w:p>
      <w:pPr>
        <w:pStyle w:val="BodyText"/>
      </w:pPr>
      <w:r>
        <w:rPr>
          <w:b/>
        </w:rPr>
        <w:t xml:space="preserve">33</w:t>
      </w:r>
      <w:r>
        <w:t xml:space="preserve">. Holland, Megan M.</w:t>
      </w:r>
      <w:r>
        <w:t xml:space="preserve"> </w:t>
      </w:r>
      <w:r>
        <w:rPr>
          <w:i/>
        </w:rPr>
        <w:t xml:space="preserve">Divergent Paths to College: Race, Class, and Inequality in High Schools</w:t>
      </w:r>
      <w:r>
        <w:t xml:space="preserve">. Rutgers University Press, 2019.</w:t>
      </w:r>
    </w:p>
    <w:bookmarkEnd w:id="85"/>
    <w:bookmarkStart w:id="86" w:name="ref-NOTE4"/>
    <w:p>
      <w:pPr>
        <w:pStyle w:val="BodyText"/>
      </w:pPr>
      <w:r>
        <w:rPr>
          <w:b/>
        </w:rPr>
        <w:t xml:space="preserve">34</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bookmarkEnd w:id="86"/>
    <w:bookmarkStart w:id="87" w:name="ref-NOTE5"/>
    <w:p>
      <w:pPr>
        <w:pStyle w:val="BodyText"/>
      </w:pPr>
      <w:r>
        <w:rPr>
          <w:b/>
        </w:rPr>
        <w:t xml:space="preserve">35</w:t>
      </w:r>
      <w:r>
        <w:t xml:space="preserve">. More details on the proportional vs. actual number of visits to out-of-state private high schools compared to public high schools can be found here.</w:t>
      </w:r>
    </w:p>
    <w:bookmarkEnd w:id="87"/>
    <w:bookmarkStart w:id="88" w:name="ref-NOTE6"/>
    <w:p>
      <w:pPr>
        <w:pStyle w:val="BodyText"/>
      </w:pPr>
      <w:r>
        <w:rPr>
          <w:b/>
        </w:rPr>
        <w:t xml:space="preserve">36</w:t>
      </w:r>
      <w:r>
        <w:t xml:space="preserve">. Regression results can be found in the report here.</w:t>
      </w:r>
    </w:p>
    <w:bookmarkEnd w:id="88"/>
    <w:bookmarkStart w:id="90" w:name="ref-RN4504"/>
    <w:p>
      <w:pPr>
        <w:pStyle w:val="BodyText"/>
      </w:pPr>
      <w:r>
        <w:rPr>
          <w:b/>
        </w:rPr>
        <w:t xml:space="preserve">37</w:t>
      </w:r>
      <w:r>
        <w:t xml:space="preserve">. Murnane, Richard J., and Sean F. Reardon. “Long-Term Trends in Private School Enrollments by Family Income.”</w:t>
      </w:r>
      <w:r>
        <w:t xml:space="preserve"> </w:t>
      </w:r>
      <w:r>
        <w:rPr>
          <w:i/>
        </w:rPr>
        <w:t xml:space="preserve">AERA Open</w:t>
      </w:r>
      <w:r>
        <w:t xml:space="preserve">, vol. 4, no. 1, 2018, pp. 1–24, doi:</w:t>
      </w:r>
      <w:hyperlink r:id="rId89">
        <w:r>
          <w:rPr>
            <w:rStyle w:val="Hyperlink"/>
          </w:rPr>
          <w:t xml:space="preserve">10.1177/2332858417751355</w:t>
        </w:r>
      </w:hyperlink>
      <w:r>
        <w:t xml:space="preserve">.</w:t>
      </w:r>
    </w:p>
    <w:bookmarkEnd w:id="90"/>
    <w:bookmarkStart w:id="92" w:name="ref-RN4469"/>
    <w:p>
      <w:pPr>
        <w:pStyle w:val="BodyText"/>
      </w:pPr>
      <w:r>
        <w:rPr>
          <w:b/>
        </w:rPr>
        <w:t xml:space="preserve">38</w:t>
      </w:r>
      <w:r>
        <w:t xml:space="preserve">. Mountjoy, Jack.</w:t>
      </w:r>
      <w:r>
        <w:t xml:space="preserve"> </w:t>
      </w:r>
      <w:r>
        <w:rPr>
          <w:i/>
        </w:rPr>
        <w:t xml:space="preserve">Community Colleges and Upward Mobility</w:t>
      </w:r>
      <w:r>
        <w:t xml:space="preserve">. Princeton &amp; Chicago Booth, 2018,</w:t>
      </w:r>
      <w:r>
        <w:t xml:space="preserve"> </w:t>
      </w:r>
      <w:hyperlink r:id="rId91">
        <w:r>
          <w:rPr>
            <w:rStyle w:val="Hyperlink"/>
          </w:rPr>
          <w:t xml:space="preserve">https://economics.stanford.edu/sites/g/files/sbiybj9386/f/mountjoy_2018_community_colleges_and_upward_mobility.pdf</w:t>
        </w:r>
      </w:hyperlink>
      <w:r>
        <w:t xml:space="preserve">.</w:t>
      </w:r>
    </w:p>
    <w:bookmarkEnd w:id="92"/>
    <w:bookmarkStart w:id="94" w:name="ref-RN2261"/>
    <w:p>
      <w:pPr>
        <w:pStyle w:val="BodyText"/>
      </w:pPr>
      <w:r>
        <w:rPr>
          <w:b/>
        </w:rPr>
        <w:t xml:space="preserve">39</w:t>
      </w:r>
      <w:r>
        <w:t xml:space="preserve">. Long, Bridget T., and Michal Kurlaender. “Do Community Colleges Provide a Viable Pathway to a Baccalaureate Degree?”</w:t>
      </w:r>
      <w:r>
        <w:t xml:space="preserve"> </w:t>
      </w:r>
      <w:r>
        <w:rPr>
          <w:i/>
        </w:rPr>
        <w:t xml:space="preserve">Educational Evaluation and Policy Analysis</w:t>
      </w:r>
      <w:r>
        <w:t xml:space="preserve">, vol. 31, no. 1, 2009, pp. 30–53, doi:</w:t>
      </w:r>
      <w:hyperlink r:id="rId93">
        <w:r>
          <w:rPr>
            <w:rStyle w:val="Hyperlink"/>
          </w:rPr>
          <w:t xml:space="preserve">10.3102/0162373708327756</w:t>
        </w:r>
      </w:hyperlink>
      <w:r>
        <w:t xml:space="preserve">.</w:t>
      </w:r>
    </w:p>
    <w:bookmarkEnd w:id="94"/>
    <w:bookmarkStart w:id="96" w:name="ref-RN4466"/>
    <w:p>
      <w:pPr>
        <w:pStyle w:val="BodyText"/>
      </w:pPr>
      <w:r>
        <w:rPr>
          <w:b/>
        </w:rPr>
        <w:t xml:space="preserve">40</w:t>
      </w:r>
      <w:r>
        <w:t xml:space="preserve">. Perna, Laura W., Elaine W. Leigh, and Stephanie Carroll. “‘Free College:’ A New and Improved State Approach to Increasing Educational Attainment?”</w:t>
      </w:r>
      <w:r>
        <w:t xml:space="preserve"> </w:t>
      </w:r>
      <w:r>
        <w:rPr>
          <w:i/>
        </w:rPr>
        <w:t xml:space="preserve">American Behavioral Scientist</w:t>
      </w:r>
      <w:r>
        <w:t xml:space="preserve">, vol. 61, no. 14, 2018, pp. 1740–56, doi:</w:t>
      </w:r>
      <w:hyperlink r:id="rId95">
        <w:r>
          <w:rPr>
            <w:rStyle w:val="Hyperlink"/>
          </w:rPr>
          <w:t xml:space="preserve">10.1177/0002764217744821</w:t>
        </w:r>
      </w:hyperlink>
      <w:r>
        <w:t xml:space="preserve">.</w:t>
      </w:r>
    </w:p>
    <w:bookmarkEnd w:id="96"/>
    <w:bookmarkStart w:id="97" w:name="ref-RN4495"/>
    <w:p>
      <w:pPr>
        <w:pStyle w:val="BodyText"/>
      </w:pPr>
      <w:r>
        <w:rPr>
          <w:b/>
        </w:rPr>
        <w:t xml:space="preserve">41</w:t>
      </w:r>
      <w:r>
        <w:t xml:space="preserve">. Jack, Anthony Abraham.</w:t>
      </w:r>
      <w:r>
        <w:t xml:space="preserve"> </w:t>
      </w:r>
      <w:r>
        <w:rPr>
          <w:i/>
        </w:rPr>
        <w:t xml:space="preserve">The Privileged Poor: How Elite Colleges Are Failing Disadvantaged Students</w:t>
      </w:r>
      <w:r>
        <w:t xml:space="preserve">. Harvard University Press, 2019, p. 276.</w:t>
      </w:r>
    </w:p>
    <w:bookmarkEnd w:id="97"/>
    <w:bookmarkStart w:id="99" w:name="ref-RN4396"/>
    <w:p>
      <w:pPr>
        <w:pStyle w:val="BodyText"/>
      </w:pPr>
      <w:r>
        <w:rPr>
          <w:b/>
        </w:rPr>
        <w:t xml:space="preserve">42</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98">
        <w:r>
          <w:rPr>
            <w:rStyle w:val="Hyperlink"/>
          </w:rPr>
          <w:t xml:space="preserve">10.1177/0038040715614913</w:t>
        </w:r>
      </w:hyperlink>
      <w:r>
        <w:t xml:space="preserve">.</w:t>
      </w:r>
    </w:p>
    <w:bookmarkEnd w:id="99"/>
    <w:bookmarkStart w:id="100" w:name="ref-RN2517"/>
    <w:p>
      <w:pPr>
        <w:pStyle w:val="BodyText"/>
      </w:pPr>
      <w:r>
        <w:rPr>
          <w:b/>
        </w:rPr>
        <w:t xml:space="preserve">43</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bookmarkEnd w:id="100"/>
    <w:bookmarkStart w:id="101" w:name="ref-RN4360"/>
    <w:p>
      <w:pPr>
        <w:pStyle w:val="BodyText"/>
      </w:pPr>
      <w:r>
        <w:rPr>
          <w:b/>
        </w:rPr>
        <w:t xml:space="preserve">44</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bookmarkEnd w:id="101"/>
    <w:bookmarkEnd w:id="102"/>
    <w:sectPr w:rsidR="002567EF" w:rsidRPr="00DF2BDD" w:rsidSect="00E97A84">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cp:keywords/>
  <dcterms:created xsi:type="dcterms:W3CDTF">2019-12-04T23:42:50Z</dcterms:created>
  <dcterms:modified xsi:type="dcterms:W3CDTF">2019-12-04T23:42:50Z</dcterms:modified>
</cp:coreProperties>
</file>