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D80AF3" w14:textId="7636A24D" w:rsidR="00C9377B" w:rsidRDefault="00683F3F">
      <w:r w:rsidRPr="00683F3F">
        <w:t xml:space="preserve">Whole genome sequencing notes – Antonella </w:t>
      </w:r>
      <w:r w:rsidRPr="00683F3F">
        <w:t>Eugenia Bacigalupo</w:t>
      </w:r>
      <w:r w:rsidRPr="00683F3F">
        <w:t xml:space="preserve"> – 25/2/25</w:t>
      </w:r>
    </w:p>
    <w:p w14:paraId="6F96EDE6" w14:textId="454A8F6C" w:rsidR="00683F3F" w:rsidRDefault="00683F3F">
      <w:r>
        <w:t>Antonella is willing to show protocol over and assist if Martin is ok with. Antonella begins as tech in March so will be more available after her thesis is completed.</w:t>
      </w:r>
    </w:p>
    <w:p w14:paraId="67881CA7" w14:textId="68D72969" w:rsidR="00683F3F" w:rsidRDefault="00683F3F">
      <w:r>
        <w:t>Below is augmented note summary from brief meeting</w:t>
      </w:r>
    </w:p>
    <w:p w14:paraId="258BB04E" w14:textId="77777777" w:rsidR="00683F3F" w:rsidRDefault="00683F3F"/>
    <w:p w14:paraId="16C49649" w14:textId="77777777" w:rsidR="00683F3F" w:rsidRDefault="00683F3F" w:rsidP="00683F3F">
      <w:pPr>
        <w:pStyle w:val="NoSpacing"/>
      </w:pPr>
      <w:r>
        <w:t xml:space="preserve">To do </w:t>
      </w:r>
      <w:r w:rsidRPr="00683F3F">
        <w:br/>
        <w:t>Determine genome size to ensure feasibility.</w:t>
      </w:r>
    </w:p>
    <w:p w14:paraId="0EC62A64" w14:textId="77777777" w:rsidR="00683F3F" w:rsidRPr="00683F3F" w:rsidRDefault="00683F3F" w:rsidP="00683F3F">
      <w:pPr>
        <w:pStyle w:val="NoSpacing"/>
      </w:pPr>
      <w:r w:rsidRPr="00683F3F">
        <w:t>Extract high-quality, long-fragment DNA with modified protocols.</w:t>
      </w:r>
      <w:r w:rsidRPr="00683F3F">
        <w:br/>
        <w:t>Assess DNA integrity before sequencing.</w:t>
      </w:r>
      <w:r w:rsidRPr="00683F3F">
        <w:br/>
        <w:t xml:space="preserve">Use Oxford Nanopore for long </w:t>
      </w:r>
      <w:proofErr w:type="gramStart"/>
      <w:r w:rsidRPr="00683F3F">
        <w:t>reads, but</w:t>
      </w:r>
      <w:proofErr w:type="gramEnd"/>
      <w:r w:rsidRPr="00683F3F">
        <w:t xml:space="preserve"> consider hybrid assemblies with Illumina for accuracy.</w:t>
      </w:r>
      <w:r w:rsidRPr="00683F3F">
        <w:br/>
        <w:t xml:space="preserve">Address </w:t>
      </w:r>
      <w:proofErr w:type="spellStart"/>
      <w:r w:rsidRPr="00683F3F">
        <w:t>mtDNA</w:t>
      </w:r>
      <w:proofErr w:type="spellEnd"/>
      <w:r w:rsidRPr="00683F3F">
        <w:t xml:space="preserve"> challenges with alternative approaches if needed.</w:t>
      </w:r>
    </w:p>
    <w:p w14:paraId="7EE0F283" w14:textId="77777777" w:rsidR="00683F3F" w:rsidRDefault="00683F3F"/>
    <w:p w14:paraId="41E34671" w14:textId="77777777" w:rsidR="00683F3F" w:rsidRPr="00683F3F" w:rsidRDefault="00683F3F"/>
    <w:p w14:paraId="399B44BC" w14:textId="77777777" w:rsidR="00683F3F" w:rsidRPr="00683F3F" w:rsidRDefault="00683F3F" w:rsidP="00683F3F">
      <w:r w:rsidRPr="00683F3F">
        <w:t>Whole Genome Sequencing (WGS) of Bryozoan and Hydrozoan Species Using Oxford Nanopore</w:t>
      </w:r>
    </w:p>
    <w:p w14:paraId="14A8B2DF" w14:textId="77777777" w:rsidR="00683F3F" w:rsidRPr="00683F3F" w:rsidRDefault="00683F3F" w:rsidP="00683F3F">
      <w:r w:rsidRPr="00683F3F">
        <w:t>1. Genome Size Assessment</w:t>
      </w:r>
    </w:p>
    <w:p w14:paraId="26E2CEEF" w14:textId="77777777" w:rsidR="00683F3F" w:rsidRPr="00683F3F" w:rsidRDefault="00683F3F" w:rsidP="00683F3F">
      <w:r w:rsidRPr="00683F3F">
        <w:t>Before proceeding with sequencing, it is essential to determine the genome size of each species. This helps in:</w:t>
      </w:r>
    </w:p>
    <w:p w14:paraId="662969F5" w14:textId="77777777" w:rsidR="00683F3F" w:rsidRPr="00683F3F" w:rsidRDefault="00683F3F" w:rsidP="00683F3F">
      <w:pPr>
        <w:numPr>
          <w:ilvl w:val="0"/>
          <w:numId w:val="1"/>
        </w:numPr>
      </w:pPr>
      <w:r w:rsidRPr="00683F3F">
        <w:t>Assessing feasibility – Some genomes may be too large for efficient sequencing with Oxford Nanopore.</w:t>
      </w:r>
    </w:p>
    <w:p w14:paraId="5DD2D29D" w14:textId="77777777" w:rsidR="00683F3F" w:rsidRPr="00683F3F" w:rsidRDefault="00683F3F" w:rsidP="00683F3F">
      <w:pPr>
        <w:numPr>
          <w:ilvl w:val="0"/>
          <w:numId w:val="1"/>
        </w:numPr>
      </w:pPr>
      <w:r w:rsidRPr="00683F3F">
        <w:t>Estimating sequencing depth – Larger genomes require more sequencing data to achieve sufficient coverage.</w:t>
      </w:r>
    </w:p>
    <w:p w14:paraId="7BE6BF7A" w14:textId="77777777" w:rsidR="00683F3F" w:rsidRPr="00683F3F" w:rsidRDefault="00683F3F" w:rsidP="00683F3F">
      <w:pPr>
        <w:numPr>
          <w:ilvl w:val="0"/>
          <w:numId w:val="1"/>
        </w:numPr>
      </w:pPr>
      <w:r w:rsidRPr="00683F3F">
        <w:t>Planning data storage &amp; analysis – Larger datasets require more computational power for assembly and analysis.</w:t>
      </w:r>
    </w:p>
    <w:p w14:paraId="5E4CA17B" w14:textId="77777777" w:rsidR="00683F3F" w:rsidRPr="00683F3F" w:rsidRDefault="00683F3F" w:rsidP="00683F3F">
      <w:r w:rsidRPr="00683F3F">
        <w:t>Genome size can be estimated using flow cytometry, k-</w:t>
      </w:r>
      <w:proofErr w:type="spellStart"/>
      <w:r w:rsidRPr="00683F3F">
        <w:t>mer</w:t>
      </w:r>
      <w:proofErr w:type="spellEnd"/>
      <w:r w:rsidRPr="00683F3F">
        <w:t xml:space="preserve"> analysis from short-read sequencing, or Feulgen staining.</w:t>
      </w:r>
    </w:p>
    <w:p w14:paraId="3CDBD6C2" w14:textId="77777777" w:rsidR="00683F3F" w:rsidRPr="00683F3F" w:rsidRDefault="00683F3F" w:rsidP="00683F3F">
      <w:r w:rsidRPr="00683F3F">
        <w:pict w14:anchorId="054C7E55">
          <v:rect id="_x0000_i1074" style="width:0;height:1.5pt" o:hralign="center" o:hrstd="t" o:hr="t" fillcolor="#a0a0a0" stroked="f"/>
        </w:pict>
      </w:r>
    </w:p>
    <w:p w14:paraId="58CA999B" w14:textId="77777777" w:rsidR="00683F3F" w:rsidRPr="00683F3F" w:rsidRDefault="00683F3F" w:rsidP="00683F3F">
      <w:r w:rsidRPr="00683F3F">
        <w:t>2. DNA Quality and Fragment Length</w:t>
      </w:r>
    </w:p>
    <w:p w14:paraId="6F73B3EF" w14:textId="77777777" w:rsidR="00683F3F" w:rsidRPr="00683F3F" w:rsidRDefault="00683F3F" w:rsidP="00683F3F">
      <w:r w:rsidRPr="00683F3F">
        <w:t>Oxford Nanopore sequencing relies on long-read sequencing technology, meaning that the quality and length of input DNA are critical. High molecular weight (HMW) DNA is essential because:</w:t>
      </w:r>
    </w:p>
    <w:p w14:paraId="44CAD5DB" w14:textId="77777777" w:rsidR="00683F3F" w:rsidRPr="00683F3F" w:rsidRDefault="00683F3F" w:rsidP="00683F3F">
      <w:pPr>
        <w:numPr>
          <w:ilvl w:val="0"/>
          <w:numId w:val="2"/>
        </w:numPr>
      </w:pPr>
      <w:r w:rsidRPr="00683F3F">
        <w:t>Longer fragments improve assembly accuracy and allow sequencing through repetitive or complex regions.</w:t>
      </w:r>
    </w:p>
    <w:p w14:paraId="347AFA1E" w14:textId="77777777" w:rsidR="00683F3F" w:rsidRPr="00683F3F" w:rsidRDefault="00683F3F" w:rsidP="00683F3F">
      <w:pPr>
        <w:numPr>
          <w:ilvl w:val="0"/>
          <w:numId w:val="2"/>
        </w:numPr>
      </w:pPr>
      <w:r w:rsidRPr="00683F3F">
        <w:t>Highly fragmented DNA reduces read length and impacts the ability to generate contiguous genome assemblies.</w:t>
      </w:r>
    </w:p>
    <w:p w14:paraId="6CDA1648" w14:textId="77777777" w:rsidR="00683F3F" w:rsidRPr="00683F3F" w:rsidRDefault="00683F3F" w:rsidP="00683F3F">
      <w:pPr>
        <w:numPr>
          <w:ilvl w:val="0"/>
          <w:numId w:val="2"/>
        </w:numPr>
      </w:pPr>
      <w:r w:rsidRPr="00683F3F">
        <w:t xml:space="preserve">Heterogeneous species (those with significant genetic variation) can complicate genome assembly due to mixed haplotypes, making high-quality, </w:t>
      </w:r>
      <w:proofErr w:type="gramStart"/>
      <w:r w:rsidRPr="00683F3F">
        <w:t>high-coverage</w:t>
      </w:r>
      <w:proofErr w:type="gramEnd"/>
      <w:r w:rsidRPr="00683F3F">
        <w:t xml:space="preserve"> sequencing even more important.</w:t>
      </w:r>
    </w:p>
    <w:p w14:paraId="0595A9A4" w14:textId="77777777" w:rsidR="00683F3F" w:rsidRPr="00683F3F" w:rsidRDefault="00683F3F" w:rsidP="00683F3F">
      <w:r w:rsidRPr="00683F3F">
        <w:lastRenderedPageBreak/>
        <w:t>Clonal sequencing (using clones of the same DNA) is preferable because it eliminates genetic variability, making assembly easier and more reliable.</w:t>
      </w:r>
    </w:p>
    <w:p w14:paraId="5999B831" w14:textId="77777777" w:rsidR="00683F3F" w:rsidRPr="00683F3F" w:rsidRDefault="00683F3F" w:rsidP="00683F3F">
      <w:r w:rsidRPr="00683F3F">
        <w:pict w14:anchorId="629744BD">
          <v:rect id="_x0000_i1075" style="width:0;height:1.5pt" o:hralign="center" o:hrstd="t" o:hr="t" fillcolor="#a0a0a0" stroked="f"/>
        </w:pict>
      </w:r>
    </w:p>
    <w:p w14:paraId="793C11CE" w14:textId="77777777" w:rsidR="00683F3F" w:rsidRPr="00683F3F" w:rsidRDefault="00683F3F" w:rsidP="00683F3F">
      <w:r w:rsidRPr="00683F3F">
        <w:t>3. Assessing DNA Fragment Size and Quality</w:t>
      </w:r>
    </w:p>
    <w:p w14:paraId="1083FC28" w14:textId="77777777" w:rsidR="00683F3F" w:rsidRPr="00683F3F" w:rsidRDefault="00683F3F" w:rsidP="00683F3F">
      <w:r w:rsidRPr="00683F3F">
        <w:t>To determine whether extracted DNA is suitable for sequencing, various techniques should be used:</w:t>
      </w:r>
    </w:p>
    <w:p w14:paraId="326D48CC" w14:textId="77777777" w:rsidR="00683F3F" w:rsidRPr="00683F3F" w:rsidRDefault="00683F3F" w:rsidP="00683F3F">
      <w:pPr>
        <w:numPr>
          <w:ilvl w:val="0"/>
          <w:numId w:val="3"/>
        </w:numPr>
      </w:pPr>
      <w:r w:rsidRPr="00683F3F">
        <w:t>Capillary electrophoresis (e.g., Bioanalyzer, Fragment Analyzer) – Provides an accurate fragment size distribution.</w:t>
      </w:r>
    </w:p>
    <w:p w14:paraId="258E91C7" w14:textId="77777777" w:rsidR="00683F3F" w:rsidRPr="00683F3F" w:rsidRDefault="00683F3F" w:rsidP="00683F3F">
      <w:pPr>
        <w:numPr>
          <w:ilvl w:val="0"/>
          <w:numId w:val="3"/>
        </w:numPr>
      </w:pPr>
      <w:proofErr w:type="spellStart"/>
      <w:r w:rsidRPr="00683F3F">
        <w:t>TapeStation</w:t>
      </w:r>
      <w:proofErr w:type="spellEnd"/>
      <w:r w:rsidRPr="00683F3F">
        <w:t xml:space="preserve"> – Assesses if DNA is fragmented or intact.</w:t>
      </w:r>
    </w:p>
    <w:p w14:paraId="697B46B3" w14:textId="77777777" w:rsidR="00683F3F" w:rsidRPr="00683F3F" w:rsidRDefault="00683F3F" w:rsidP="00683F3F">
      <w:pPr>
        <w:numPr>
          <w:ilvl w:val="0"/>
          <w:numId w:val="3"/>
        </w:numPr>
      </w:pPr>
      <w:r w:rsidRPr="00683F3F">
        <w:t xml:space="preserve">Qubit Fluorometry – Measures DNA concentration without being affected by </w:t>
      </w:r>
      <w:proofErr w:type="gramStart"/>
      <w:r w:rsidRPr="00683F3F">
        <w:t>small degraded</w:t>
      </w:r>
      <w:proofErr w:type="gramEnd"/>
      <w:r w:rsidRPr="00683F3F">
        <w:t xml:space="preserve"> fragments (unlike Nanodrop).</w:t>
      </w:r>
    </w:p>
    <w:p w14:paraId="39541ED7" w14:textId="77777777" w:rsidR="00683F3F" w:rsidRPr="00683F3F" w:rsidRDefault="00683F3F" w:rsidP="00683F3F">
      <w:pPr>
        <w:numPr>
          <w:ilvl w:val="0"/>
          <w:numId w:val="3"/>
        </w:numPr>
      </w:pPr>
      <w:r w:rsidRPr="00683F3F">
        <w:t>Nanodrop Spectrophotometry – Assesses purity (260/280 and 260/230 ratios) but is unreliable for quantification.</w:t>
      </w:r>
    </w:p>
    <w:p w14:paraId="6B2FE177" w14:textId="77777777" w:rsidR="00683F3F" w:rsidRPr="00683F3F" w:rsidRDefault="00683F3F" w:rsidP="00683F3F">
      <w:r w:rsidRPr="00683F3F">
        <w:t>For long-read sequencing, DNA should ideally have a fragment size &gt;50 kb, with N50 values &gt;30 kb being desirable.</w:t>
      </w:r>
    </w:p>
    <w:p w14:paraId="26E97763" w14:textId="77777777" w:rsidR="00683F3F" w:rsidRPr="00683F3F" w:rsidRDefault="00683F3F" w:rsidP="00683F3F">
      <w:r w:rsidRPr="00683F3F">
        <w:pict w14:anchorId="6034F9E6">
          <v:rect id="_x0000_i1076" style="width:0;height:1.5pt" o:hralign="center" o:hrstd="t" o:hr="t" fillcolor="#a0a0a0" stroked="f"/>
        </w:pict>
      </w:r>
    </w:p>
    <w:p w14:paraId="6595CCD5" w14:textId="77777777" w:rsidR="00683F3F" w:rsidRPr="00683F3F" w:rsidRDefault="00683F3F" w:rsidP="00683F3F">
      <w:r w:rsidRPr="00683F3F">
        <w:t>4. DNA Extraction and Optimization</w:t>
      </w:r>
    </w:p>
    <w:p w14:paraId="3EDFE63D" w14:textId="77777777" w:rsidR="00683F3F" w:rsidRPr="00683F3F" w:rsidRDefault="00683F3F" w:rsidP="00683F3F">
      <w:r w:rsidRPr="00683F3F">
        <w:t xml:space="preserve">DNA extraction using the </w:t>
      </w:r>
      <w:proofErr w:type="spellStart"/>
      <w:r w:rsidRPr="00683F3F">
        <w:t>DNeasy</w:t>
      </w:r>
      <w:proofErr w:type="spellEnd"/>
      <w:r w:rsidRPr="00683F3F">
        <w:t xml:space="preserve"> Qiagen Blood &amp; Tissue Kit requires modifications to preserve long fragments and improve sequencing performance:</w:t>
      </w:r>
    </w:p>
    <w:p w14:paraId="2E908A5A" w14:textId="77777777" w:rsidR="00683F3F" w:rsidRPr="00683F3F" w:rsidRDefault="00683F3F" w:rsidP="00683F3F">
      <w:pPr>
        <w:numPr>
          <w:ilvl w:val="0"/>
          <w:numId w:val="4"/>
        </w:numPr>
      </w:pPr>
      <w:r w:rsidRPr="00683F3F">
        <w:t>Buffer Modification – Use TE buffer instead of the standard elution buffer to protect DNA from degradation.</w:t>
      </w:r>
    </w:p>
    <w:p w14:paraId="7A187084" w14:textId="77777777" w:rsidR="00683F3F" w:rsidRPr="00683F3F" w:rsidRDefault="00683F3F" w:rsidP="00683F3F">
      <w:pPr>
        <w:numPr>
          <w:ilvl w:val="0"/>
          <w:numId w:val="4"/>
        </w:numPr>
      </w:pPr>
      <w:r w:rsidRPr="00683F3F">
        <w:t xml:space="preserve">Minimizing Shear Forces – Avoid </w:t>
      </w:r>
      <w:proofErr w:type="spellStart"/>
      <w:r w:rsidRPr="00683F3F">
        <w:t>vortexing</w:t>
      </w:r>
      <w:proofErr w:type="spellEnd"/>
      <w:r w:rsidRPr="00683F3F">
        <w:t>, bead beating, and high-speed pipetting to prevent fragmentation.</w:t>
      </w:r>
    </w:p>
    <w:p w14:paraId="16A15F48" w14:textId="77777777" w:rsidR="00683F3F" w:rsidRPr="00683F3F" w:rsidRDefault="00683F3F" w:rsidP="00683F3F">
      <w:pPr>
        <w:numPr>
          <w:ilvl w:val="0"/>
          <w:numId w:val="4"/>
        </w:numPr>
      </w:pPr>
      <w:r w:rsidRPr="00683F3F">
        <w:t>Pre-heating Filtration Tubes – Warming to 37°C before final extraction can improve elution efficiency without breaking DNA strands.</w:t>
      </w:r>
    </w:p>
    <w:p w14:paraId="47D11337" w14:textId="77777777" w:rsidR="00683F3F" w:rsidRPr="00683F3F" w:rsidRDefault="00683F3F" w:rsidP="00683F3F">
      <w:pPr>
        <w:numPr>
          <w:ilvl w:val="0"/>
          <w:numId w:val="4"/>
        </w:numPr>
      </w:pPr>
      <w:r w:rsidRPr="00683F3F">
        <w:t>Optional: Phenol-Chloroform Extraction – Can be used for higher-purity, ultra-HMW DNA but requires additional handling.</w:t>
      </w:r>
    </w:p>
    <w:p w14:paraId="3ADAF874" w14:textId="77777777" w:rsidR="00683F3F" w:rsidRPr="00683F3F" w:rsidRDefault="00683F3F" w:rsidP="00683F3F">
      <w:r w:rsidRPr="00683F3F">
        <w:t>Additional considerations:</w:t>
      </w:r>
    </w:p>
    <w:p w14:paraId="7D7A3AF3" w14:textId="77777777" w:rsidR="00683F3F" w:rsidRPr="00683F3F" w:rsidRDefault="00683F3F" w:rsidP="00683F3F">
      <w:pPr>
        <w:numPr>
          <w:ilvl w:val="0"/>
          <w:numId w:val="5"/>
        </w:numPr>
      </w:pPr>
      <w:r w:rsidRPr="00683F3F">
        <w:t>Using agarose gel size selection can remove small fragments before sequencing.</w:t>
      </w:r>
    </w:p>
    <w:p w14:paraId="5534810D" w14:textId="77777777" w:rsidR="00683F3F" w:rsidRPr="00683F3F" w:rsidRDefault="00683F3F" w:rsidP="00683F3F">
      <w:pPr>
        <w:numPr>
          <w:ilvl w:val="0"/>
          <w:numId w:val="5"/>
        </w:numPr>
      </w:pPr>
      <w:r w:rsidRPr="00683F3F">
        <w:t>Enzymatic cleanup (e.g., RNase treatment) removes unwanted RNA contamination.</w:t>
      </w:r>
    </w:p>
    <w:p w14:paraId="5A47A477" w14:textId="77777777" w:rsidR="00683F3F" w:rsidRPr="00683F3F" w:rsidRDefault="00683F3F" w:rsidP="00683F3F">
      <w:r w:rsidRPr="00683F3F">
        <w:pict w14:anchorId="6B63D454">
          <v:rect id="_x0000_i1077" style="width:0;height:1.5pt" o:hralign="center" o:hrstd="t" o:hr="t" fillcolor="#a0a0a0" stroked="f"/>
        </w:pict>
      </w:r>
    </w:p>
    <w:p w14:paraId="097D53C8" w14:textId="77777777" w:rsidR="00683F3F" w:rsidRPr="00683F3F" w:rsidRDefault="00683F3F" w:rsidP="00683F3F">
      <w:r w:rsidRPr="00683F3F">
        <w:t>5. Oxford Nanopore Sequencing Workflow</w:t>
      </w:r>
    </w:p>
    <w:p w14:paraId="2803DE5F" w14:textId="77777777" w:rsidR="00683F3F" w:rsidRPr="00683F3F" w:rsidRDefault="00683F3F" w:rsidP="00683F3F">
      <w:r w:rsidRPr="00683F3F">
        <w:t>Once high-quality DNA is obtained, the Oxford Nanopore sequencing process follows these steps:</w:t>
      </w:r>
    </w:p>
    <w:p w14:paraId="3776BDA0" w14:textId="77777777" w:rsidR="00683F3F" w:rsidRPr="00683F3F" w:rsidRDefault="00683F3F" w:rsidP="00683F3F">
      <w:pPr>
        <w:numPr>
          <w:ilvl w:val="0"/>
          <w:numId w:val="6"/>
        </w:numPr>
      </w:pPr>
      <w:r w:rsidRPr="00683F3F">
        <w:t>Library Preparation – Requires minimal fragmentation and ligation of adapters for compatibility with the flow cell.</w:t>
      </w:r>
    </w:p>
    <w:p w14:paraId="6155782B" w14:textId="77777777" w:rsidR="00683F3F" w:rsidRPr="00683F3F" w:rsidRDefault="00683F3F" w:rsidP="00683F3F">
      <w:pPr>
        <w:numPr>
          <w:ilvl w:val="0"/>
          <w:numId w:val="6"/>
        </w:numPr>
      </w:pPr>
      <w:r w:rsidRPr="00683F3F">
        <w:lastRenderedPageBreak/>
        <w:t>Loading onto a Flow Cell – Read length and throughput depend on pore occupancy and DNA integrity.</w:t>
      </w:r>
    </w:p>
    <w:p w14:paraId="26EFE9AE" w14:textId="77777777" w:rsidR="00683F3F" w:rsidRPr="00683F3F" w:rsidRDefault="00683F3F" w:rsidP="00683F3F">
      <w:pPr>
        <w:numPr>
          <w:ilvl w:val="0"/>
          <w:numId w:val="6"/>
        </w:numPr>
      </w:pPr>
      <w:r w:rsidRPr="00683F3F">
        <w:t>Real-Time Sequencing – Can last from one day to a week, depending on sequencing goals and quality.</w:t>
      </w:r>
    </w:p>
    <w:p w14:paraId="5CE48CCE" w14:textId="77777777" w:rsidR="00683F3F" w:rsidRPr="00683F3F" w:rsidRDefault="00683F3F" w:rsidP="00683F3F">
      <w:pPr>
        <w:numPr>
          <w:ilvl w:val="0"/>
          <w:numId w:val="6"/>
        </w:numPr>
      </w:pPr>
      <w:proofErr w:type="spellStart"/>
      <w:r w:rsidRPr="00683F3F">
        <w:t>Basecalling</w:t>
      </w:r>
      <w:proofErr w:type="spellEnd"/>
      <w:r w:rsidRPr="00683F3F">
        <w:t xml:space="preserve"> &amp; Quality Control – Using Guppy or ONT’s Bonito </w:t>
      </w:r>
      <w:proofErr w:type="spellStart"/>
      <w:r w:rsidRPr="00683F3F">
        <w:t>basecaller</w:t>
      </w:r>
      <w:proofErr w:type="spellEnd"/>
      <w:r w:rsidRPr="00683F3F">
        <w:t xml:space="preserve"> for improved accuracy.</w:t>
      </w:r>
    </w:p>
    <w:p w14:paraId="46FA9772" w14:textId="77777777" w:rsidR="00683F3F" w:rsidRPr="00683F3F" w:rsidRDefault="00683F3F" w:rsidP="00683F3F">
      <w:pPr>
        <w:numPr>
          <w:ilvl w:val="0"/>
          <w:numId w:val="6"/>
        </w:numPr>
      </w:pPr>
      <w:r w:rsidRPr="00683F3F">
        <w:t>Assembly &amp; Error Correction – Hybrid assemblies (Nanopore + Illumina) improve accuracy, reducing high Nanopore error rates.</w:t>
      </w:r>
    </w:p>
    <w:p w14:paraId="1690DDBD" w14:textId="77777777" w:rsidR="00683F3F" w:rsidRPr="00683F3F" w:rsidRDefault="00683F3F" w:rsidP="00683F3F">
      <w:r w:rsidRPr="00683F3F">
        <w:t>Common challenges:</w:t>
      </w:r>
    </w:p>
    <w:p w14:paraId="4E974FA9" w14:textId="77777777" w:rsidR="00683F3F" w:rsidRPr="00683F3F" w:rsidRDefault="00683F3F" w:rsidP="00683F3F">
      <w:pPr>
        <w:numPr>
          <w:ilvl w:val="0"/>
          <w:numId w:val="7"/>
        </w:numPr>
      </w:pPr>
      <w:r w:rsidRPr="00683F3F">
        <w:t>Flow cell clogging – Due to DNA shearing or contaminants.</w:t>
      </w:r>
    </w:p>
    <w:p w14:paraId="1DD7E27C" w14:textId="77777777" w:rsidR="00683F3F" w:rsidRPr="00683F3F" w:rsidRDefault="00683F3F" w:rsidP="00683F3F">
      <w:pPr>
        <w:numPr>
          <w:ilvl w:val="0"/>
          <w:numId w:val="7"/>
        </w:numPr>
      </w:pPr>
      <w:r w:rsidRPr="00683F3F">
        <w:t>Read quality variability – Especially for repetitive or GC-rich regions.</w:t>
      </w:r>
    </w:p>
    <w:p w14:paraId="7E186B96" w14:textId="77777777" w:rsidR="00683F3F" w:rsidRPr="00683F3F" w:rsidRDefault="00683F3F" w:rsidP="00683F3F">
      <w:pPr>
        <w:numPr>
          <w:ilvl w:val="0"/>
          <w:numId w:val="7"/>
        </w:numPr>
      </w:pPr>
      <w:proofErr w:type="spellStart"/>
      <w:r w:rsidRPr="00683F3F">
        <w:t>Basecalling</w:t>
      </w:r>
      <w:proofErr w:type="spellEnd"/>
      <w:r w:rsidRPr="00683F3F">
        <w:t xml:space="preserve"> accuracy – Current improvements in ONT chemistry and AI-based </w:t>
      </w:r>
      <w:proofErr w:type="spellStart"/>
      <w:r w:rsidRPr="00683F3F">
        <w:t>basecalling</w:t>
      </w:r>
      <w:proofErr w:type="spellEnd"/>
      <w:r w:rsidRPr="00683F3F">
        <w:t xml:space="preserve"> are addressing this issue.</w:t>
      </w:r>
    </w:p>
    <w:p w14:paraId="09E450B5" w14:textId="77777777" w:rsidR="00683F3F" w:rsidRPr="00683F3F" w:rsidRDefault="00683F3F" w:rsidP="00683F3F">
      <w:r w:rsidRPr="00683F3F">
        <w:pict w14:anchorId="6FD58A4E">
          <v:rect id="_x0000_i1078" style="width:0;height:1.5pt" o:hralign="center" o:hrstd="t" o:hr="t" fillcolor="#a0a0a0" stroked="f"/>
        </w:pict>
      </w:r>
    </w:p>
    <w:p w14:paraId="16F8E2EF" w14:textId="77777777" w:rsidR="00683F3F" w:rsidRPr="00683F3F" w:rsidRDefault="00683F3F" w:rsidP="00683F3F">
      <w:r w:rsidRPr="00683F3F">
        <w:t>6. Mitochondrial DNA (</w:t>
      </w:r>
      <w:proofErr w:type="spellStart"/>
      <w:r w:rsidRPr="00683F3F">
        <w:t>mtDNA</w:t>
      </w:r>
      <w:proofErr w:type="spellEnd"/>
      <w:r w:rsidRPr="00683F3F">
        <w:t>) Considerations</w:t>
      </w:r>
    </w:p>
    <w:p w14:paraId="6526A09F" w14:textId="77777777" w:rsidR="00683F3F" w:rsidRPr="00683F3F" w:rsidRDefault="00683F3F" w:rsidP="00683F3F">
      <w:r w:rsidRPr="00683F3F">
        <w:t xml:space="preserve">One key consideration is whether the </w:t>
      </w:r>
      <w:proofErr w:type="spellStart"/>
      <w:r w:rsidRPr="00683F3F">
        <w:t>mtDNA</w:t>
      </w:r>
      <w:proofErr w:type="spellEnd"/>
      <w:r w:rsidRPr="00683F3F">
        <w:t xml:space="preserve"> is being properly captured during sequencing.</w:t>
      </w:r>
    </w:p>
    <w:p w14:paraId="15ECDDA3" w14:textId="77777777" w:rsidR="00683F3F" w:rsidRPr="00683F3F" w:rsidRDefault="00683F3F" w:rsidP="00683F3F">
      <w:pPr>
        <w:numPr>
          <w:ilvl w:val="0"/>
          <w:numId w:val="8"/>
        </w:numPr>
      </w:pPr>
      <w:proofErr w:type="spellStart"/>
      <w:r w:rsidRPr="00683F3F">
        <w:t>mtDNA</w:t>
      </w:r>
      <w:proofErr w:type="spellEnd"/>
      <w:r w:rsidRPr="00683F3F">
        <w:t xml:space="preserve"> is typically smaller (16-30 kb) and circular, making it less likely to be enriched in long-read libraries.</w:t>
      </w:r>
    </w:p>
    <w:p w14:paraId="3AFF82F1" w14:textId="77777777" w:rsidR="00683F3F" w:rsidRPr="00683F3F" w:rsidRDefault="00683F3F" w:rsidP="00683F3F">
      <w:pPr>
        <w:numPr>
          <w:ilvl w:val="0"/>
          <w:numId w:val="8"/>
        </w:numPr>
      </w:pPr>
      <w:r w:rsidRPr="00683F3F">
        <w:t xml:space="preserve">If targeting </w:t>
      </w:r>
      <w:proofErr w:type="spellStart"/>
      <w:r w:rsidRPr="00683F3F">
        <w:t>mtDNA</w:t>
      </w:r>
      <w:proofErr w:type="spellEnd"/>
      <w:r w:rsidRPr="00683F3F">
        <w:t xml:space="preserve"> specifically, alternative approaches may be needed:</w:t>
      </w:r>
    </w:p>
    <w:p w14:paraId="774F3163" w14:textId="77777777" w:rsidR="00683F3F" w:rsidRPr="00683F3F" w:rsidRDefault="00683F3F" w:rsidP="00683F3F">
      <w:pPr>
        <w:numPr>
          <w:ilvl w:val="1"/>
          <w:numId w:val="8"/>
        </w:numPr>
      </w:pPr>
      <w:r w:rsidRPr="00683F3F">
        <w:t xml:space="preserve">Long-range PCR before WGS to amplify </w:t>
      </w:r>
      <w:proofErr w:type="spellStart"/>
      <w:r w:rsidRPr="00683F3F">
        <w:t>mtDNA</w:t>
      </w:r>
      <w:proofErr w:type="spellEnd"/>
      <w:r w:rsidRPr="00683F3F">
        <w:t>.</w:t>
      </w:r>
    </w:p>
    <w:p w14:paraId="34269B00" w14:textId="77777777" w:rsidR="00683F3F" w:rsidRPr="00683F3F" w:rsidRDefault="00683F3F" w:rsidP="00683F3F">
      <w:pPr>
        <w:numPr>
          <w:ilvl w:val="1"/>
          <w:numId w:val="8"/>
        </w:numPr>
      </w:pPr>
      <w:r w:rsidRPr="00683F3F">
        <w:t xml:space="preserve">Illumina sequencing – More cost-effective for targeted </w:t>
      </w:r>
      <w:proofErr w:type="spellStart"/>
      <w:r w:rsidRPr="00683F3F">
        <w:t>mtDNA</w:t>
      </w:r>
      <w:proofErr w:type="spellEnd"/>
      <w:r w:rsidRPr="00683F3F">
        <w:t xml:space="preserve"> sequencing.</w:t>
      </w:r>
    </w:p>
    <w:p w14:paraId="4815288A" w14:textId="77777777" w:rsidR="00683F3F" w:rsidRPr="00683F3F" w:rsidRDefault="00683F3F" w:rsidP="00683F3F">
      <w:r w:rsidRPr="00683F3F">
        <w:t xml:space="preserve">For environmental DNA (eDNA) studies, designing WGS-compatible primers to target mitochondrial regions can be challenging, as Oxford Nanopore may not consistently capture </w:t>
      </w:r>
      <w:proofErr w:type="spellStart"/>
      <w:r w:rsidRPr="00683F3F">
        <w:t>mtDNA</w:t>
      </w:r>
      <w:proofErr w:type="spellEnd"/>
      <w:r w:rsidRPr="00683F3F">
        <w:t xml:space="preserve"> due to fragmentation biases.</w:t>
      </w:r>
    </w:p>
    <w:p w14:paraId="6EC1124B" w14:textId="77777777" w:rsidR="00683F3F" w:rsidRPr="00683F3F" w:rsidRDefault="00683F3F" w:rsidP="00683F3F">
      <w:r w:rsidRPr="00683F3F">
        <w:pict w14:anchorId="6E27D2D6">
          <v:rect id="_x0000_i1079" style="width:0;height:1.5pt" o:hralign="center" o:hrstd="t" o:hr="t" fillcolor="#a0a0a0" stroked="f"/>
        </w:pict>
      </w:r>
    </w:p>
    <w:p w14:paraId="7FE7B11E" w14:textId="77777777" w:rsidR="00683F3F" w:rsidRPr="00683F3F" w:rsidRDefault="00683F3F" w:rsidP="00683F3F">
      <w:r w:rsidRPr="00683F3F">
        <w:t>7. Alternative Approaches</w:t>
      </w:r>
    </w:p>
    <w:p w14:paraId="7682BF0F" w14:textId="77777777" w:rsidR="00683F3F" w:rsidRPr="00683F3F" w:rsidRDefault="00683F3F" w:rsidP="00683F3F">
      <w:pPr>
        <w:numPr>
          <w:ilvl w:val="0"/>
          <w:numId w:val="9"/>
        </w:numPr>
      </w:pPr>
      <w:r w:rsidRPr="00683F3F">
        <w:t>Illumina short-read sequencing can complement Nanopore for hybrid assemblies and improve accuracy.</w:t>
      </w:r>
    </w:p>
    <w:p w14:paraId="10E8A9B3" w14:textId="77777777" w:rsidR="00683F3F" w:rsidRPr="00683F3F" w:rsidRDefault="00683F3F" w:rsidP="00683F3F">
      <w:pPr>
        <w:numPr>
          <w:ilvl w:val="0"/>
          <w:numId w:val="9"/>
        </w:numPr>
      </w:pPr>
      <w:r w:rsidRPr="00683F3F">
        <w:t>PacBio HiFi sequencing may offer higher accuracy for difficult genomes but is more expensive.</w:t>
      </w:r>
    </w:p>
    <w:p w14:paraId="48C2E642" w14:textId="77777777" w:rsidR="00683F3F" w:rsidRPr="00683F3F" w:rsidRDefault="00683F3F" w:rsidP="00683F3F">
      <w:pPr>
        <w:numPr>
          <w:ilvl w:val="0"/>
          <w:numId w:val="9"/>
        </w:numPr>
      </w:pPr>
      <w:r w:rsidRPr="00683F3F">
        <w:t>Targeted enrichment (e.g., Cas9-based enrichment) can selectively sequence mitochondrial or specific genomic regions.</w:t>
      </w:r>
    </w:p>
    <w:p w14:paraId="195E021A" w14:textId="27D79562" w:rsidR="00683F3F" w:rsidRPr="00683F3F" w:rsidRDefault="00683F3F"/>
    <w:sectPr w:rsidR="00683F3F" w:rsidRPr="00683F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22291"/>
    <w:multiLevelType w:val="multilevel"/>
    <w:tmpl w:val="B55C0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0B79E1"/>
    <w:multiLevelType w:val="multilevel"/>
    <w:tmpl w:val="FBDCC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683077"/>
    <w:multiLevelType w:val="multilevel"/>
    <w:tmpl w:val="21366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F25E56"/>
    <w:multiLevelType w:val="hybridMultilevel"/>
    <w:tmpl w:val="B6A44F80"/>
    <w:lvl w:ilvl="0" w:tplc="B69882D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93315C"/>
    <w:multiLevelType w:val="multilevel"/>
    <w:tmpl w:val="AFFAA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896DAE"/>
    <w:multiLevelType w:val="multilevel"/>
    <w:tmpl w:val="19B233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0C91DFB"/>
    <w:multiLevelType w:val="multilevel"/>
    <w:tmpl w:val="C1A67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6B0CA1"/>
    <w:multiLevelType w:val="multilevel"/>
    <w:tmpl w:val="5C4EB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5E73CD"/>
    <w:multiLevelType w:val="multilevel"/>
    <w:tmpl w:val="95E61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566118"/>
    <w:multiLevelType w:val="multilevel"/>
    <w:tmpl w:val="478A1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2939000">
    <w:abstractNumId w:val="7"/>
  </w:num>
  <w:num w:numId="2" w16cid:durableId="1249927237">
    <w:abstractNumId w:val="2"/>
  </w:num>
  <w:num w:numId="3" w16cid:durableId="1716351484">
    <w:abstractNumId w:val="9"/>
  </w:num>
  <w:num w:numId="4" w16cid:durableId="353655024">
    <w:abstractNumId w:val="4"/>
  </w:num>
  <w:num w:numId="5" w16cid:durableId="2132087786">
    <w:abstractNumId w:val="6"/>
  </w:num>
  <w:num w:numId="6" w16cid:durableId="574050295">
    <w:abstractNumId w:val="5"/>
  </w:num>
  <w:num w:numId="7" w16cid:durableId="1955473879">
    <w:abstractNumId w:val="0"/>
  </w:num>
  <w:num w:numId="8" w16cid:durableId="722024678">
    <w:abstractNumId w:val="8"/>
  </w:num>
  <w:num w:numId="9" w16cid:durableId="1133064583">
    <w:abstractNumId w:val="1"/>
  </w:num>
  <w:num w:numId="10" w16cid:durableId="210456834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F3F"/>
    <w:rsid w:val="005167ED"/>
    <w:rsid w:val="00683F3F"/>
    <w:rsid w:val="00AB482F"/>
    <w:rsid w:val="00C9377B"/>
    <w:rsid w:val="00DC57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5FDBF4"/>
  <w15:chartTrackingRefBased/>
  <w15:docId w15:val="{E28E325F-3EB9-4DAA-9059-F0F3B62B89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3F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3F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3F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3F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3F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3F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3F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3F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3F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3F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3F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3F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3F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3F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3F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3F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3F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3F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3F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3F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3F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3F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3F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3F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3F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3F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3F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3F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3F3F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683F3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6747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811</Words>
  <Characters>4627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Calum Young (PGR)</dc:creator>
  <cp:keywords/>
  <dc:description/>
  <cp:lastModifiedBy>Calum Young (PGR)</cp:lastModifiedBy>
  <cp:revision>1</cp:revision>
  <dcterms:created xsi:type="dcterms:W3CDTF">2025-02-25T13:23:00Z</dcterms:created>
  <dcterms:modified xsi:type="dcterms:W3CDTF">2025-02-25T14:03:00Z</dcterms:modified>
</cp:coreProperties>
</file>