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355F" w14:textId="77777777" w:rsidR="00146048" w:rsidRDefault="00146048" w:rsidP="002B0DEA">
      <w:pPr>
        <w:jc w:val="both"/>
        <w:rPr>
          <w:b/>
          <w:bCs/>
        </w:rPr>
      </w:pPr>
      <w:r w:rsidRPr="00146048">
        <w:rPr>
          <w:b/>
          <w:bCs/>
        </w:rPr>
        <w:t>Aligning Molecular and Microscopy Methods for Early Detection of Biofouling of Farmed Seaweed (</w:t>
      </w:r>
      <w:r w:rsidRPr="00146048">
        <w:rPr>
          <w:b/>
          <w:bCs/>
          <w:i/>
          <w:iCs/>
        </w:rPr>
        <w:t xml:space="preserve">Alaria esculenta </w:t>
      </w:r>
      <w:r w:rsidRPr="00146048">
        <w:rPr>
          <w:b/>
          <w:bCs/>
        </w:rPr>
        <w:t xml:space="preserve">and </w:t>
      </w:r>
      <w:r w:rsidRPr="00146048">
        <w:rPr>
          <w:b/>
          <w:bCs/>
          <w:i/>
          <w:iCs/>
        </w:rPr>
        <w:t>Saccharina</w:t>
      </w:r>
      <w:r w:rsidRPr="00146048">
        <w:rPr>
          <w:b/>
          <w:bCs/>
        </w:rPr>
        <w:t xml:space="preserve"> </w:t>
      </w:r>
      <w:r w:rsidRPr="00146048">
        <w:rPr>
          <w:b/>
          <w:bCs/>
          <w:i/>
          <w:iCs/>
        </w:rPr>
        <w:t>latissima</w:t>
      </w:r>
      <w:r w:rsidRPr="00146048">
        <w:rPr>
          <w:b/>
          <w:bCs/>
        </w:rPr>
        <w:t>) </w:t>
      </w:r>
    </w:p>
    <w:p w14:paraId="4656FE89" w14:textId="77777777" w:rsidR="00146048" w:rsidRDefault="00FE4D10" w:rsidP="002B0DEA">
      <w:pPr>
        <w:jc w:val="both"/>
        <w:rPr>
          <w:b/>
          <w:bCs/>
        </w:rPr>
      </w:pPr>
      <w:r w:rsidRPr="739650FC">
        <w:rPr>
          <w:b/>
          <w:bCs/>
        </w:rPr>
        <w:t xml:space="preserve">Calum Young, </w:t>
      </w:r>
      <w:r w:rsidR="3F764EFA" w:rsidRPr="739650FC">
        <w:rPr>
          <w:b/>
          <w:bCs/>
        </w:rPr>
        <w:t xml:space="preserve">Konstantin Chekanov, </w:t>
      </w:r>
      <w:r w:rsidR="4E3F2D30" w:rsidRPr="739650FC">
        <w:rPr>
          <w:b/>
          <w:bCs/>
        </w:rPr>
        <w:t xml:space="preserve">Brendan Robertson, </w:t>
      </w:r>
      <w:r w:rsidRPr="739650FC">
        <w:rPr>
          <w:b/>
          <w:bCs/>
        </w:rPr>
        <w:t xml:space="preserve">Eleni Christoforou, Martin Llewellyn, Maria Alguero-Muniz, Victoria Delannoy, Kayla Orr, Sofie </w:t>
      </w:r>
      <w:proofErr w:type="spellStart"/>
      <w:r w:rsidRPr="739650FC">
        <w:rPr>
          <w:b/>
          <w:bCs/>
        </w:rPr>
        <w:t>Spatharis</w:t>
      </w:r>
      <w:proofErr w:type="spellEnd"/>
    </w:p>
    <w:p w14:paraId="591C98B4" w14:textId="37CCC965" w:rsidR="00BF196D" w:rsidRDefault="00146048" w:rsidP="002B0DEA">
      <w:pPr>
        <w:jc w:val="both"/>
        <w:rPr>
          <w:b/>
          <w:bCs/>
        </w:rPr>
      </w:pPr>
      <w:r>
        <w:rPr>
          <w:b/>
          <w:bCs/>
        </w:rPr>
        <w:t xml:space="preserve">Abstract </w:t>
      </w:r>
    </w:p>
    <w:p w14:paraId="0534C025" w14:textId="77777777" w:rsidR="00146048" w:rsidRPr="00146048" w:rsidRDefault="00146048" w:rsidP="00146048">
      <w:pPr>
        <w:jc w:val="both"/>
      </w:pPr>
      <w:r w:rsidRPr="00146048">
        <w:t>Biofouling by epibiont taxa, including bryozoans, hydrozoans, amphipods, bivalves, and gastropods, is a major constraint to improving the yield and quality of cultivated kelp in the North-East Atlantic. The meroplanktonic larval stages of these groups often precede visible settlement on seaweed blades by weeks to months, creating an opportunity for early intervention if detected promptly. Samples were collected from a site on the Isle of Skye, Scotland which integrated eDNA metabarcoding with plankton and blade microscopy. Targeted COI gene metabarcoding was applied to validate microscopic identifications, enabling direct comparison of detection efficiency, taxonomic resolution, and seasonal concordance between biofouling species monitoring techniques. </w:t>
      </w:r>
    </w:p>
    <w:p w14:paraId="53BC0117" w14:textId="77777777" w:rsidR="00146048" w:rsidRPr="00146048" w:rsidRDefault="00146048" w:rsidP="00146048">
      <w:pPr>
        <w:jc w:val="both"/>
      </w:pPr>
      <w:r w:rsidRPr="00146048">
        <w:t>Molecular and microscopy results showed agreement in detecting key epibiont taxa, while eDNA and microscopy consistently detected epibionts in the meroplankton earlier than those expressed as biofouling on the blades. However, molecular techniques consistently extended and refined observations, providing greater taxonomic resolution of key groups and revealing cryptic or early-stage species that could only be broadly classified by microscopy. eDNA signals for several key fouling taxa often appeared weeks before plankton microscopy detections and up to two months before blade colonisation, clearly illustrating seasonal lags between methods. For example, hydrozoan eDNA peaks in March/April preceded plankton abundance maxima in May/June and peak blade coverage (&gt;85%) by July. Depth-stratified blade surveys showed that tip segments harboured the highest fouling loads, highlighting potentially depth-related settlement preferences. </w:t>
      </w:r>
    </w:p>
    <w:p w14:paraId="6E82AB4A" w14:textId="77777777" w:rsidR="00146048" w:rsidRPr="00146048" w:rsidRDefault="00146048" w:rsidP="00146048">
      <w:pPr>
        <w:jc w:val="both"/>
      </w:pPr>
      <w:r w:rsidRPr="00146048">
        <w:t>These results demonstrate that integrating molecular diagnostics with traditional light microscopy enhances both the sensitivity and specificity of biofouling detection, enabling earlier and more informed farm management decisions. This approach supports the development of predictive biofouling risk frameworks and targeted mitigation strategies, with potential application across the expanding North-East Atlantic kelp aquaculture sector. </w:t>
      </w:r>
    </w:p>
    <w:p w14:paraId="1919AA71" w14:textId="74600982" w:rsidR="00146048" w:rsidRPr="00146048" w:rsidRDefault="00146048" w:rsidP="002B0DEA">
      <w:pPr>
        <w:jc w:val="both"/>
      </w:pPr>
      <w:r w:rsidRPr="00146048">
        <w:rPr>
          <w:b/>
          <w:bCs/>
        </w:rPr>
        <w:t xml:space="preserve">Keywords: </w:t>
      </w:r>
      <w:r w:rsidRPr="00146048">
        <w:t>biofouling, environmental DNA, kelp aquaculture, early warning, epibionts </w:t>
      </w:r>
    </w:p>
    <w:p w14:paraId="49F67C73" w14:textId="77777777" w:rsidR="00146048" w:rsidRDefault="00146048">
      <w:pPr>
        <w:rPr>
          <w:b/>
          <w:bCs/>
        </w:rPr>
      </w:pPr>
      <w:r>
        <w:rPr>
          <w:b/>
          <w:bCs/>
        </w:rPr>
        <w:br w:type="page"/>
      </w:r>
    </w:p>
    <w:p w14:paraId="4E71C3CE" w14:textId="228E58EF" w:rsidR="0098351A" w:rsidRDefault="0098351A" w:rsidP="002B0DEA">
      <w:pPr>
        <w:jc w:val="both"/>
        <w:rPr>
          <w:b/>
          <w:bCs/>
        </w:rPr>
      </w:pPr>
      <w:r w:rsidRPr="0098351A">
        <w:rPr>
          <w:b/>
          <w:bCs/>
        </w:rPr>
        <w:lastRenderedPageBreak/>
        <w:t>Introduction</w:t>
      </w:r>
    </w:p>
    <w:p w14:paraId="57A3915C" w14:textId="647E342D" w:rsidR="005C4792" w:rsidRPr="005C4792" w:rsidRDefault="005C4792" w:rsidP="005C4792">
      <w:pPr>
        <w:jc w:val="both"/>
      </w:pPr>
      <w:r>
        <w:t>Kelp cultivation offers significant potential as a sustainable marine bioresource, capable of advancing global food security</w:t>
      </w:r>
      <w:r w:rsidR="02E399EF">
        <w:t xml:space="preserve"> while</w:t>
      </w:r>
      <w:r>
        <w:t xml:space="preserve"> mitigating climate change and delivering high-value products across medical, agricultural and industrial sectors (Sultana et al., 2023, Jagtap and Meena, 2022, Duarte et al., 2021). Although Asian producers have long dominated global seaweed markets, emerging expansion within regions like the North-East Atlantic demonstrates the rising international interest for macroalgae production (Veenhof et al., 2024, Zhang et al., 2022). Seaweed farming is critical to the EU’s sustainable blue economy which aims to increase production to 8 million tonnes by 2030, creating 85,000 jobs and generating an estimated 9 billion Euros of revenue (</w:t>
      </w:r>
      <w:proofErr w:type="spellStart"/>
      <w:r>
        <w:t>Jueterbock</w:t>
      </w:r>
      <w:proofErr w:type="spellEnd"/>
      <w:r>
        <w:t xml:space="preserve"> et al., 2025). However, there are significant barriers to commercial viability for Europe’s seaweed industry which is predominantly made up of small-scale startups (Addamo et al., 2022). </w:t>
      </w:r>
      <w:r w:rsidR="77FCD7CA">
        <w:t>A major limitation to consistent quality and biomass yield within kelp aquaculture is the biofouling of fronds by epibionts, which typically proliferate during the latter stages of the growing season</w:t>
      </w:r>
      <w:r w:rsidR="7792CCF1">
        <w:t xml:space="preserve"> (</w:t>
      </w:r>
      <w:proofErr w:type="spellStart"/>
      <w:r w:rsidR="7792CCF1">
        <w:t>Visch</w:t>
      </w:r>
      <w:proofErr w:type="spellEnd"/>
      <w:r w:rsidR="7792CCF1">
        <w:t xml:space="preserve"> et al., 2020)</w:t>
      </w:r>
      <w:r w:rsidR="77FCD7CA">
        <w:t>. This late-season colonisation can lead to increased blade fragility, reduced growth, and diminished commercial value of the harvested product (Bannister et al., 2019; Walls et al., 2017).</w:t>
      </w:r>
      <w:r>
        <w:t xml:space="preserve">  </w:t>
      </w:r>
    </w:p>
    <w:p w14:paraId="284A8DB2" w14:textId="494940DC" w:rsidR="005C4792" w:rsidRPr="005C4792" w:rsidRDefault="005C4792" w:rsidP="005C4792">
      <w:pPr>
        <w:jc w:val="both"/>
      </w:pPr>
      <w:r>
        <w:t xml:space="preserve">Biofouling by proliferating epibionts remains a major constraint on the commercial viability of seaweed aquaculture (Bannister et al., 2019). The cold, mesotrophic waters of the North-East Atlantic which are ideal for macroalgal cultivation, also provide optimal conditions for seasonal proliferation of damaging fouling organisms (Forbord et al., 2020). </w:t>
      </w:r>
      <w:r w:rsidR="1064A733">
        <w:t>Main biofouling taxa include</w:t>
      </w:r>
      <w:r>
        <w:t xml:space="preserve"> bryozoans, hydrozoans, gastropods, amphipods, bivalves, tunicates and epiphytic algae, colonize the blades of both wild and farmed </w:t>
      </w:r>
      <w:r w:rsidR="0FBECEAB">
        <w:t>seaweed (</w:t>
      </w:r>
      <w:r>
        <w:t>Matsson et al., 2019). </w:t>
      </w:r>
      <w:r w:rsidR="6F90F780">
        <w:t xml:space="preserve"> </w:t>
      </w:r>
      <w:r>
        <w:t>Fouling organisms compromise host seaweeds in three major ways: through physical damage, physiological disruption, and competition for vital resources (Bannister et al., 2019). Encrusting species such as bryozoans reduce light penetration, hinder nutrient and gas exchange, and block reproductive spore release; factors culminating in tissue necrosis (Walls et al., 2017). Biofouling also reduces frond flexibility</w:t>
      </w:r>
      <w:r w:rsidR="001A2B85">
        <w:t xml:space="preserve"> which </w:t>
      </w:r>
      <w:r>
        <w:t>increas</w:t>
      </w:r>
      <w:r w:rsidR="001A2B85">
        <w:t>es</w:t>
      </w:r>
      <w:r>
        <w:t xml:space="preserve"> hydrodynamic drag</w:t>
      </w:r>
      <w:r w:rsidR="001A2B85">
        <w:t>. This</w:t>
      </w:r>
      <w:r>
        <w:t xml:space="preserve"> lead</w:t>
      </w:r>
      <w:r w:rsidR="001A2B85">
        <w:t>s</w:t>
      </w:r>
      <w:r>
        <w:t xml:space="preserve"> to breakage and detachment in wave-exposed environments, ultimately reducing harvestable biomass (</w:t>
      </w:r>
      <w:proofErr w:type="spellStart"/>
      <w:r>
        <w:t>Krumhansl</w:t>
      </w:r>
      <w:proofErr w:type="spellEnd"/>
      <w:r>
        <w:t xml:space="preserve"> et al., 2011). As infestation severity increases, the quality, taste, and market value of the crop declines</w:t>
      </w:r>
      <w:r w:rsidR="0CF299CD">
        <w:t>.</w:t>
      </w:r>
      <w:r>
        <w:t xml:space="preserve"> </w:t>
      </w:r>
      <w:r w:rsidR="5DD75001">
        <w:t>T</w:t>
      </w:r>
      <w:r>
        <w:t xml:space="preserve">his </w:t>
      </w:r>
      <w:r w:rsidR="5817ACF7">
        <w:t>leads to</w:t>
      </w:r>
      <w:r>
        <w:t xml:space="preserve"> rising processing costs and allergen risks for consumers (Walls et al., 2017; Bannister et al., 2019). To avoid peak biofouling, many farmers are forced to harvest early, sacrificing yield </w:t>
      </w:r>
      <w:r w:rsidR="3BEC6C28">
        <w:t xml:space="preserve">size </w:t>
      </w:r>
      <w:r>
        <w:t>and profitability (</w:t>
      </w:r>
      <w:proofErr w:type="spellStart"/>
      <w:r>
        <w:t>Visch</w:t>
      </w:r>
      <w:proofErr w:type="spellEnd"/>
      <w:r>
        <w:t xml:space="preserve"> et al., 2020). </w:t>
      </w:r>
    </w:p>
    <w:p w14:paraId="4F2AA7E6" w14:textId="77777777" w:rsidR="005C4792" w:rsidRPr="005C4792" w:rsidRDefault="005C4792" w:rsidP="005C4792">
      <w:pPr>
        <w:jc w:val="both"/>
      </w:pPr>
      <w:r w:rsidRPr="005C4792">
        <w:t xml:space="preserve">The structure of epibiont communities differs significantly depending on location and host seaweed species resulting in site-specific impacts on cultivated seaweeds. For instance, </w:t>
      </w:r>
      <w:r w:rsidRPr="005C4792">
        <w:rPr>
          <w:i/>
          <w:iCs/>
        </w:rPr>
        <w:t>Saccharina latissima</w:t>
      </w:r>
      <w:r w:rsidRPr="005C4792">
        <w:t xml:space="preserve"> and</w:t>
      </w:r>
      <w:r w:rsidRPr="005C4792">
        <w:rPr>
          <w:i/>
          <w:iCs/>
        </w:rPr>
        <w:t xml:space="preserve"> Alaria esculenta </w:t>
      </w:r>
      <w:r w:rsidRPr="005C4792">
        <w:t xml:space="preserve">exhibit similar biofouling successional patterns, closely matching Wahl’s (1989) model of </w:t>
      </w:r>
      <w:proofErr w:type="spellStart"/>
      <w:r w:rsidRPr="005C4792">
        <w:t>epibiosis</w:t>
      </w:r>
      <w:proofErr w:type="spellEnd"/>
      <w:r w:rsidRPr="005C4792">
        <w:t xml:space="preserve"> (Forbord et al., 2020). This process begins with the deposition of a thin organic film, followed by bacterial colonization and the establishment of diatom biofilms. These early stages are largely dictated by the physicochemical properties of the host surface (Wahl, 1989). As succession progresses, algal spores and invertebrate larvae settle and dominate the epibiotic community, particularly hydrozoans and bryozoans, (</w:t>
      </w:r>
      <w:proofErr w:type="spellStart"/>
      <w:r w:rsidRPr="005C4792">
        <w:t>Ronowicz</w:t>
      </w:r>
      <w:proofErr w:type="spellEnd"/>
      <w:r w:rsidRPr="005C4792">
        <w:t xml:space="preserve"> et al., 2008; Rolin et al., 2017). For example, bryozoans form calcified mat-like colonies that significantly alter the ecological structure of the host surface (Førde et al., 2015), while hydrozoan colonies may themselves provide substrate for other fouling taxa, creating a complex, multi-layered biofilm (Tendal and Dinesen, 2005). </w:t>
      </w:r>
    </w:p>
    <w:p w14:paraId="2834C33F" w14:textId="61D2F37F" w:rsidR="005C4792" w:rsidRDefault="005C4792" w:rsidP="4FDD748D">
      <w:pPr>
        <w:jc w:val="both"/>
      </w:pPr>
      <w:r>
        <w:t xml:space="preserve">A critical phase in this process is the meroplanktonic </w:t>
      </w:r>
      <w:r w:rsidR="4E404E70">
        <w:t>stage,</w:t>
      </w:r>
      <w:r>
        <w:t xml:space="preserve"> during which larvae </w:t>
      </w:r>
      <w:r w:rsidR="7F8D1A1F">
        <w:t xml:space="preserve">of epibionts </w:t>
      </w:r>
      <w:r>
        <w:t xml:space="preserve">disperse through the water column before settling on substrates such as macroalgae, rocks, or </w:t>
      </w:r>
      <w:r>
        <w:lastRenderedPageBreak/>
        <w:t>aquaculture infrastructure (Agostini and Ozorio, 2022). In the Northern Hemisphere, fouling is most intense from spring through autumn, driven by seasonal changes in temperature, light availability, and water movement (</w:t>
      </w:r>
      <w:proofErr w:type="spellStart"/>
      <w:r>
        <w:t>Visch</w:t>
      </w:r>
      <w:proofErr w:type="spellEnd"/>
      <w:r>
        <w:t xml:space="preserve"> et al., 2020). </w:t>
      </w:r>
    </w:p>
    <w:p w14:paraId="096CA5EB" w14:textId="3F954F46" w:rsidR="51BBE647" w:rsidRDefault="51BBE647" w:rsidP="4FDD748D">
      <w:pPr>
        <w:jc w:val="both"/>
      </w:pPr>
      <w:r>
        <w:t xml:space="preserve">The larval dispersal stages of adult organisms are meroplanktonic and play a key role in shaping seasonal biofouling dynamics on kelp. Bryozoan species </w:t>
      </w:r>
      <w:r w:rsidR="1E5CF1FC">
        <w:t>such</w:t>
      </w:r>
      <w:r w:rsidR="5980BED8">
        <w:t xml:space="preserve"> </w:t>
      </w:r>
      <w:r w:rsidR="1E5CF1FC">
        <w:t>a</w:t>
      </w:r>
      <w:r w:rsidR="78A98F19">
        <w:t>s</w:t>
      </w:r>
      <w:r w:rsidR="1E5CF1FC">
        <w:t xml:space="preserve"> </w:t>
      </w:r>
      <w:r w:rsidRPr="4FDD748D">
        <w:rPr>
          <w:i/>
          <w:iCs/>
        </w:rPr>
        <w:t>Membranipora membranacea</w:t>
      </w:r>
      <w:r w:rsidR="293CE659" w:rsidRPr="4FDD748D">
        <w:rPr>
          <w:i/>
          <w:iCs/>
        </w:rPr>
        <w:t xml:space="preserve"> </w:t>
      </w:r>
      <w:r w:rsidR="293CE659" w:rsidRPr="4FDD748D">
        <w:t xml:space="preserve">and </w:t>
      </w:r>
      <w:r>
        <w:t xml:space="preserve">release </w:t>
      </w:r>
      <w:bookmarkStart w:id="0" w:name="_Int_i9cSh7ip"/>
      <w:proofErr w:type="spellStart"/>
      <w:r>
        <w:t>cyphonautes</w:t>
      </w:r>
      <w:bookmarkEnd w:id="0"/>
      <w:proofErr w:type="spellEnd"/>
      <w:r>
        <w:t xml:space="preserve"> larvae from overwintering colonies established on submerged</w:t>
      </w:r>
      <w:r w:rsidR="5C43EF60">
        <w:t xml:space="preserve"> </w:t>
      </w:r>
      <w:r>
        <w:t>substrates</w:t>
      </w:r>
      <w:r w:rsidR="515D8F54">
        <w:t xml:space="preserve"> such as kelp or</w:t>
      </w:r>
      <w:r w:rsidR="6E7F3720">
        <w:t xml:space="preserve"> other seaweed species</w:t>
      </w:r>
      <w:r w:rsidR="4D68F463">
        <w:t>, acting as an early-season source</w:t>
      </w:r>
      <w:r w:rsidR="515D8F54">
        <w:t xml:space="preserve"> </w:t>
      </w:r>
      <w:r w:rsidR="492C1954">
        <w:t>(Saunders and Metaxas, 2009).</w:t>
      </w:r>
      <w:r>
        <w:t xml:space="preserve"> These larvae can remain in the water column for months before</w:t>
      </w:r>
      <w:r w:rsidR="20193A5E">
        <w:t xml:space="preserve"> </w:t>
      </w:r>
      <w:r>
        <w:t>settlement</w:t>
      </w:r>
      <w:r w:rsidR="26B46EBA">
        <w:t xml:space="preserve"> and proliferation</w:t>
      </w:r>
      <w:r>
        <w:t xml:space="preserve"> (Ryland and Stebbing, 1971)</w:t>
      </w:r>
      <w:r w:rsidR="7C93E3A7">
        <w:t>.</w:t>
      </w:r>
      <w:r>
        <w:t xml:space="preserve"> Year-round presence of </w:t>
      </w:r>
      <w:r w:rsidRPr="4FDD748D">
        <w:rPr>
          <w:i/>
          <w:iCs/>
        </w:rPr>
        <w:t>M. membranacea</w:t>
      </w:r>
      <w:r>
        <w:t xml:space="preserve"> larvae has been documented in North Atlantic waters, with peak abundances typically occurring from late June, likely driven by rising temperatures and increased plankton productivity (Førde et al., 2015). In contrast, hydrozoans </w:t>
      </w:r>
      <w:r w:rsidR="45C93D21">
        <w:t>spread by releasing</w:t>
      </w:r>
      <w:r>
        <w:t xml:space="preserve"> </w:t>
      </w:r>
      <w:r w:rsidR="70C14D79">
        <w:t xml:space="preserve">medusae or </w:t>
      </w:r>
      <w:r>
        <w:t>planula larvae</w:t>
      </w:r>
      <w:r w:rsidR="592EE857">
        <w:t xml:space="preserve"> </w:t>
      </w:r>
      <w:r>
        <w:t xml:space="preserve">from </w:t>
      </w:r>
      <w:r w:rsidR="7587D2B9">
        <w:t>either</w:t>
      </w:r>
      <w:r>
        <w:t xml:space="preserve"> benthic </w:t>
      </w:r>
      <w:r w:rsidR="21C23F0D">
        <w:t>polyp</w:t>
      </w:r>
      <w:r>
        <w:t xml:space="preserve"> </w:t>
      </w:r>
      <w:r w:rsidR="78DF697F">
        <w:t>or</w:t>
      </w:r>
      <w:r>
        <w:t xml:space="preserve"> pelagic </w:t>
      </w:r>
      <w:r w:rsidR="548CC3A9">
        <w:t xml:space="preserve">life </w:t>
      </w:r>
      <w:r>
        <w:t>stages</w:t>
      </w:r>
      <w:r w:rsidR="313CD67E">
        <w:t xml:space="preserve"> </w:t>
      </w:r>
      <w:r w:rsidR="48D52B60">
        <w:t xml:space="preserve">from surrounding fouling communities </w:t>
      </w:r>
      <w:r w:rsidR="3C011A8B">
        <w:t>(Martell et al., 2018)</w:t>
      </w:r>
      <w:r w:rsidR="25710CBC">
        <w:t xml:space="preserve">. </w:t>
      </w:r>
      <w:proofErr w:type="spellStart"/>
      <w:r w:rsidR="6E4ED025" w:rsidRPr="4FDD748D">
        <w:rPr>
          <w:rFonts w:ascii="Aptos" w:eastAsia="Aptos" w:hAnsi="Aptos" w:cs="Aptos"/>
        </w:rPr>
        <w:t>Hydrozoa</w:t>
      </w:r>
      <w:proofErr w:type="spellEnd"/>
      <w:r w:rsidR="6E4ED025" w:rsidRPr="4FDD748D">
        <w:rPr>
          <w:rFonts w:ascii="Aptos" w:eastAsia="Aptos" w:hAnsi="Aptos" w:cs="Aptos"/>
        </w:rPr>
        <w:t xml:space="preserve"> are shown to be more prevalent on farmed kelp compared to wild populations, possibly due to reduced hydrodynamic forces within dense cultivation lines favouring larval settlement and reduced benthic predation</w:t>
      </w:r>
      <w:r w:rsidR="4ADF5098" w:rsidRPr="4FDD748D">
        <w:rPr>
          <w:rFonts w:ascii="Aptos" w:eastAsia="Aptos" w:hAnsi="Aptos" w:cs="Aptos"/>
        </w:rPr>
        <w:t xml:space="preserve"> due to the</w:t>
      </w:r>
      <w:r w:rsidR="6E4ED025" w:rsidRPr="4FDD748D">
        <w:rPr>
          <w:rFonts w:ascii="Aptos" w:eastAsia="Aptos" w:hAnsi="Aptos" w:cs="Aptos"/>
        </w:rPr>
        <w:t xml:space="preserve"> suspended farm </w:t>
      </w:r>
      <w:r w:rsidR="75D9DC11" w:rsidRPr="4FDD748D">
        <w:rPr>
          <w:rFonts w:ascii="Aptos" w:eastAsia="Aptos" w:hAnsi="Aptos" w:cs="Aptos"/>
        </w:rPr>
        <w:t>structure (Delannoy er al., 2025)</w:t>
      </w:r>
      <w:r w:rsidR="6E4ED025" w:rsidRPr="4FDD748D">
        <w:rPr>
          <w:rFonts w:ascii="Aptos" w:eastAsia="Aptos" w:hAnsi="Aptos" w:cs="Aptos"/>
        </w:rPr>
        <w:t xml:space="preserve">. </w:t>
      </w:r>
      <w:r>
        <w:t xml:space="preserve">Bivalves such as </w:t>
      </w:r>
      <w:r w:rsidRPr="4FDD748D">
        <w:rPr>
          <w:i/>
          <w:iCs/>
        </w:rPr>
        <w:t>Mytilus sp.</w:t>
      </w:r>
      <w:r>
        <w:t xml:space="preserve"> and </w:t>
      </w:r>
      <w:proofErr w:type="spellStart"/>
      <w:r w:rsidRPr="4FDD748D">
        <w:rPr>
          <w:i/>
          <w:iCs/>
        </w:rPr>
        <w:t>Hiatella</w:t>
      </w:r>
      <w:proofErr w:type="spellEnd"/>
      <w:r w:rsidRPr="4FDD748D">
        <w:rPr>
          <w:i/>
          <w:iCs/>
        </w:rPr>
        <w:t xml:space="preserve"> </w:t>
      </w:r>
      <w:proofErr w:type="spellStart"/>
      <w:r w:rsidRPr="4FDD748D">
        <w:rPr>
          <w:i/>
          <w:iCs/>
        </w:rPr>
        <w:t>arctica</w:t>
      </w:r>
      <w:proofErr w:type="spellEnd"/>
      <w:r w:rsidRPr="4FDD748D">
        <w:rPr>
          <w:i/>
          <w:iCs/>
        </w:rPr>
        <w:t xml:space="preserve"> </w:t>
      </w:r>
      <w:r>
        <w:t>produce planktonic veliger larvae during synchronous spawning events</w:t>
      </w:r>
      <w:r w:rsidR="7B97F03C">
        <w:t xml:space="preserve"> that drift from nearby rocky shores, shellfish beds or aquaculture structures themselves </w:t>
      </w:r>
    </w:p>
    <w:p w14:paraId="62E7389F" w14:textId="7D20D21C" w:rsidR="3B40D09D" w:rsidRDefault="3B40D09D" w:rsidP="4FDD748D">
      <w:pPr>
        <w:jc w:val="both"/>
        <w:rPr>
          <w:rFonts w:ascii="Aptos" w:eastAsia="Aptos" w:hAnsi="Aptos" w:cs="Aptos"/>
        </w:rPr>
      </w:pPr>
      <w:r w:rsidRPr="4FDD748D">
        <w:rPr>
          <w:rFonts w:ascii="Aptos" w:eastAsia="Aptos" w:hAnsi="Aptos" w:cs="Aptos"/>
        </w:rPr>
        <w:t xml:space="preserve">To understand and mitigate the biofouling risk posed by epibionts, it is essential to determine precisely when each </w:t>
      </w:r>
      <w:r w:rsidR="2392DE40" w:rsidRPr="4FDD748D">
        <w:rPr>
          <w:rFonts w:ascii="Aptos" w:eastAsia="Aptos" w:hAnsi="Aptos" w:cs="Aptos"/>
        </w:rPr>
        <w:t xml:space="preserve">biofouling </w:t>
      </w:r>
      <w:r w:rsidRPr="4FDD748D">
        <w:rPr>
          <w:rFonts w:ascii="Aptos" w:eastAsia="Aptos" w:hAnsi="Aptos" w:cs="Aptos"/>
        </w:rPr>
        <w:t xml:space="preserve">meroplanktonic taxa enter the planktonic phase. Accurate tracking of their seasonal dynamics is crucial for </w:t>
      </w:r>
      <w:r w:rsidR="00146048" w:rsidRPr="4FDD748D">
        <w:rPr>
          <w:rFonts w:ascii="Aptos" w:eastAsia="Aptos" w:hAnsi="Aptos" w:cs="Aptos"/>
        </w:rPr>
        <w:t>accurately</w:t>
      </w:r>
      <w:r w:rsidR="10EF41F4" w:rsidRPr="4FDD748D">
        <w:rPr>
          <w:rFonts w:ascii="Aptos" w:eastAsia="Aptos" w:hAnsi="Aptos" w:cs="Aptos"/>
        </w:rPr>
        <w:t xml:space="preserve"> </w:t>
      </w:r>
      <w:r w:rsidRPr="4FDD748D">
        <w:rPr>
          <w:rFonts w:ascii="Aptos" w:eastAsia="Aptos" w:hAnsi="Aptos" w:cs="Aptos"/>
        </w:rPr>
        <w:t>predicting settlement events and</w:t>
      </w:r>
      <w:r w:rsidR="13792E8F" w:rsidRPr="4FDD748D">
        <w:rPr>
          <w:rFonts w:ascii="Aptos" w:eastAsia="Aptos" w:hAnsi="Aptos" w:cs="Aptos"/>
        </w:rPr>
        <w:t xml:space="preserve"> enable</w:t>
      </w:r>
      <w:r w:rsidRPr="4FDD748D">
        <w:rPr>
          <w:rFonts w:ascii="Aptos" w:eastAsia="Aptos" w:hAnsi="Aptos" w:cs="Aptos"/>
        </w:rPr>
        <w:t xml:space="preserve"> inform</w:t>
      </w:r>
      <w:r w:rsidR="5DD91881" w:rsidRPr="4FDD748D">
        <w:rPr>
          <w:rFonts w:ascii="Aptos" w:eastAsia="Aptos" w:hAnsi="Aptos" w:cs="Aptos"/>
        </w:rPr>
        <w:t>ed</w:t>
      </w:r>
      <w:r w:rsidRPr="4FDD748D">
        <w:rPr>
          <w:rFonts w:ascii="Aptos" w:eastAsia="Aptos" w:hAnsi="Aptos" w:cs="Aptos"/>
        </w:rPr>
        <w:t xml:space="preserve"> farm management strategies. Achieving this requires a fast, sensitive, and taxonomically informative method.</w:t>
      </w:r>
    </w:p>
    <w:p w14:paraId="15FE8CC9" w14:textId="667E6832" w:rsidR="005C4792" w:rsidRPr="005C4792" w:rsidRDefault="005C4792" w:rsidP="005C4792">
      <w:pPr>
        <w:jc w:val="both"/>
      </w:pPr>
      <w:r>
        <w:t>Metabarcoding of environmental DNA (eDNA) from seawater samples enables earl</w:t>
      </w:r>
      <w:r w:rsidR="17FA66AE">
        <w:t>y</w:t>
      </w:r>
      <w:r>
        <w:t xml:space="preserve"> detection of epibiont communities by identifying genetic material shed into the surrounding environment by organisms, often before they become detectable through microscopy (</w:t>
      </w:r>
      <w:proofErr w:type="spellStart"/>
      <w:r>
        <w:t>Zaiko</w:t>
      </w:r>
      <w:proofErr w:type="spellEnd"/>
      <w:r>
        <w:t xml:space="preserve"> et al., 2016; Djurhuus et al., 2018). Amplification of targeted barcode regions from eDNA can reveal epibiont presence weeks before colonisation may become visible on blades (Rishan et al., 2023; Keck et al., 2022).  A commonly used marker in marine metazoan metabarcoding is the mitochondrial cytochrome c oxidase subunit I (CO1) gene, which provides species-level resolution for many invertebrates (Borrell et al., 2017). However, with metabarcoding, challenges remain with taxonomic gaps and detection inconsistencies, particularly in low abundance species due to amplification biases caused by primer selectivity (Algueró</w:t>
      </w:r>
      <w:r w:rsidRPr="6434679C">
        <w:rPr>
          <w:rFonts w:ascii="Cambria Math" w:hAnsi="Cambria Math" w:cs="Cambria Math"/>
        </w:rPr>
        <w:t>‐</w:t>
      </w:r>
      <w:r>
        <w:t>Muñiz et al., 2024). </w:t>
      </w:r>
    </w:p>
    <w:p w14:paraId="0C1D5095" w14:textId="6F297182" w:rsidR="4FDD748D" w:rsidRDefault="2A1AC856" w:rsidP="4FDD748D">
      <w:pPr>
        <w:jc w:val="both"/>
      </w:pPr>
      <w:r>
        <w:t>Quantitative microscopy of water samples allows for identification and enumeration of problem epibionts during the larval stages (Agostini and Ozorio, 2022). As such, plankton surveys serve as a valuable detection method of biofouling risk prior to the visual appearance on seaweed crops. Detection of seasonal peaks in larva abundance allows farmers to anticipate infestation severity of subsequent blade colonisation and enable adaptation of time management strategies. However, microscopy is labour-intensive and requires strong taxonomic expertise that could still miss cryptic or rare taxa (Chen et al., 2023). </w:t>
      </w:r>
    </w:p>
    <w:p w14:paraId="616BA7E6" w14:textId="77777777" w:rsidR="005C4792" w:rsidRPr="005C4792" w:rsidRDefault="005C4792" w:rsidP="005C4792">
      <w:pPr>
        <w:jc w:val="both"/>
      </w:pPr>
      <w:r>
        <w:t xml:space="preserve">Integrated analysis of molecular data alongside physical observations enables investigation into the temporal lags between meroplanktonic larvae within the water column and their subsequent physical settlement upon the seaweed substrate. While metabarcoding has proven effective in community composition studies, its potential as a tool for early detection is increasingly evident </w:t>
      </w:r>
      <w:r>
        <w:lastRenderedPageBreak/>
        <w:t>as it offers broad taxonomic resolution and ability to detect often overlooked or cryptic species. By aligning molecular reads with visual observations such as planktonic counts and blade colony assessments, it becomes possible to generate a more holistic understanding of biofouling dynamics. Collectively, this can improve the accuracy and reliability in using molecular read data within biofouling monitoring frameworks. </w:t>
      </w:r>
    </w:p>
    <w:p w14:paraId="4B551108" w14:textId="2EDF618D" w:rsidR="16051A2F" w:rsidRDefault="16051A2F" w:rsidP="3D66B965">
      <w:pPr>
        <w:jc w:val="both"/>
      </w:pPr>
      <w:r>
        <w:t xml:space="preserve">The aim of this study was to assess a combination of molecular methods (plankton eDNA and epibiont barcoding) and microscopy methods (kelp epibiont and plankton counts) in better understanding the timing and community composition of biofouling. To achieve this aim we sampled </w:t>
      </w:r>
      <w:r w:rsidR="00146048">
        <w:t xml:space="preserve">a kelp farm which crop </w:t>
      </w:r>
      <w:r w:rsidRPr="00146048">
        <w:rPr>
          <w:i/>
          <w:iCs/>
        </w:rPr>
        <w:t xml:space="preserve">Saccharina </w:t>
      </w:r>
      <w:r w:rsidR="00146048" w:rsidRPr="00146048">
        <w:rPr>
          <w:i/>
          <w:iCs/>
        </w:rPr>
        <w:t>latissim</w:t>
      </w:r>
      <w:r w:rsidR="00146048">
        <w:rPr>
          <w:i/>
          <w:iCs/>
        </w:rPr>
        <w:t>a</w:t>
      </w:r>
      <w:r>
        <w:t xml:space="preserve"> and </w:t>
      </w:r>
      <w:r w:rsidRPr="00146048">
        <w:rPr>
          <w:i/>
          <w:iCs/>
        </w:rPr>
        <w:t>Alaria esculenta</w:t>
      </w:r>
      <w:r>
        <w:t xml:space="preserve"> for plankton and seaweed during a whole production cycle. Our first objective was to obtain a detailed ID of the epibionts on the kelp blades using both microscopy and barcoding. The second objective was to assess the sensitivity of eDNA metabarcoding in detecting the planktonic stages of epibionts compared to the traditional plankton microscopy counts and identification. Our third objective was to check for lags between the timing that kelp epibiont species are detected in the plankton (by both eDNA and microscopy) and when these appear as adult stages on the kelp. Finally, we checked for potential effects of depth on the distribution of epibionts on kelp blades.</w:t>
      </w:r>
    </w:p>
    <w:p w14:paraId="505DCC6E" w14:textId="77777777" w:rsidR="002B0DEA" w:rsidRPr="00871F80" w:rsidRDefault="002B0DEA" w:rsidP="002B0DEA">
      <w:pPr>
        <w:jc w:val="both"/>
      </w:pPr>
    </w:p>
    <w:p w14:paraId="4FA64B4F" w14:textId="4A263ACF" w:rsidR="4FDD748D" w:rsidRDefault="4FDD748D">
      <w:r>
        <w:br w:type="page"/>
      </w:r>
    </w:p>
    <w:p w14:paraId="322D9064" w14:textId="1142A068" w:rsidR="0098351A" w:rsidRDefault="0098351A" w:rsidP="002B0DEA">
      <w:pPr>
        <w:jc w:val="both"/>
        <w:rPr>
          <w:b/>
          <w:bCs/>
        </w:rPr>
      </w:pPr>
      <w:r w:rsidRPr="00871F80">
        <w:rPr>
          <w:b/>
          <w:bCs/>
        </w:rPr>
        <w:lastRenderedPageBreak/>
        <w:t>Methods</w:t>
      </w:r>
    </w:p>
    <w:p w14:paraId="3E123DCC" w14:textId="77777777" w:rsidR="0049013B" w:rsidRDefault="0049013B" w:rsidP="0049013B">
      <w:pPr>
        <w:tabs>
          <w:tab w:val="num" w:pos="720"/>
        </w:tabs>
        <w:jc w:val="both"/>
      </w:pPr>
      <w:r>
        <w:t xml:space="preserve">Methods overview </w:t>
      </w:r>
    </w:p>
    <w:p w14:paraId="565C5BF9" w14:textId="318438E8" w:rsidR="0049013B" w:rsidRPr="0098351A" w:rsidRDefault="0049013B" w:rsidP="0049013B">
      <w:pPr>
        <w:tabs>
          <w:tab w:val="num" w:pos="720"/>
        </w:tabs>
        <w:jc w:val="both"/>
      </w:pPr>
      <w:r>
        <w:t>We combined eDNA metabarcoding, plankton</w:t>
      </w:r>
      <w:r w:rsidRPr="55CAC9E0">
        <w:rPr>
          <w:rFonts w:ascii="Cambria Math" w:hAnsi="Cambria Math" w:cs="Cambria Math"/>
        </w:rPr>
        <w:t>‐</w:t>
      </w:r>
      <w:r>
        <w:t>net microscopy counts, and visual surveys of blade</w:t>
      </w:r>
      <w:r w:rsidRPr="55CAC9E0">
        <w:rPr>
          <w:rFonts w:ascii="Cambria Math" w:hAnsi="Cambria Math" w:cs="Cambria Math"/>
        </w:rPr>
        <w:t>‐</w:t>
      </w:r>
      <w:r>
        <w:t>attached epibionts to undertake both descriptive and comparative analyses addressing three core objectives: 1) Method comparison: Quantify and contrast the sensitivity and taxonomic resolution of molecular (eDNA) versus microscopy</w:t>
      </w:r>
      <w:r w:rsidRPr="55CAC9E0">
        <w:rPr>
          <w:rFonts w:ascii="Cambria Math" w:hAnsi="Cambria Math" w:cs="Cambria Math"/>
        </w:rPr>
        <w:t>‐</w:t>
      </w:r>
      <w:r>
        <w:t>based approaches in detecting epibionts both in the water column and on kelp blades. 2) Temporal dynamics: Characterize time</w:t>
      </w:r>
      <w:r w:rsidRPr="55CAC9E0">
        <w:rPr>
          <w:rFonts w:ascii="Cambria Math" w:hAnsi="Cambria Math" w:cs="Cambria Math"/>
        </w:rPr>
        <w:t>‐</w:t>
      </w:r>
      <w:r>
        <w:t>lags among eDNA signal emergence, planktonic epibiont detections, and their subsequent settlement on seaweed fronds. 3) Depth distribution: Evaluate how epibiont colonization intensity varies along blade depth gradients. Fi</w:t>
      </w:r>
      <w:r w:rsidR="00DF1D6A">
        <w:t xml:space="preserve">g. </w:t>
      </w:r>
      <w:r>
        <w:t xml:space="preserve">1 represents the combined methodological framework utilized within this study. </w:t>
      </w:r>
    </w:p>
    <w:p w14:paraId="30414D74" w14:textId="77777777" w:rsidR="0049013B" w:rsidRDefault="0049013B" w:rsidP="0049013B">
      <w:pPr>
        <w:keepNext/>
        <w:jc w:val="center"/>
      </w:pPr>
      <w:r>
        <w:rPr>
          <w:noProof/>
        </w:rPr>
        <w:drawing>
          <wp:inline distT="0" distB="0" distL="0" distR="0" wp14:anchorId="7C08EA21" wp14:editId="2A23F815">
            <wp:extent cx="4443375" cy="3219450"/>
            <wp:effectExtent l="0" t="0" r="0" b="0"/>
            <wp:docPr id="876149915" name="Picture 876149915" descr="A diagram of a seaweed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9915" name="Picture 876149915" descr="A diagram of a seaweed farm&#10;&#10;AI-generated content may be incorrect."/>
                    <pic:cNvPicPr/>
                  </pic:nvPicPr>
                  <pic:blipFill>
                    <a:blip r:embed="rId6">
                      <a:extLst>
                        <a:ext uri="{28A0092B-C50C-407E-A947-70E740481C1C}">
                          <a14:useLocalDpi xmlns:a14="http://schemas.microsoft.com/office/drawing/2010/main" val="0"/>
                        </a:ext>
                      </a:extLst>
                    </a:blip>
                    <a:srcRect l="12023" r="10357"/>
                    <a:stretch>
                      <a:fillRect/>
                    </a:stretch>
                  </pic:blipFill>
                  <pic:spPr>
                    <a:xfrm>
                      <a:off x="0" y="0"/>
                      <a:ext cx="4443375" cy="3219450"/>
                    </a:xfrm>
                    <a:prstGeom prst="rect">
                      <a:avLst/>
                    </a:prstGeom>
                  </pic:spPr>
                </pic:pic>
              </a:graphicData>
            </a:graphic>
          </wp:inline>
        </w:drawing>
      </w:r>
    </w:p>
    <w:p w14:paraId="5445277E" w14:textId="77777777" w:rsidR="0049013B" w:rsidRPr="0049013B" w:rsidRDefault="0049013B" w:rsidP="00DF1D6A">
      <w:pPr>
        <w:pStyle w:val="Caption"/>
        <w:jc w:val="center"/>
        <w:rPr>
          <w:i w:val="0"/>
          <w:iCs w:val="0"/>
          <w:color w:val="auto"/>
          <w:sz w:val="22"/>
          <w:szCs w:val="22"/>
        </w:rPr>
      </w:pPr>
      <w:r w:rsidRPr="0049013B">
        <w:rPr>
          <w:i w:val="0"/>
          <w:iCs w:val="0"/>
          <w:color w:val="auto"/>
          <w:sz w:val="22"/>
          <w:szCs w:val="22"/>
        </w:rPr>
        <w:t xml:space="preserve">Figure </w:t>
      </w:r>
      <w:r w:rsidRPr="0049013B">
        <w:rPr>
          <w:i w:val="0"/>
          <w:iCs w:val="0"/>
          <w:color w:val="auto"/>
          <w:sz w:val="22"/>
          <w:szCs w:val="22"/>
        </w:rPr>
        <w:fldChar w:fldCharType="begin"/>
      </w:r>
      <w:r w:rsidRPr="0049013B">
        <w:rPr>
          <w:i w:val="0"/>
          <w:iCs w:val="0"/>
          <w:color w:val="auto"/>
          <w:sz w:val="22"/>
          <w:szCs w:val="22"/>
        </w:rPr>
        <w:instrText xml:space="preserve"> SEQ Figure \* ARABIC </w:instrText>
      </w:r>
      <w:r w:rsidRPr="0049013B">
        <w:rPr>
          <w:i w:val="0"/>
          <w:iCs w:val="0"/>
          <w:color w:val="auto"/>
          <w:sz w:val="22"/>
          <w:szCs w:val="22"/>
        </w:rPr>
        <w:fldChar w:fldCharType="separate"/>
      </w:r>
      <w:r w:rsidRPr="0049013B">
        <w:rPr>
          <w:i w:val="0"/>
          <w:iCs w:val="0"/>
          <w:color w:val="auto"/>
          <w:sz w:val="22"/>
          <w:szCs w:val="22"/>
        </w:rPr>
        <w:t>1</w:t>
      </w:r>
      <w:r w:rsidRPr="0049013B">
        <w:rPr>
          <w:i w:val="0"/>
          <w:iCs w:val="0"/>
          <w:color w:val="auto"/>
          <w:sz w:val="22"/>
          <w:szCs w:val="22"/>
        </w:rPr>
        <w:fldChar w:fldCharType="end"/>
      </w:r>
      <w:r w:rsidRPr="0049013B">
        <w:rPr>
          <w:i w:val="0"/>
          <w:iCs w:val="0"/>
          <w:color w:val="auto"/>
          <w:sz w:val="22"/>
          <w:szCs w:val="22"/>
        </w:rPr>
        <w:t>. Methodological Framework: Overview of the study approach and objectives.</w:t>
      </w:r>
    </w:p>
    <w:p w14:paraId="383EA568" w14:textId="77777777" w:rsidR="0049013B" w:rsidRDefault="0049013B" w:rsidP="002B0DEA">
      <w:pPr>
        <w:jc w:val="both"/>
        <w:rPr>
          <w:b/>
          <w:bCs/>
        </w:rPr>
      </w:pPr>
    </w:p>
    <w:p w14:paraId="77A42689" w14:textId="76BB67E2" w:rsidR="00301010" w:rsidRDefault="0098351A" w:rsidP="002B0DEA">
      <w:pPr>
        <w:jc w:val="both"/>
        <w:rPr>
          <w:i/>
          <w:iCs/>
        </w:rPr>
      </w:pPr>
      <w:commentRangeStart w:id="1"/>
      <w:r>
        <w:rPr>
          <w:i/>
          <w:iCs/>
        </w:rPr>
        <w:t xml:space="preserve">Site and </w:t>
      </w:r>
      <w:r w:rsidR="00AD0E3D">
        <w:rPr>
          <w:i/>
          <w:iCs/>
        </w:rPr>
        <w:t>Sampling:</w:t>
      </w:r>
      <w:r w:rsidR="00301010">
        <w:rPr>
          <w:i/>
          <w:iCs/>
        </w:rPr>
        <w:t xml:space="preserve"> Farm layout, coordinates</w:t>
      </w:r>
      <w:commentRangeEnd w:id="1"/>
      <w:r w:rsidR="0049013B">
        <w:rPr>
          <w:rStyle w:val="CommentReference"/>
        </w:rPr>
        <w:commentReference w:id="1"/>
      </w:r>
    </w:p>
    <w:p w14:paraId="45749E78" w14:textId="5E50053D" w:rsidR="00E50797" w:rsidRDefault="00E50797" w:rsidP="002B0DEA">
      <w:pPr>
        <w:jc w:val="both"/>
        <w:rPr>
          <w:i/>
          <w:iCs/>
        </w:rPr>
      </w:pPr>
      <w:r>
        <w:rPr>
          <w:i/>
          <w:iCs/>
        </w:rPr>
        <w:t>Saccharina and Alaria</w:t>
      </w:r>
    </w:p>
    <w:p w14:paraId="69F186C2" w14:textId="6B671B95" w:rsidR="004D0BBA" w:rsidRDefault="0049013B" w:rsidP="002B0DEA">
      <w:pPr>
        <w:jc w:val="both"/>
        <w:rPr>
          <w:i/>
          <w:iCs/>
        </w:rPr>
      </w:pPr>
      <w:commentRangeStart w:id="2"/>
      <w:r>
        <w:rPr>
          <w:i/>
          <w:iCs/>
        </w:rPr>
        <w:t>Zooplankton and Phytoplankton microscopy</w:t>
      </w:r>
      <w:commentRangeEnd w:id="2"/>
      <w:r>
        <w:rPr>
          <w:rStyle w:val="CommentReference"/>
        </w:rPr>
        <w:commentReference w:id="2"/>
      </w:r>
    </w:p>
    <w:p w14:paraId="02B69235" w14:textId="10FA844F" w:rsidR="0098351A" w:rsidRPr="0098351A" w:rsidRDefault="1C71248D" w:rsidP="4FDD748D">
      <w:pPr>
        <w:jc w:val="both"/>
        <w:rPr>
          <w:i/>
          <w:iCs/>
        </w:rPr>
      </w:pPr>
      <w:commentRangeStart w:id="3"/>
      <w:r w:rsidRPr="4FDD748D">
        <w:rPr>
          <w:i/>
          <w:iCs/>
        </w:rPr>
        <w:t xml:space="preserve">Blade epibiont microscopy and barcoding </w:t>
      </w:r>
      <w:commentRangeEnd w:id="3"/>
      <w:r w:rsidR="0098351A">
        <w:rPr>
          <w:rStyle w:val="CommentReference"/>
        </w:rPr>
        <w:commentReference w:id="3"/>
      </w:r>
    </w:p>
    <w:p w14:paraId="20D2F20C" w14:textId="77777777" w:rsidR="004D0BBA" w:rsidRDefault="004D0BBA" w:rsidP="004D0BBA">
      <w:pPr>
        <w:jc w:val="both"/>
        <w:rPr>
          <w:i/>
          <w:iCs/>
        </w:rPr>
      </w:pPr>
      <w:r w:rsidRPr="00871F80">
        <w:t>Several of the epibionts were identified on the blades via rope scrubbing, a method that involved scraping biofouling organisms from cultivation ropes that are submerged in the water column prior to macroalgal seeding.</w:t>
      </w:r>
    </w:p>
    <w:p w14:paraId="3E7E5067" w14:textId="77777777" w:rsidR="0049013B" w:rsidRDefault="0049013B" w:rsidP="002B0DEA">
      <w:pPr>
        <w:jc w:val="both"/>
        <w:rPr>
          <w:i/>
          <w:iCs/>
        </w:rPr>
      </w:pPr>
      <w:r>
        <w:rPr>
          <w:i/>
          <w:iCs/>
        </w:rPr>
        <w:t>Blade epibiont barcoding</w:t>
      </w:r>
    </w:p>
    <w:p w14:paraId="0B04FF98" w14:textId="01B8C08A" w:rsidR="0098351A" w:rsidRDefault="0098351A" w:rsidP="002B0DEA">
      <w:pPr>
        <w:jc w:val="both"/>
      </w:pPr>
      <w:r w:rsidRPr="00871F80">
        <w:t xml:space="preserve">A total of 24 epibiont specimens were collected from </w:t>
      </w:r>
      <w:proofErr w:type="spellStart"/>
      <w:r w:rsidRPr="00871F80">
        <w:t>Kelpcrofters</w:t>
      </w:r>
      <w:proofErr w:type="spellEnd"/>
      <w:r w:rsidRPr="00871F80">
        <w:t xml:space="preserve"> Seaweed Farm (Isle of Skye) between June 2021 and January 22. Samples were preserved in 95% ethanol and stored at -20</w:t>
      </w:r>
      <w:r w:rsidRPr="00871F80">
        <w:rPr>
          <w:vertAlign w:val="superscript"/>
        </w:rPr>
        <w:t>o</w:t>
      </w:r>
      <w:r w:rsidRPr="00871F80">
        <w:t xml:space="preserve">C </w:t>
      </w:r>
      <w:r w:rsidRPr="00871F80">
        <w:lastRenderedPageBreak/>
        <w:t xml:space="preserve">until processing. Genomic DNA was extracted using Qiagen </w:t>
      </w:r>
      <w:proofErr w:type="spellStart"/>
      <w:r w:rsidRPr="00871F80">
        <w:t>DNeasy</w:t>
      </w:r>
      <w:proofErr w:type="spellEnd"/>
      <w:r w:rsidRPr="00871F80">
        <w:t>® Blood and Tissue Kit according to manufacturer’s protocol. Extracted DNA was quantified with a Qubit™ Fluorometer and diluted to a concentration of 1.3ng/</w:t>
      </w:r>
      <w:proofErr w:type="spellStart"/>
      <w:r w:rsidRPr="00871F80">
        <w:t>μl</w:t>
      </w:r>
      <w:proofErr w:type="spellEnd"/>
      <w:r w:rsidRPr="00871F80">
        <w:t xml:space="preserve"> prior to submission for Sanger sequencing (University of Dundee) Resulting sequences were trimmed and aligned using </w:t>
      </w:r>
      <w:proofErr w:type="spellStart"/>
      <w:r w:rsidRPr="00871F80">
        <w:t>BioEdit</w:t>
      </w:r>
      <w:proofErr w:type="spellEnd"/>
      <w:r w:rsidRPr="00871F80">
        <w:t xml:space="preserve"> Sequence Alignment Editor. Taxonomic identification was performed through BLAST searches within the NCBI GenBank database, using criteria of ≥97% sequence similarity, amplicon lengths &gt;80</w:t>
      </w:r>
      <w:r w:rsidRPr="00871F80">
        <w:rPr>
          <w:rFonts w:ascii="Arial" w:hAnsi="Arial" w:cs="Arial"/>
        </w:rPr>
        <w:t> </w:t>
      </w:r>
      <w:r w:rsidRPr="00871F80">
        <w:t>bp, and the lowest E-value for species assignment. Sequences that failed to meet these criteria were omitted. Identified taxa were subsequently compared with results from visual surveys conducted using a stereomicroscope.</w:t>
      </w:r>
    </w:p>
    <w:p w14:paraId="270EA611" w14:textId="559B0136" w:rsidR="0049013B" w:rsidRDefault="0049013B" w:rsidP="002B0DEA">
      <w:pPr>
        <w:jc w:val="both"/>
      </w:pPr>
      <w:commentRangeStart w:id="4"/>
      <w:r>
        <w:t>Plankton eDNA</w:t>
      </w:r>
      <w:commentRangeEnd w:id="4"/>
      <w:r>
        <w:rPr>
          <w:rStyle w:val="CommentReference"/>
        </w:rPr>
        <w:commentReference w:id="4"/>
      </w:r>
    </w:p>
    <w:p w14:paraId="73B1787D" w14:textId="77777777" w:rsidR="0098351A" w:rsidRPr="001D6268" w:rsidRDefault="0098351A" w:rsidP="002B0DEA">
      <w:pPr>
        <w:jc w:val="both"/>
      </w:pPr>
      <w:r w:rsidRPr="00871F80">
        <w:rPr>
          <w:i/>
          <w:iCs/>
        </w:rPr>
        <w:t>Data Analysis</w:t>
      </w:r>
    </w:p>
    <w:p w14:paraId="6E175399" w14:textId="4A710092" w:rsidR="005B09D4" w:rsidRDefault="00093C3B" w:rsidP="002B0DEA">
      <w:pPr>
        <w:jc w:val="both"/>
        <w:rPr>
          <w:b/>
          <w:bCs/>
        </w:rPr>
      </w:pPr>
      <w:r w:rsidRPr="4FDD748D">
        <w:rPr>
          <w:b/>
          <w:bCs/>
        </w:rPr>
        <w:t>GLMs packages etc</w:t>
      </w:r>
    </w:p>
    <w:p w14:paraId="5ED997A3" w14:textId="2A679D36" w:rsidR="4FDD748D" w:rsidRDefault="4FDD748D">
      <w:r>
        <w:br w:type="page"/>
      </w:r>
    </w:p>
    <w:p w14:paraId="4B870BEC" w14:textId="73D56541" w:rsidR="005B09D4" w:rsidRPr="005B09D4" w:rsidRDefault="005B09D4" w:rsidP="002B0DEA">
      <w:pPr>
        <w:jc w:val="both"/>
        <w:rPr>
          <w:b/>
          <w:bCs/>
        </w:rPr>
      </w:pPr>
      <w:r>
        <w:rPr>
          <w:b/>
          <w:bCs/>
        </w:rPr>
        <w:lastRenderedPageBreak/>
        <w:t>Results</w:t>
      </w:r>
    </w:p>
    <w:p w14:paraId="4C429B25" w14:textId="77777777" w:rsidR="00093C3B" w:rsidRDefault="00093C3B" w:rsidP="4FDD748D">
      <w:pPr>
        <w:jc w:val="both"/>
        <w:rPr>
          <w:b/>
          <w:bCs/>
          <w:i/>
          <w:iCs/>
        </w:rPr>
      </w:pPr>
      <w:bookmarkStart w:id="5" w:name="_Hlk204765054"/>
      <w:r w:rsidRPr="4FDD748D">
        <w:rPr>
          <w:b/>
          <w:bCs/>
          <w:i/>
          <w:iCs/>
        </w:rPr>
        <w:t>Barcoding analysis for the detection of kelp epibionts</w:t>
      </w:r>
    </w:p>
    <w:bookmarkEnd w:id="5"/>
    <w:p w14:paraId="2D3AC0CA" w14:textId="464FD0D6" w:rsidR="004D0BBA" w:rsidRDefault="004D0BBA" w:rsidP="002B0DEA">
      <w:pPr>
        <w:jc w:val="both"/>
      </w:pPr>
      <w:r>
        <w:t xml:space="preserve">DNA barcoding greatly improved the resolution and accuracy of epibiont identifications, relative to traditional microscopy. Table 1 shows several taxa which were not confidently identified above </w:t>
      </w:r>
      <w:r w:rsidR="00DF1D6A">
        <w:t xml:space="preserve">the taxonomic level of </w:t>
      </w:r>
      <w:r>
        <w:t xml:space="preserve">order </w:t>
      </w:r>
      <w:r w:rsidR="00807A07">
        <w:t xml:space="preserve">during visual </w:t>
      </w:r>
      <w:r w:rsidR="00DF1D6A">
        <w:t>surveys but</w:t>
      </w:r>
      <w:r w:rsidR="00807A07">
        <w:t xml:space="preserve"> were successfully identified to species level using barcode sequencing. For example, </w:t>
      </w:r>
      <w:proofErr w:type="spellStart"/>
      <w:r w:rsidR="00807A07" w:rsidRPr="00807A07">
        <w:rPr>
          <w:i/>
          <w:iCs/>
        </w:rPr>
        <w:t>Caprella</w:t>
      </w:r>
      <w:proofErr w:type="spellEnd"/>
      <w:r w:rsidR="00807A07" w:rsidRPr="00807A07">
        <w:rPr>
          <w:i/>
          <w:iCs/>
        </w:rPr>
        <w:t xml:space="preserve"> mutica</w:t>
      </w:r>
      <w:r w:rsidR="00807A07" w:rsidRPr="00807A07">
        <w:t xml:space="preserve"> and </w:t>
      </w:r>
      <w:proofErr w:type="spellStart"/>
      <w:r w:rsidR="00807A07" w:rsidRPr="00807A07">
        <w:rPr>
          <w:i/>
          <w:iCs/>
        </w:rPr>
        <w:t>Jassa</w:t>
      </w:r>
      <w:proofErr w:type="spellEnd"/>
      <w:r w:rsidR="00807A07" w:rsidRPr="00807A07">
        <w:rPr>
          <w:i/>
          <w:iCs/>
        </w:rPr>
        <w:t xml:space="preserve"> </w:t>
      </w:r>
      <w:proofErr w:type="spellStart"/>
      <w:r w:rsidR="00807A07" w:rsidRPr="00807A07">
        <w:rPr>
          <w:i/>
          <w:iCs/>
        </w:rPr>
        <w:t>herdmani</w:t>
      </w:r>
      <w:proofErr w:type="spellEnd"/>
      <w:r w:rsidR="00807A07" w:rsidRPr="00807A07">
        <w:t xml:space="preserve"> were both confidently identified </w:t>
      </w:r>
      <w:r w:rsidR="00807A07">
        <w:t xml:space="preserve">with </w:t>
      </w:r>
      <w:r w:rsidR="00807A07" w:rsidRPr="00807A07">
        <w:t>100% sequence identity, while microscopy was unable to distinguish them beyond the broader taxonomic group.</w:t>
      </w:r>
      <w:r w:rsidR="00807A07">
        <w:t xml:space="preserve"> </w:t>
      </w:r>
      <w:r w:rsidR="00807A07" w:rsidRPr="00807A07">
        <w:t xml:space="preserve">Similarly, hydrozoan taxa such as </w:t>
      </w:r>
      <w:proofErr w:type="spellStart"/>
      <w:r w:rsidR="00807A07" w:rsidRPr="00807A07">
        <w:rPr>
          <w:i/>
          <w:iCs/>
        </w:rPr>
        <w:t>Ectopleura</w:t>
      </w:r>
      <w:proofErr w:type="spellEnd"/>
      <w:r w:rsidR="00807A07" w:rsidRPr="00807A07">
        <w:rPr>
          <w:i/>
          <w:iCs/>
        </w:rPr>
        <w:t xml:space="preserve"> larynx</w:t>
      </w:r>
      <w:r w:rsidR="00807A07" w:rsidRPr="00807A07">
        <w:t xml:space="preserve">, </w:t>
      </w:r>
      <w:proofErr w:type="spellStart"/>
      <w:r w:rsidR="00807A07" w:rsidRPr="00807A07">
        <w:rPr>
          <w:i/>
          <w:iCs/>
        </w:rPr>
        <w:t>Bougainvillia</w:t>
      </w:r>
      <w:proofErr w:type="spellEnd"/>
      <w:r w:rsidR="00807A07" w:rsidRPr="00807A07">
        <w:rPr>
          <w:i/>
          <w:iCs/>
        </w:rPr>
        <w:t xml:space="preserve"> </w:t>
      </w:r>
      <w:proofErr w:type="spellStart"/>
      <w:r w:rsidR="00807A07" w:rsidRPr="00807A07">
        <w:rPr>
          <w:i/>
          <w:iCs/>
        </w:rPr>
        <w:t>muscus</w:t>
      </w:r>
      <w:proofErr w:type="spellEnd"/>
      <w:r w:rsidR="00807A07" w:rsidRPr="00807A07">
        <w:t xml:space="preserve">, and </w:t>
      </w:r>
      <w:r w:rsidR="00807A07" w:rsidRPr="00807A07">
        <w:rPr>
          <w:i/>
          <w:iCs/>
        </w:rPr>
        <w:t xml:space="preserve">Clytia </w:t>
      </w:r>
      <w:proofErr w:type="spellStart"/>
      <w:r w:rsidR="00807A07" w:rsidRPr="00807A07">
        <w:rPr>
          <w:i/>
          <w:iCs/>
        </w:rPr>
        <w:t>hemisphaerica</w:t>
      </w:r>
      <w:proofErr w:type="spellEnd"/>
      <w:r w:rsidR="00807A07" w:rsidRPr="00807A07">
        <w:t xml:space="preserve"> were all </w:t>
      </w:r>
      <w:r w:rsidR="00807A07">
        <w:t>allocated</w:t>
      </w:r>
      <w:r w:rsidR="00807A07" w:rsidRPr="00807A07">
        <w:t xml:space="preserve"> to species level by barcoding despite being recorded only as “Hydroid” or left unclassified in plankton and blade microscopy. </w:t>
      </w:r>
    </w:p>
    <w:p w14:paraId="46D2384B" w14:textId="5ABE369E" w:rsidR="004753BB" w:rsidRPr="004D0BBA" w:rsidRDefault="004753BB" w:rsidP="002B0DEA">
      <w:pPr>
        <w:jc w:val="both"/>
      </w:pPr>
      <w:r w:rsidRPr="004753BB">
        <w:t>Several barcoded taxa</w:t>
      </w:r>
      <w:r>
        <w:t xml:space="preserve"> including </w:t>
      </w:r>
      <w:proofErr w:type="spellStart"/>
      <w:r w:rsidRPr="004753BB">
        <w:rPr>
          <w:i/>
          <w:iCs/>
        </w:rPr>
        <w:t>Caprella</w:t>
      </w:r>
      <w:proofErr w:type="spellEnd"/>
      <w:r w:rsidRPr="004753BB">
        <w:rPr>
          <w:i/>
          <w:iCs/>
        </w:rPr>
        <w:t xml:space="preserve"> mutica</w:t>
      </w:r>
      <w:r w:rsidRPr="004753BB">
        <w:t xml:space="preserve">, </w:t>
      </w:r>
      <w:proofErr w:type="spellStart"/>
      <w:r w:rsidRPr="004753BB">
        <w:rPr>
          <w:i/>
          <w:iCs/>
        </w:rPr>
        <w:t>Jassa</w:t>
      </w:r>
      <w:proofErr w:type="spellEnd"/>
      <w:r w:rsidRPr="004753BB">
        <w:rPr>
          <w:i/>
          <w:iCs/>
        </w:rPr>
        <w:t xml:space="preserve"> </w:t>
      </w:r>
      <w:proofErr w:type="spellStart"/>
      <w:r w:rsidRPr="004753BB">
        <w:rPr>
          <w:i/>
          <w:iCs/>
        </w:rPr>
        <w:t>herdmani</w:t>
      </w:r>
      <w:proofErr w:type="spellEnd"/>
      <w:r w:rsidRPr="004753BB">
        <w:t xml:space="preserve">, </w:t>
      </w:r>
      <w:proofErr w:type="spellStart"/>
      <w:r w:rsidRPr="004753BB">
        <w:rPr>
          <w:i/>
          <w:iCs/>
        </w:rPr>
        <w:t>Hiatella</w:t>
      </w:r>
      <w:proofErr w:type="spellEnd"/>
      <w:r w:rsidRPr="004753BB">
        <w:rPr>
          <w:i/>
          <w:iCs/>
        </w:rPr>
        <w:t xml:space="preserve"> </w:t>
      </w:r>
      <w:proofErr w:type="spellStart"/>
      <w:r w:rsidRPr="004753BB">
        <w:rPr>
          <w:i/>
          <w:iCs/>
        </w:rPr>
        <w:t>arctica</w:t>
      </w:r>
      <w:proofErr w:type="spellEnd"/>
      <w:r w:rsidRPr="004753BB">
        <w:t xml:space="preserve">, </w:t>
      </w:r>
      <w:proofErr w:type="spellStart"/>
      <w:r w:rsidRPr="004753BB">
        <w:rPr>
          <w:i/>
          <w:iCs/>
        </w:rPr>
        <w:t>Ectopleura</w:t>
      </w:r>
      <w:proofErr w:type="spellEnd"/>
      <w:r w:rsidRPr="004753BB">
        <w:rPr>
          <w:i/>
          <w:iCs/>
        </w:rPr>
        <w:t xml:space="preserve"> larynx</w:t>
      </w:r>
      <w:r w:rsidRPr="004753BB">
        <w:t xml:space="preserve">, and </w:t>
      </w:r>
      <w:proofErr w:type="spellStart"/>
      <w:r w:rsidRPr="004753BB">
        <w:rPr>
          <w:i/>
          <w:iCs/>
        </w:rPr>
        <w:t>Bougainvillia</w:t>
      </w:r>
      <w:proofErr w:type="spellEnd"/>
      <w:r w:rsidRPr="004753BB">
        <w:rPr>
          <w:i/>
          <w:iCs/>
        </w:rPr>
        <w:t xml:space="preserve"> </w:t>
      </w:r>
      <w:proofErr w:type="spellStart"/>
      <w:r w:rsidRPr="004753BB">
        <w:rPr>
          <w:i/>
          <w:iCs/>
        </w:rPr>
        <w:t>muscus</w:t>
      </w:r>
      <w:proofErr w:type="spellEnd"/>
      <w:r>
        <w:t xml:space="preserve"> </w:t>
      </w:r>
      <w:r w:rsidRPr="004753BB">
        <w:t xml:space="preserve">were also recorded from rope scrubs, indicating that these species may establish on farm infrastructure prior to kelp blade development. Notably, </w:t>
      </w:r>
      <w:proofErr w:type="spellStart"/>
      <w:r w:rsidRPr="004753BB">
        <w:rPr>
          <w:i/>
          <w:iCs/>
        </w:rPr>
        <w:t>Hiatella</w:t>
      </w:r>
      <w:proofErr w:type="spellEnd"/>
      <w:r w:rsidRPr="004753BB">
        <w:rPr>
          <w:i/>
          <w:iCs/>
        </w:rPr>
        <w:t xml:space="preserve"> </w:t>
      </w:r>
      <w:proofErr w:type="spellStart"/>
      <w:r w:rsidRPr="004753BB">
        <w:rPr>
          <w:i/>
          <w:iCs/>
        </w:rPr>
        <w:t>arctica</w:t>
      </w:r>
      <w:proofErr w:type="spellEnd"/>
      <w:r w:rsidRPr="004753BB">
        <w:t>, a bivalve only identified via its juvenile form in microscopy, was confirmed through barcoding at 97.7% identity and detected on ropes, supporting the interpretation of rope colonisation as a precursor to blade settlement.</w:t>
      </w:r>
    </w:p>
    <w:p w14:paraId="32671CB0" w14:textId="172939EE" w:rsidR="337956E8" w:rsidRDefault="337956E8" w:rsidP="4FDD748D">
      <w:pPr>
        <w:jc w:val="both"/>
        <w:rPr>
          <w:i/>
          <w:iCs/>
        </w:rPr>
      </w:pPr>
    </w:p>
    <w:p w14:paraId="2C50F6B6" w14:textId="2DA28D2D" w:rsidR="00556FEA" w:rsidRDefault="00093C3B" w:rsidP="05439E97">
      <w:pPr>
        <w:keepNext/>
        <w:jc w:val="both"/>
        <w:rPr>
          <w:b/>
          <w:bCs/>
          <w:i/>
          <w:iCs/>
        </w:rPr>
      </w:pPr>
      <w:r w:rsidRPr="05439E97">
        <w:rPr>
          <w:b/>
          <w:bCs/>
          <w:i/>
          <w:iCs/>
        </w:rPr>
        <w:t>Assessing the efficiency of eDNA vs microscopy in detecting the planktonic stages of kelp epibionts</w:t>
      </w:r>
    </w:p>
    <w:p w14:paraId="29BC42E7" w14:textId="6EF71D66" w:rsidR="00556FEA" w:rsidRDefault="323B186D" w:rsidP="4FDD748D">
      <w:pPr>
        <w:keepNext/>
        <w:jc w:val="both"/>
      </w:pPr>
      <w:r>
        <w:t xml:space="preserve">Comparisons between eDNA and microscopy datasets revealed both overlaps and discrepancies in detection of epibiont taxa. </w:t>
      </w:r>
      <w:r w:rsidR="0C8E991A" w:rsidRPr="4FDD748D">
        <w:rPr>
          <w:rFonts w:ascii="Aptos" w:eastAsia="Aptos" w:hAnsi="Aptos" w:cs="Aptos"/>
        </w:rPr>
        <w:t>Across all five target groups, detections were generally more consistent and taxonomically specific in eDNA data. Although several species were successfully identified by both methods, they often</w:t>
      </w:r>
      <w:r w:rsidR="69B8DB97" w:rsidRPr="4FDD748D">
        <w:rPr>
          <w:rFonts w:ascii="Aptos" w:eastAsia="Aptos" w:hAnsi="Aptos" w:cs="Aptos"/>
        </w:rPr>
        <w:t xml:space="preserve"> varied in</w:t>
      </w:r>
      <w:r w:rsidR="0C8E991A" w:rsidRPr="4FDD748D">
        <w:rPr>
          <w:rFonts w:ascii="Aptos" w:eastAsia="Aptos" w:hAnsi="Aptos" w:cs="Aptos"/>
        </w:rPr>
        <w:t xml:space="preserve"> taxonomic depth</w:t>
      </w:r>
      <w:r w:rsidR="6A284E49" w:rsidRPr="4FDD748D">
        <w:rPr>
          <w:rFonts w:ascii="Aptos" w:eastAsia="Aptos" w:hAnsi="Aptos" w:cs="Aptos"/>
        </w:rPr>
        <w:t>.</w:t>
      </w:r>
    </w:p>
    <w:p w14:paraId="21732B4C" w14:textId="686DE288" w:rsidR="00556FEA" w:rsidRDefault="6A284E49" w:rsidP="4FDD748D">
      <w:pPr>
        <w:keepNext/>
        <w:jc w:val="both"/>
        <w:rPr>
          <w:rFonts w:ascii="Aptos" w:eastAsia="Aptos" w:hAnsi="Aptos" w:cs="Aptos"/>
        </w:rPr>
      </w:pPr>
      <w:r w:rsidRPr="6434679C">
        <w:rPr>
          <w:i/>
          <w:iCs/>
        </w:rPr>
        <w:t>Bryozoa</w:t>
      </w:r>
      <w:r w:rsidR="00556FEA">
        <w:br/>
      </w:r>
      <w:r w:rsidR="37EB020C" w:rsidRPr="6434679C">
        <w:rPr>
          <w:rFonts w:ascii="Aptos" w:eastAsia="Aptos" w:hAnsi="Aptos" w:cs="Aptos"/>
        </w:rPr>
        <w:t>Microscopy detected bryozoan larvae (</w:t>
      </w:r>
      <w:proofErr w:type="spellStart"/>
      <w:r w:rsidR="37EB020C" w:rsidRPr="6434679C">
        <w:rPr>
          <w:rFonts w:ascii="Aptos" w:eastAsia="Aptos" w:hAnsi="Aptos" w:cs="Aptos"/>
        </w:rPr>
        <w:t>cyphonautes</w:t>
      </w:r>
      <w:proofErr w:type="spellEnd"/>
      <w:r w:rsidR="37EB020C" w:rsidRPr="6434679C">
        <w:rPr>
          <w:rFonts w:ascii="Aptos" w:eastAsia="Aptos" w:hAnsi="Aptos" w:cs="Aptos"/>
        </w:rPr>
        <w:t xml:space="preserve">) in plankton tows, assigning them only to class level. The first major peak in bryozoan abundance occurred between October and November 2021, followed by a marked decline through January and February 2022. A second distinct increase was observed in March, indicating a spring emergence. These patterns aligned closely with eDNA detection trends, particularly for </w:t>
      </w:r>
      <w:r w:rsidR="37EB020C" w:rsidRPr="6434679C">
        <w:rPr>
          <w:rFonts w:ascii="Aptos" w:eastAsia="Aptos" w:hAnsi="Aptos" w:cs="Aptos"/>
          <w:i/>
          <w:iCs/>
        </w:rPr>
        <w:t>Electra pilosa</w:t>
      </w:r>
      <w:r w:rsidR="37EB020C" w:rsidRPr="6434679C">
        <w:rPr>
          <w:rFonts w:ascii="Aptos" w:eastAsia="Aptos" w:hAnsi="Aptos" w:cs="Aptos"/>
        </w:rPr>
        <w:t xml:space="preserve"> and </w:t>
      </w:r>
      <w:r w:rsidR="37EB020C" w:rsidRPr="6434679C">
        <w:rPr>
          <w:rFonts w:ascii="Aptos" w:eastAsia="Aptos" w:hAnsi="Aptos" w:cs="Aptos"/>
          <w:i/>
          <w:iCs/>
        </w:rPr>
        <w:t>Membranipora membranacea</w:t>
      </w:r>
      <w:r w:rsidR="37EB020C" w:rsidRPr="6434679C">
        <w:rPr>
          <w:rFonts w:ascii="Aptos" w:eastAsia="Aptos" w:hAnsi="Aptos" w:cs="Aptos"/>
        </w:rPr>
        <w:t xml:space="preserve">, both of which peaked during the autumn window—though </w:t>
      </w:r>
      <w:r w:rsidR="37EB020C" w:rsidRPr="6434679C">
        <w:rPr>
          <w:rFonts w:ascii="Aptos" w:eastAsia="Aptos" w:hAnsi="Aptos" w:cs="Aptos"/>
          <w:i/>
          <w:iCs/>
        </w:rPr>
        <w:t>M. membranacea</w:t>
      </w:r>
      <w:r w:rsidR="37EB020C" w:rsidRPr="6434679C">
        <w:rPr>
          <w:rFonts w:ascii="Aptos" w:eastAsia="Aptos" w:hAnsi="Aptos" w:cs="Aptos"/>
        </w:rPr>
        <w:t xml:space="preserve"> exhibited a weaker signal. In March, eDNA data showed a concurrent spike in </w:t>
      </w:r>
      <w:proofErr w:type="spellStart"/>
      <w:r w:rsidR="37EB020C" w:rsidRPr="6434679C">
        <w:rPr>
          <w:rFonts w:ascii="Aptos" w:eastAsia="Aptos" w:hAnsi="Aptos" w:cs="Aptos"/>
          <w:i/>
          <w:iCs/>
        </w:rPr>
        <w:t>Celleporella</w:t>
      </w:r>
      <w:proofErr w:type="spellEnd"/>
      <w:r w:rsidR="37EB020C" w:rsidRPr="6434679C">
        <w:rPr>
          <w:rFonts w:ascii="Aptos" w:eastAsia="Aptos" w:hAnsi="Aptos" w:cs="Aptos"/>
          <w:i/>
          <w:iCs/>
        </w:rPr>
        <w:t xml:space="preserve"> </w:t>
      </w:r>
      <w:proofErr w:type="spellStart"/>
      <w:r w:rsidR="37EB020C" w:rsidRPr="6434679C">
        <w:rPr>
          <w:rFonts w:ascii="Aptos" w:eastAsia="Aptos" w:hAnsi="Aptos" w:cs="Aptos"/>
          <w:i/>
          <w:iCs/>
        </w:rPr>
        <w:t>hyalina</w:t>
      </w:r>
      <w:proofErr w:type="spellEnd"/>
      <w:r w:rsidR="37EB020C" w:rsidRPr="6434679C">
        <w:rPr>
          <w:rFonts w:ascii="Aptos" w:eastAsia="Aptos" w:hAnsi="Aptos" w:cs="Aptos"/>
        </w:rPr>
        <w:t xml:space="preserve">, a key </w:t>
      </w:r>
      <w:proofErr w:type="spellStart"/>
      <w:r w:rsidR="37EB020C" w:rsidRPr="6434679C">
        <w:rPr>
          <w:rFonts w:ascii="Aptos" w:eastAsia="Aptos" w:hAnsi="Aptos" w:cs="Aptos"/>
        </w:rPr>
        <w:t>biofouler</w:t>
      </w:r>
      <w:proofErr w:type="spellEnd"/>
      <w:r w:rsidR="37EB020C" w:rsidRPr="6434679C">
        <w:rPr>
          <w:rFonts w:ascii="Aptos" w:eastAsia="Aptos" w:hAnsi="Aptos" w:cs="Aptos"/>
        </w:rPr>
        <w:t xml:space="preserve"> confirmed via blade barcoding (Table 1), which was not detected in microscopy samples. Notably, bryozoans were undetected in both datasets during May, but re-emerged in June, culminating in a strong summer peak in plankton counts in July. This preceded visible and severe (~60%) colonisation of </w:t>
      </w:r>
      <w:r w:rsidR="37EB020C" w:rsidRPr="6434679C">
        <w:rPr>
          <w:rFonts w:ascii="Aptos" w:eastAsia="Aptos" w:hAnsi="Aptos" w:cs="Aptos"/>
          <w:i/>
          <w:iCs/>
        </w:rPr>
        <w:t>Saccharina</w:t>
      </w:r>
      <w:r w:rsidR="37EB020C" w:rsidRPr="6434679C">
        <w:rPr>
          <w:rFonts w:ascii="Aptos" w:eastAsia="Aptos" w:hAnsi="Aptos" w:cs="Aptos"/>
        </w:rPr>
        <w:t xml:space="preserve"> blades in late July (Fig. 2), whereas </w:t>
      </w:r>
      <w:r w:rsidR="37EB020C" w:rsidRPr="6434679C">
        <w:rPr>
          <w:rFonts w:ascii="Aptos" w:eastAsia="Aptos" w:hAnsi="Aptos" w:cs="Aptos"/>
          <w:i/>
          <w:iCs/>
        </w:rPr>
        <w:t>Alaria</w:t>
      </w:r>
      <w:r w:rsidR="37EB020C" w:rsidRPr="6434679C">
        <w:rPr>
          <w:rFonts w:ascii="Aptos" w:eastAsia="Aptos" w:hAnsi="Aptos" w:cs="Aptos"/>
        </w:rPr>
        <w:t xml:space="preserve"> blades remained unaffected throughout the study period.</w:t>
      </w:r>
    </w:p>
    <w:p w14:paraId="5D0AACCE" w14:textId="01CCDA8B" w:rsidR="00556FEA" w:rsidRDefault="67E7F0F4" w:rsidP="4FDD748D">
      <w:pPr>
        <w:keepNext/>
        <w:jc w:val="both"/>
        <w:rPr>
          <w:rFonts w:ascii="Aptos" w:eastAsia="Aptos" w:hAnsi="Aptos" w:cs="Aptos"/>
        </w:rPr>
      </w:pPr>
      <w:proofErr w:type="spellStart"/>
      <w:r w:rsidRPr="4FDD748D">
        <w:rPr>
          <w:rFonts w:ascii="Aptos" w:eastAsia="Aptos" w:hAnsi="Aptos" w:cs="Aptos"/>
          <w:i/>
          <w:iCs/>
        </w:rPr>
        <w:t>Hydrozoa</w:t>
      </w:r>
      <w:proofErr w:type="spellEnd"/>
      <w:r w:rsidR="0018095A">
        <w:br/>
      </w:r>
      <w:r w:rsidR="0B2F44E9" w:rsidRPr="4FDD748D">
        <w:rPr>
          <w:rFonts w:ascii="Aptos" w:eastAsia="Aptos" w:hAnsi="Aptos" w:cs="Aptos"/>
        </w:rPr>
        <w:t>Plankton microscopy recorded low levels of hydrozoan abundance in September and October 2021, followed by a period of no detection throughout winter and early spring. Abundances began to gradually increase in May 2022, culminating in a distinct peak between late May and June, when cell concentrations reached their highest levels (Fig. 3).</w:t>
      </w:r>
      <w:r w:rsidRPr="4FDD748D">
        <w:rPr>
          <w:rFonts w:ascii="Aptos" w:eastAsia="Aptos" w:hAnsi="Aptos" w:cs="Aptos"/>
        </w:rPr>
        <w:t xml:space="preserve"> This seasonal pulse coincided with sharp increases in blade colonisation on Saccharina, where</w:t>
      </w:r>
      <w:r w:rsidR="47A78D2A" w:rsidRPr="4FDD748D">
        <w:rPr>
          <w:rFonts w:ascii="Aptos" w:eastAsia="Aptos" w:hAnsi="Aptos" w:cs="Aptos"/>
        </w:rPr>
        <w:t xml:space="preserve"> mean</w:t>
      </w:r>
      <w:r w:rsidRPr="4FDD748D">
        <w:rPr>
          <w:rFonts w:ascii="Aptos" w:eastAsia="Aptos" w:hAnsi="Aptos" w:cs="Aptos"/>
        </w:rPr>
        <w:t xml:space="preserve"> coverage rose steeply in June </w:t>
      </w:r>
      <w:r w:rsidRPr="4FDD748D">
        <w:rPr>
          <w:rFonts w:ascii="Aptos" w:eastAsia="Aptos" w:hAnsi="Aptos" w:cs="Aptos"/>
        </w:rPr>
        <w:lastRenderedPageBreak/>
        <w:t xml:space="preserve">and reached its maximum in mid-July (~30%). Alaria exhibited substantially lower levels of colonisation, </w:t>
      </w:r>
      <w:r w:rsidR="44E6B183" w:rsidRPr="4FDD748D">
        <w:rPr>
          <w:rFonts w:ascii="Aptos" w:eastAsia="Aptos" w:hAnsi="Aptos" w:cs="Aptos"/>
        </w:rPr>
        <w:t xml:space="preserve">with the average only </w:t>
      </w:r>
      <w:r w:rsidR="38562BEC" w:rsidRPr="4FDD748D">
        <w:rPr>
          <w:rFonts w:ascii="Aptos" w:eastAsia="Aptos" w:hAnsi="Aptos" w:cs="Aptos"/>
        </w:rPr>
        <w:t>peaking at</w:t>
      </w:r>
      <w:r w:rsidR="44E6B183" w:rsidRPr="4FDD748D">
        <w:rPr>
          <w:rFonts w:ascii="Aptos" w:eastAsia="Aptos" w:hAnsi="Aptos" w:cs="Aptos"/>
        </w:rPr>
        <w:t xml:space="preserve"> </w:t>
      </w:r>
      <w:r w:rsidRPr="4FDD748D">
        <w:rPr>
          <w:rFonts w:ascii="Aptos" w:eastAsia="Aptos" w:hAnsi="Aptos" w:cs="Aptos"/>
        </w:rPr>
        <w:t xml:space="preserve">~3% </w:t>
      </w:r>
      <w:r w:rsidR="4BF3A67C" w:rsidRPr="4FDD748D">
        <w:rPr>
          <w:rFonts w:ascii="Aptos" w:eastAsia="Aptos" w:hAnsi="Aptos" w:cs="Aptos"/>
        </w:rPr>
        <w:t xml:space="preserve">coverage </w:t>
      </w:r>
      <w:r w:rsidRPr="4FDD748D">
        <w:rPr>
          <w:rFonts w:ascii="Aptos" w:eastAsia="Aptos" w:hAnsi="Aptos" w:cs="Aptos"/>
        </w:rPr>
        <w:t>in early July.</w:t>
      </w:r>
    </w:p>
    <w:p w14:paraId="7815A904" w14:textId="5977261D" w:rsidR="3CEDBB84" w:rsidRDefault="3CEDBB84" w:rsidP="6434679C">
      <w:pPr>
        <w:keepNext/>
        <w:spacing w:before="240" w:after="240"/>
        <w:rPr>
          <w:rFonts w:ascii="Aptos" w:eastAsia="Aptos" w:hAnsi="Aptos" w:cs="Aptos"/>
        </w:rPr>
      </w:pPr>
      <w:r w:rsidRPr="6434679C">
        <w:rPr>
          <w:rFonts w:ascii="Aptos" w:eastAsia="Aptos" w:hAnsi="Aptos" w:cs="Aptos"/>
        </w:rPr>
        <w:t xml:space="preserve">Microscopic analysis was only able to identify hydrozoans to the class level, reflecting the limited taxonomic resolution of traditional plankton surveys. In contrast, the molecular dataset identified 25 distinct hydrozoan taxa at the genus or species level. Among the most prominent were </w:t>
      </w:r>
      <w:proofErr w:type="spellStart"/>
      <w:r w:rsidRPr="6434679C">
        <w:rPr>
          <w:rFonts w:ascii="Aptos" w:eastAsia="Aptos" w:hAnsi="Aptos" w:cs="Aptos"/>
          <w:i/>
          <w:iCs/>
        </w:rPr>
        <w:t>Bougainvillia</w:t>
      </w:r>
      <w:proofErr w:type="spellEnd"/>
      <w:r w:rsidRPr="6434679C">
        <w:rPr>
          <w:rFonts w:ascii="Aptos" w:eastAsia="Aptos" w:hAnsi="Aptos" w:cs="Aptos"/>
          <w:i/>
          <w:iCs/>
        </w:rPr>
        <w:t xml:space="preserve"> </w:t>
      </w:r>
      <w:proofErr w:type="spellStart"/>
      <w:r w:rsidRPr="6434679C">
        <w:rPr>
          <w:rFonts w:ascii="Aptos" w:eastAsia="Aptos" w:hAnsi="Aptos" w:cs="Aptos"/>
          <w:i/>
          <w:iCs/>
        </w:rPr>
        <w:t>muscus</w:t>
      </w:r>
      <w:proofErr w:type="spellEnd"/>
      <w:r w:rsidRPr="6434679C">
        <w:rPr>
          <w:rFonts w:ascii="Aptos" w:eastAsia="Aptos" w:hAnsi="Aptos" w:cs="Aptos"/>
        </w:rPr>
        <w:t xml:space="preserve"> and </w:t>
      </w:r>
      <w:r w:rsidRPr="6434679C">
        <w:rPr>
          <w:rFonts w:ascii="Aptos" w:eastAsia="Aptos" w:hAnsi="Aptos" w:cs="Aptos"/>
          <w:i/>
          <w:iCs/>
        </w:rPr>
        <w:t>Clytia</w:t>
      </w:r>
      <w:r w:rsidRPr="6434679C">
        <w:rPr>
          <w:rFonts w:ascii="Aptos" w:eastAsia="Aptos" w:hAnsi="Aptos" w:cs="Aptos"/>
        </w:rPr>
        <w:t xml:space="preserve"> spp., both of which were also confirmed from blade samples via CO1 barcoding (Table 1). Notably, </w:t>
      </w:r>
      <w:r w:rsidRPr="6434679C">
        <w:rPr>
          <w:rFonts w:ascii="Aptos" w:eastAsia="Aptos" w:hAnsi="Aptos" w:cs="Aptos"/>
          <w:i/>
          <w:iCs/>
        </w:rPr>
        <w:t>Clytia</w:t>
      </w:r>
      <w:r w:rsidRPr="6434679C">
        <w:rPr>
          <w:rFonts w:ascii="Aptos" w:eastAsia="Aptos" w:hAnsi="Aptos" w:cs="Aptos"/>
        </w:rPr>
        <w:t xml:space="preserve"> sp. 2 exhibited the broadest temporal range of detection, with eDNA signals present from November 2021 through July 2022 with brief dropouts in December and late February. This taxon also exhibited the single highest peak in eDNA abundance among hydrozoans in early February.</w:t>
      </w:r>
      <w:r w:rsidR="5B8606D7" w:rsidRPr="6434679C">
        <w:rPr>
          <w:rFonts w:ascii="Aptos" w:eastAsia="Aptos" w:hAnsi="Aptos" w:cs="Aptos"/>
        </w:rPr>
        <w:t xml:space="preserve"> </w:t>
      </w:r>
    </w:p>
    <w:p w14:paraId="75CCA5E4" w14:textId="24CCD731" w:rsidR="5B8606D7" w:rsidRDefault="5B8606D7" w:rsidP="6434679C">
      <w:pPr>
        <w:keepNext/>
        <w:spacing w:before="240" w:after="240"/>
        <w:rPr>
          <w:rFonts w:ascii="Aptos" w:eastAsia="Aptos" w:hAnsi="Aptos" w:cs="Aptos"/>
        </w:rPr>
      </w:pPr>
      <w:r w:rsidRPr="6434679C">
        <w:rPr>
          <w:rFonts w:ascii="Aptos" w:eastAsia="Aptos" w:hAnsi="Aptos" w:cs="Aptos"/>
        </w:rPr>
        <w:t>B</w:t>
      </w:r>
      <w:r w:rsidR="3CEDBB84" w:rsidRPr="6434679C">
        <w:rPr>
          <w:rFonts w:ascii="Aptos" w:eastAsia="Aptos" w:hAnsi="Aptos" w:cs="Aptos"/>
        </w:rPr>
        <w:t xml:space="preserve">oth </w:t>
      </w:r>
      <w:proofErr w:type="spellStart"/>
      <w:r w:rsidR="3CEDBB84" w:rsidRPr="6434679C">
        <w:rPr>
          <w:rFonts w:ascii="Aptos" w:eastAsia="Aptos" w:hAnsi="Aptos" w:cs="Aptos"/>
          <w:i/>
          <w:iCs/>
        </w:rPr>
        <w:t>Bougainvillia</w:t>
      </w:r>
      <w:proofErr w:type="spellEnd"/>
      <w:r w:rsidR="3CEDBB84" w:rsidRPr="6434679C">
        <w:rPr>
          <w:rFonts w:ascii="Aptos" w:eastAsia="Aptos" w:hAnsi="Aptos" w:cs="Aptos"/>
          <w:i/>
          <w:iCs/>
        </w:rPr>
        <w:t xml:space="preserve"> </w:t>
      </w:r>
      <w:proofErr w:type="spellStart"/>
      <w:r w:rsidR="3CEDBB84" w:rsidRPr="6434679C">
        <w:rPr>
          <w:rFonts w:ascii="Aptos" w:eastAsia="Aptos" w:hAnsi="Aptos" w:cs="Aptos"/>
          <w:i/>
          <w:iCs/>
        </w:rPr>
        <w:t>muscus</w:t>
      </w:r>
      <w:proofErr w:type="spellEnd"/>
      <w:r w:rsidR="3CEDBB84" w:rsidRPr="6434679C">
        <w:rPr>
          <w:rFonts w:ascii="Aptos" w:eastAsia="Aptos" w:hAnsi="Aptos" w:cs="Aptos"/>
        </w:rPr>
        <w:t xml:space="preserve"> and </w:t>
      </w:r>
      <w:r w:rsidR="3CEDBB84" w:rsidRPr="6434679C">
        <w:rPr>
          <w:rFonts w:ascii="Aptos" w:eastAsia="Aptos" w:hAnsi="Aptos" w:cs="Aptos"/>
          <w:i/>
          <w:iCs/>
        </w:rPr>
        <w:t>Clytia</w:t>
      </w:r>
      <w:r w:rsidR="3CEDBB84" w:rsidRPr="6434679C">
        <w:rPr>
          <w:rFonts w:ascii="Aptos" w:eastAsia="Aptos" w:hAnsi="Aptos" w:cs="Aptos"/>
        </w:rPr>
        <w:t xml:space="preserve"> sp. 2 showed pronounced eDNA signals in March and April, preceding a sharp rise in hydrozoan plankton abundance and later followed by peak blade colonisation on </w:t>
      </w:r>
      <w:r w:rsidR="3CEDBB84" w:rsidRPr="6434679C">
        <w:rPr>
          <w:rFonts w:ascii="Aptos" w:eastAsia="Aptos" w:hAnsi="Aptos" w:cs="Aptos"/>
          <w:i/>
          <w:iCs/>
        </w:rPr>
        <w:t>Saccharina</w:t>
      </w:r>
      <w:r w:rsidR="3CEDBB84" w:rsidRPr="6434679C">
        <w:rPr>
          <w:rFonts w:ascii="Aptos" w:eastAsia="Aptos" w:hAnsi="Aptos" w:cs="Aptos"/>
        </w:rPr>
        <w:t xml:space="preserve"> in June and July. In addition to these dominant taxa, several other hydrozoan</w:t>
      </w:r>
      <w:r w:rsidR="3510A7BA" w:rsidRPr="6434679C">
        <w:rPr>
          <w:rFonts w:ascii="Aptos" w:eastAsia="Aptos" w:hAnsi="Aptos" w:cs="Aptos"/>
        </w:rPr>
        <w:t>s including</w:t>
      </w:r>
      <w:r w:rsidR="3CEDBB84" w:rsidRPr="6434679C">
        <w:rPr>
          <w:rFonts w:ascii="Aptos" w:eastAsia="Aptos" w:hAnsi="Aptos" w:cs="Aptos"/>
        </w:rPr>
        <w:t xml:space="preserve"> </w:t>
      </w:r>
      <w:proofErr w:type="spellStart"/>
      <w:r w:rsidR="3CEDBB84" w:rsidRPr="6434679C">
        <w:rPr>
          <w:rFonts w:ascii="Aptos" w:eastAsia="Aptos" w:hAnsi="Aptos" w:cs="Aptos"/>
          <w:i/>
          <w:iCs/>
        </w:rPr>
        <w:t>Ectopleura</w:t>
      </w:r>
      <w:proofErr w:type="spellEnd"/>
      <w:r w:rsidR="3CEDBB84" w:rsidRPr="6434679C">
        <w:rPr>
          <w:rFonts w:ascii="Aptos" w:eastAsia="Aptos" w:hAnsi="Aptos" w:cs="Aptos"/>
          <w:i/>
          <w:iCs/>
        </w:rPr>
        <w:t xml:space="preserve"> larynx</w:t>
      </w:r>
      <w:r w:rsidR="3CEDBB84" w:rsidRPr="6434679C">
        <w:rPr>
          <w:rFonts w:ascii="Aptos" w:eastAsia="Aptos" w:hAnsi="Aptos" w:cs="Aptos"/>
        </w:rPr>
        <w:t xml:space="preserve"> and </w:t>
      </w:r>
      <w:r w:rsidR="3CEDBB84" w:rsidRPr="6434679C">
        <w:rPr>
          <w:rFonts w:ascii="Aptos" w:eastAsia="Aptos" w:hAnsi="Aptos" w:cs="Aptos"/>
          <w:i/>
          <w:iCs/>
        </w:rPr>
        <w:t>Obelia dichotoma</w:t>
      </w:r>
      <w:r w:rsidR="45DF9E00" w:rsidRPr="6434679C">
        <w:rPr>
          <w:rFonts w:ascii="Aptos" w:eastAsia="Aptos" w:hAnsi="Aptos" w:cs="Aptos"/>
          <w:i/>
          <w:iCs/>
        </w:rPr>
        <w:t xml:space="preserve"> </w:t>
      </w:r>
      <w:r w:rsidR="3CEDBB84" w:rsidRPr="6434679C">
        <w:rPr>
          <w:rFonts w:ascii="Aptos" w:eastAsia="Aptos" w:hAnsi="Aptos" w:cs="Aptos"/>
        </w:rPr>
        <w:t xml:space="preserve">were </w:t>
      </w:r>
      <w:r w:rsidR="666ADA73" w:rsidRPr="6434679C">
        <w:rPr>
          <w:rFonts w:ascii="Aptos" w:eastAsia="Aptos" w:hAnsi="Aptos" w:cs="Aptos"/>
        </w:rPr>
        <w:t xml:space="preserve">also </w:t>
      </w:r>
      <w:r w:rsidR="3CEDBB84" w:rsidRPr="6434679C">
        <w:rPr>
          <w:rFonts w:ascii="Aptos" w:eastAsia="Aptos" w:hAnsi="Aptos" w:cs="Aptos"/>
        </w:rPr>
        <w:t>detected at lower and more sporadic levels between early March and late May.</w:t>
      </w:r>
      <w:r w:rsidR="1221E5C5" w:rsidRPr="6434679C">
        <w:rPr>
          <w:rFonts w:ascii="Aptos" w:eastAsia="Aptos" w:hAnsi="Aptos" w:cs="Aptos"/>
        </w:rPr>
        <w:t xml:space="preserve"> D</w:t>
      </w:r>
      <w:r w:rsidR="3CEDBB84" w:rsidRPr="6434679C">
        <w:rPr>
          <w:rFonts w:ascii="Aptos" w:eastAsia="Aptos" w:hAnsi="Aptos" w:cs="Aptos"/>
        </w:rPr>
        <w:t xml:space="preserve">espite generally low detection levels during the winter months, faint eDNA signals from hydrozoans such as </w:t>
      </w:r>
      <w:proofErr w:type="spellStart"/>
      <w:r w:rsidR="3CEDBB84" w:rsidRPr="6434679C">
        <w:rPr>
          <w:rFonts w:ascii="Aptos" w:eastAsia="Aptos" w:hAnsi="Aptos" w:cs="Aptos"/>
          <w:i/>
          <w:iCs/>
        </w:rPr>
        <w:t>Aglaophenia</w:t>
      </w:r>
      <w:proofErr w:type="spellEnd"/>
      <w:r w:rsidR="3CEDBB84" w:rsidRPr="6434679C">
        <w:rPr>
          <w:rFonts w:ascii="Aptos" w:eastAsia="Aptos" w:hAnsi="Aptos" w:cs="Aptos"/>
          <w:i/>
          <w:iCs/>
        </w:rPr>
        <w:t xml:space="preserve"> </w:t>
      </w:r>
      <w:proofErr w:type="spellStart"/>
      <w:r w:rsidR="3CEDBB84" w:rsidRPr="6434679C">
        <w:rPr>
          <w:rFonts w:ascii="Aptos" w:eastAsia="Aptos" w:hAnsi="Aptos" w:cs="Aptos"/>
          <w:i/>
          <w:iCs/>
        </w:rPr>
        <w:t>tubulifera</w:t>
      </w:r>
      <w:proofErr w:type="spellEnd"/>
      <w:r w:rsidR="3CEDBB84" w:rsidRPr="6434679C">
        <w:rPr>
          <w:rFonts w:ascii="Aptos" w:eastAsia="Aptos" w:hAnsi="Aptos" w:cs="Aptos"/>
        </w:rPr>
        <w:t xml:space="preserve"> and </w:t>
      </w:r>
      <w:r w:rsidR="3CEDBB84" w:rsidRPr="6434679C">
        <w:rPr>
          <w:rFonts w:ascii="Aptos" w:eastAsia="Aptos" w:hAnsi="Aptos" w:cs="Aptos"/>
          <w:i/>
          <w:iCs/>
        </w:rPr>
        <w:t>Obelia bidentata</w:t>
      </w:r>
      <w:r w:rsidR="3CEDBB84" w:rsidRPr="6434679C">
        <w:rPr>
          <w:rFonts w:ascii="Aptos" w:eastAsia="Aptos" w:hAnsi="Aptos" w:cs="Aptos"/>
        </w:rPr>
        <w:t xml:space="preserve"> were recorded sporadically in December and early February. However, these detections were not reflected in blade colonisation or microscopy counts, suggesting either early-stage presence or low-density overwintering cohorts that remained undetectable by visual methods.</w:t>
      </w:r>
    </w:p>
    <w:p w14:paraId="00C69326" w14:textId="6CAD8F8F" w:rsidR="00556FEA" w:rsidRDefault="1DCA9B3A" w:rsidP="4FDD748D">
      <w:pPr>
        <w:keepNext/>
        <w:rPr>
          <w:rFonts w:ascii="Aptos" w:eastAsia="Aptos" w:hAnsi="Aptos" w:cs="Aptos"/>
        </w:rPr>
      </w:pPr>
      <w:r w:rsidRPr="4FDD748D">
        <w:rPr>
          <w:rFonts w:ascii="Aptos" w:eastAsia="Aptos" w:hAnsi="Aptos" w:cs="Aptos"/>
          <w:i/>
          <w:iCs/>
        </w:rPr>
        <w:t>Bivalvia</w:t>
      </w:r>
      <w:r w:rsidR="0018095A">
        <w:br/>
      </w:r>
      <w:r w:rsidR="241CDE52">
        <w:t>Bivalve larvae were consistently detected by microscopy, with abundances gradually increasing from January 2022 and peaking sharply in mid-July, reaching mean values exceeding 2,000 cells/L, the highest recorded for any taxonomic group in the study</w:t>
      </w:r>
      <w:r w:rsidR="1C0CA53C">
        <w:t xml:space="preserve"> (Fig. 4)</w:t>
      </w:r>
      <w:r w:rsidR="241CDE52">
        <w:t xml:space="preserve">. In contrast, eDNA metabarcoding revealed more intermittent but taxonomically resolved patterns. Early-season detections included </w:t>
      </w:r>
      <w:proofErr w:type="spellStart"/>
      <w:r w:rsidR="241CDE52" w:rsidRPr="4FDD748D">
        <w:rPr>
          <w:i/>
          <w:iCs/>
        </w:rPr>
        <w:t>Montacutona</w:t>
      </w:r>
      <w:proofErr w:type="spellEnd"/>
      <w:r w:rsidR="241CDE52" w:rsidRPr="4FDD748D">
        <w:rPr>
          <w:i/>
          <w:iCs/>
        </w:rPr>
        <w:t xml:space="preserve"> </w:t>
      </w:r>
      <w:proofErr w:type="spellStart"/>
      <w:r w:rsidR="241CDE52" w:rsidRPr="4FDD748D">
        <w:rPr>
          <w:i/>
          <w:iCs/>
        </w:rPr>
        <w:t>signalinoidicola</w:t>
      </w:r>
      <w:proofErr w:type="spellEnd"/>
      <w:r w:rsidR="241CDE52" w:rsidRPr="4FDD748D">
        <w:rPr>
          <w:i/>
          <w:iCs/>
        </w:rPr>
        <w:t xml:space="preserve"> </w:t>
      </w:r>
      <w:r w:rsidR="241CDE52">
        <w:t>and</w:t>
      </w:r>
      <w:r w:rsidR="241CDE52" w:rsidRPr="4FDD748D">
        <w:rPr>
          <w:i/>
          <w:iCs/>
        </w:rPr>
        <w:t xml:space="preserve"> Mytilus edulis</w:t>
      </w:r>
      <w:r w:rsidR="241CDE52">
        <w:t xml:space="preserve"> in October and November 2021, which were not </w:t>
      </w:r>
      <w:proofErr w:type="spellStart"/>
      <w:r w:rsidR="241CDE52">
        <w:t>detectted</w:t>
      </w:r>
      <w:proofErr w:type="spellEnd"/>
      <w:r w:rsidR="241CDE52">
        <w:t xml:space="preserve"> by microscopy. A second, more pronounced eDNA signal was observed between May and June, dominated by </w:t>
      </w:r>
      <w:r w:rsidR="241CDE52" w:rsidRPr="4FDD748D">
        <w:rPr>
          <w:i/>
          <w:iCs/>
        </w:rPr>
        <w:t xml:space="preserve">Kurtiella bidentata </w:t>
      </w:r>
      <w:r w:rsidR="241CDE52">
        <w:t>and</w:t>
      </w:r>
      <w:r w:rsidR="241CDE52" w:rsidRPr="4FDD748D">
        <w:rPr>
          <w:i/>
          <w:iCs/>
        </w:rPr>
        <w:t xml:space="preserve"> </w:t>
      </w:r>
      <w:proofErr w:type="spellStart"/>
      <w:r w:rsidR="241CDE52" w:rsidRPr="4FDD748D">
        <w:rPr>
          <w:i/>
          <w:iCs/>
        </w:rPr>
        <w:t>Dosinia</w:t>
      </w:r>
      <w:proofErr w:type="spellEnd"/>
      <w:r w:rsidR="241CDE52" w:rsidRPr="4FDD748D">
        <w:rPr>
          <w:i/>
          <w:iCs/>
        </w:rPr>
        <w:t xml:space="preserve"> sp</w:t>
      </w:r>
      <w:r w:rsidR="241CDE52">
        <w:t>. This molecular peak closely coincided with rising plankton abundance and preceded the onset of visible bivalve colonisation on kelp blades, particularly on Saccharina.</w:t>
      </w:r>
    </w:p>
    <w:p w14:paraId="6E0B6AF3" w14:textId="6486846E" w:rsidR="00556FEA" w:rsidRDefault="241CDE52" w:rsidP="4FDD748D">
      <w:pPr>
        <w:keepNext/>
      </w:pPr>
      <w:r>
        <w:t xml:space="preserve">Blade colonisation was </w:t>
      </w:r>
      <w:r w:rsidR="7D5E9599">
        <w:t xml:space="preserve">substantially </w:t>
      </w:r>
      <w:r>
        <w:t xml:space="preserve">higher on </w:t>
      </w:r>
      <w:r w:rsidRPr="4FDD748D">
        <w:rPr>
          <w:i/>
          <w:iCs/>
        </w:rPr>
        <w:t>Saccharina</w:t>
      </w:r>
      <w:r>
        <w:t xml:space="preserve">, where total bivalve densities exceeded 3 individuals/cm² by late July. This fouling was primarily attributed to </w:t>
      </w:r>
      <w:r w:rsidRPr="4FDD748D">
        <w:rPr>
          <w:i/>
          <w:iCs/>
        </w:rPr>
        <w:t>Mytilus sp</w:t>
      </w:r>
      <w:r>
        <w:t xml:space="preserve">., Pecten sp., and several other bivalves that remained unresolved beyond class level in microscopy. In contrast, </w:t>
      </w:r>
      <w:r w:rsidRPr="4FDD748D">
        <w:rPr>
          <w:i/>
          <w:iCs/>
        </w:rPr>
        <w:t xml:space="preserve">Alaria </w:t>
      </w:r>
      <w:r>
        <w:t xml:space="preserve">supported minimal colonisation, with peak densities remaining below 0.004 </w:t>
      </w:r>
      <w:proofErr w:type="spellStart"/>
      <w:r>
        <w:t>ind</w:t>
      </w:r>
      <w:proofErr w:type="spellEnd"/>
      <w:r>
        <w:t xml:space="preserve">/cm². However, bivalve settlement on </w:t>
      </w:r>
      <w:r w:rsidRPr="4FDD748D">
        <w:rPr>
          <w:i/>
          <w:iCs/>
        </w:rPr>
        <w:t xml:space="preserve">Alaria </w:t>
      </w:r>
      <w:r>
        <w:t xml:space="preserve">was detectable from March through May, prior to the cessation of sampling for this species. </w:t>
      </w:r>
    </w:p>
    <w:p w14:paraId="28C6A6A3" w14:textId="18137302" w:rsidR="00556FEA" w:rsidRDefault="71DB10E8" w:rsidP="4FDD748D">
      <w:pPr>
        <w:keepNext/>
        <w:rPr>
          <w:rFonts w:ascii="Aptos" w:eastAsia="Aptos" w:hAnsi="Aptos" w:cs="Arial"/>
          <w:i/>
          <w:iCs/>
        </w:rPr>
      </w:pPr>
      <w:r w:rsidRPr="4FDD748D">
        <w:rPr>
          <w:rFonts w:ascii="Aptos" w:eastAsia="Aptos" w:hAnsi="Aptos" w:cs="Arial"/>
          <w:i/>
          <w:iCs/>
        </w:rPr>
        <w:t>Amphipoda</w:t>
      </w:r>
    </w:p>
    <w:p w14:paraId="7FAE476E" w14:textId="64B009B0" w:rsidR="00556FEA" w:rsidRDefault="71DB10E8" w:rsidP="4FDD748D">
      <w:pPr>
        <w:keepNext/>
        <w:rPr>
          <w:rFonts w:ascii="Aptos" w:eastAsia="Aptos" w:hAnsi="Aptos" w:cs="Arial"/>
        </w:rPr>
      </w:pPr>
      <w:r w:rsidRPr="4FDD748D">
        <w:rPr>
          <w:rFonts w:ascii="Aptos" w:eastAsia="Aptos" w:hAnsi="Aptos" w:cs="Arial"/>
        </w:rPr>
        <w:t xml:space="preserve">Amphipod larvae were detected at low and sporadic levels by microscopy between January and March, followed by a sharp increase in abundance peaking in May at over 125 cells/L (Fig. 5). Microscopy could only assign blade specimens to higher taxonomic levels (e.g. Gammaridae, </w:t>
      </w:r>
      <w:proofErr w:type="spellStart"/>
      <w:r w:rsidRPr="4FDD748D">
        <w:rPr>
          <w:rFonts w:ascii="Aptos" w:eastAsia="Aptos" w:hAnsi="Aptos" w:cs="Arial"/>
        </w:rPr>
        <w:t>Caprellidae</w:t>
      </w:r>
      <w:proofErr w:type="spellEnd"/>
      <w:r w:rsidRPr="4FDD748D">
        <w:rPr>
          <w:rFonts w:ascii="Aptos" w:eastAsia="Aptos" w:hAnsi="Aptos" w:cs="Arial"/>
        </w:rPr>
        <w:t xml:space="preserve">), without species-level resolution. In contrast, eDNA metabarcoding resolved three distinct amphipod taxa in the water column: </w:t>
      </w:r>
      <w:proofErr w:type="spellStart"/>
      <w:r w:rsidRPr="4FDD748D">
        <w:rPr>
          <w:rFonts w:ascii="Aptos" w:eastAsia="Aptos" w:hAnsi="Aptos" w:cs="Arial"/>
          <w:i/>
          <w:iCs/>
        </w:rPr>
        <w:t>Jassa</w:t>
      </w:r>
      <w:proofErr w:type="spellEnd"/>
      <w:r w:rsidRPr="4FDD748D">
        <w:rPr>
          <w:rFonts w:ascii="Aptos" w:eastAsia="Aptos" w:hAnsi="Aptos" w:cs="Arial"/>
          <w:i/>
          <w:iCs/>
        </w:rPr>
        <w:t xml:space="preserve"> </w:t>
      </w:r>
      <w:proofErr w:type="spellStart"/>
      <w:r w:rsidRPr="4FDD748D">
        <w:rPr>
          <w:rFonts w:ascii="Aptos" w:eastAsia="Aptos" w:hAnsi="Aptos" w:cs="Arial"/>
          <w:i/>
          <w:iCs/>
        </w:rPr>
        <w:t>herdmani</w:t>
      </w:r>
      <w:proofErr w:type="spellEnd"/>
      <w:r w:rsidRPr="4FDD748D">
        <w:rPr>
          <w:rFonts w:ascii="Aptos" w:eastAsia="Aptos" w:hAnsi="Aptos" w:cs="Arial"/>
        </w:rPr>
        <w:t xml:space="preserve">, </w:t>
      </w:r>
      <w:proofErr w:type="spellStart"/>
      <w:r w:rsidRPr="4FDD748D">
        <w:rPr>
          <w:rFonts w:ascii="Aptos" w:eastAsia="Aptos" w:hAnsi="Aptos" w:cs="Arial"/>
          <w:i/>
          <w:iCs/>
        </w:rPr>
        <w:t>Aora</w:t>
      </w:r>
      <w:proofErr w:type="spellEnd"/>
      <w:r w:rsidRPr="4FDD748D">
        <w:rPr>
          <w:rFonts w:ascii="Aptos" w:eastAsia="Aptos" w:hAnsi="Aptos" w:cs="Arial"/>
          <w:i/>
          <w:iCs/>
        </w:rPr>
        <w:t xml:space="preserve"> </w:t>
      </w:r>
      <w:proofErr w:type="spellStart"/>
      <w:r w:rsidRPr="4FDD748D">
        <w:rPr>
          <w:rFonts w:ascii="Aptos" w:eastAsia="Aptos" w:hAnsi="Aptos" w:cs="Arial"/>
          <w:i/>
          <w:iCs/>
        </w:rPr>
        <w:t>gracilis</w:t>
      </w:r>
      <w:proofErr w:type="spellEnd"/>
      <w:r w:rsidRPr="4FDD748D">
        <w:rPr>
          <w:rFonts w:ascii="Aptos" w:eastAsia="Aptos" w:hAnsi="Aptos" w:cs="Arial"/>
        </w:rPr>
        <w:t xml:space="preserve">, and </w:t>
      </w:r>
      <w:proofErr w:type="spellStart"/>
      <w:r w:rsidRPr="4FDD748D">
        <w:rPr>
          <w:rFonts w:ascii="Aptos" w:eastAsia="Aptos" w:hAnsi="Aptos" w:cs="Arial"/>
          <w:i/>
          <w:iCs/>
        </w:rPr>
        <w:t>Niphargus</w:t>
      </w:r>
      <w:proofErr w:type="spellEnd"/>
      <w:r w:rsidRPr="4FDD748D">
        <w:rPr>
          <w:rFonts w:ascii="Aptos" w:eastAsia="Aptos" w:hAnsi="Aptos" w:cs="Arial"/>
          <w:i/>
          <w:iCs/>
        </w:rPr>
        <w:t xml:space="preserve"> arbiter</w:t>
      </w:r>
      <w:r w:rsidRPr="4FDD748D">
        <w:rPr>
          <w:rFonts w:ascii="Aptos" w:eastAsia="Aptos" w:hAnsi="Aptos" w:cs="Arial"/>
        </w:rPr>
        <w:t xml:space="preserve">. Notably, </w:t>
      </w:r>
      <w:r w:rsidRPr="4FDD748D">
        <w:rPr>
          <w:rFonts w:ascii="Aptos" w:eastAsia="Aptos" w:hAnsi="Aptos" w:cs="Arial"/>
          <w:i/>
          <w:iCs/>
        </w:rPr>
        <w:t xml:space="preserve">J. </w:t>
      </w:r>
      <w:proofErr w:type="spellStart"/>
      <w:r w:rsidRPr="4FDD748D">
        <w:rPr>
          <w:rFonts w:ascii="Aptos" w:eastAsia="Aptos" w:hAnsi="Aptos" w:cs="Arial"/>
          <w:i/>
          <w:iCs/>
        </w:rPr>
        <w:t>herdmani</w:t>
      </w:r>
      <w:proofErr w:type="spellEnd"/>
      <w:r w:rsidRPr="4FDD748D">
        <w:rPr>
          <w:rFonts w:ascii="Aptos" w:eastAsia="Aptos" w:hAnsi="Aptos" w:cs="Arial"/>
        </w:rPr>
        <w:t xml:space="preserve"> was first detected in eDNA in March, peaked in April, and preceded the rise in plankton abundance observed microscopically in May. This early molecular signal </w:t>
      </w:r>
      <w:r w:rsidRPr="4FDD748D">
        <w:rPr>
          <w:rFonts w:ascii="Aptos" w:eastAsia="Aptos" w:hAnsi="Aptos" w:cs="Arial"/>
        </w:rPr>
        <w:lastRenderedPageBreak/>
        <w:t xml:space="preserve">suggests eDNA detected the species before larvae reached densities visible under microscopy. Meanwhile, </w:t>
      </w:r>
      <w:r w:rsidRPr="4FDD748D">
        <w:rPr>
          <w:rFonts w:ascii="Aptos" w:eastAsia="Aptos" w:hAnsi="Aptos" w:cs="Arial"/>
          <w:i/>
          <w:iCs/>
        </w:rPr>
        <w:t xml:space="preserve">A. </w:t>
      </w:r>
      <w:proofErr w:type="spellStart"/>
      <w:r w:rsidRPr="4FDD748D">
        <w:rPr>
          <w:rFonts w:ascii="Aptos" w:eastAsia="Aptos" w:hAnsi="Aptos" w:cs="Arial"/>
          <w:i/>
          <w:iCs/>
        </w:rPr>
        <w:t>gracilis</w:t>
      </w:r>
      <w:proofErr w:type="spellEnd"/>
      <w:r w:rsidRPr="4FDD748D">
        <w:rPr>
          <w:rFonts w:ascii="Aptos" w:eastAsia="Aptos" w:hAnsi="Aptos" w:cs="Arial"/>
        </w:rPr>
        <w:t xml:space="preserve"> peaked in eDNA concurrently with the May microscopy maximum, supporting method agreement in both timing and presence. </w:t>
      </w:r>
      <w:r w:rsidRPr="4FDD748D">
        <w:rPr>
          <w:rFonts w:ascii="Aptos" w:eastAsia="Aptos" w:hAnsi="Aptos" w:cs="Arial"/>
          <w:i/>
          <w:iCs/>
        </w:rPr>
        <w:t>N. arbiter</w:t>
      </w:r>
      <w:r w:rsidRPr="4FDD748D">
        <w:rPr>
          <w:rFonts w:ascii="Aptos" w:eastAsia="Aptos" w:hAnsi="Aptos" w:cs="Arial"/>
        </w:rPr>
        <w:t xml:space="preserve"> appeared briefly in April but was not mirrored in microscopy or blade data</w:t>
      </w:r>
      <w:r w:rsidR="0FB4A29C" w:rsidRPr="4FDD748D">
        <w:rPr>
          <w:rFonts w:ascii="Aptos" w:eastAsia="Aptos" w:hAnsi="Aptos" w:cs="Arial"/>
        </w:rPr>
        <w:t xml:space="preserve">. </w:t>
      </w:r>
    </w:p>
    <w:p w14:paraId="1F4C4906" w14:textId="38FDE55E" w:rsidR="00556FEA" w:rsidRDefault="19407F12" w:rsidP="4FDD748D">
      <w:pPr>
        <w:keepNext/>
        <w:spacing w:before="240" w:after="240"/>
        <w:rPr>
          <w:rFonts w:ascii="Aptos" w:eastAsia="Aptos" w:hAnsi="Aptos" w:cs="Aptos"/>
        </w:rPr>
      </w:pPr>
      <w:proofErr w:type="spellStart"/>
      <w:r w:rsidRPr="4FDD748D">
        <w:rPr>
          <w:rFonts w:ascii="Aptos" w:eastAsia="Aptos" w:hAnsi="Aptos" w:cs="Aptos"/>
          <w:i/>
          <w:iCs/>
        </w:rPr>
        <w:t>Gastropoda</w:t>
      </w:r>
      <w:proofErr w:type="spellEnd"/>
      <w:r w:rsidR="0018095A">
        <w:br/>
      </w:r>
      <w:r w:rsidR="0501E2DB" w:rsidRPr="4FDD748D">
        <w:rPr>
          <w:rFonts w:ascii="Aptos" w:eastAsia="Aptos" w:hAnsi="Aptos" w:cs="Aptos"/>
        </w:rPr>
        <w:t xml:space="preserve">Gastropod larvae were consistently detected by microscopy throughout the study period (Fig. 6), with a prominent peak in September 2021 reaching over 800 cells/L, the highest recorded for </w:t>
      </w:r>
      <w:r w:rsidR="14C2BCCF" w:rsidRPr="4FDD748D">
        <w:rPr>
          <w:rFonts w:ascii="Aptos" w:eastAsia="Aptos" w:hAnsi="Aptos" w:cs="Aptos"/>
        </w:rPr>
        <w:t>these taxa</w:t>
      </w:r>
      <w:r w:rsidR="0501E2DB" w:rsidRPr="4FDD748D">
        <w:rPr>
          <w:rFonts w:ascii="Aptos" w:eastAsia="Aptos" w:hAnsi="Aptos" w:cs="Aptos"/>
        </w:rPr>
        <w:t xml:space="preserve">. Despite sustained presence in the plankton, microscopy was limited to class-level identification and could not resolve taxa further. In contrast, eDNA metabarcoding provided species-level resolution, detecting 22 unique gastropod taxa. </w:t>
      </w:r>
      <w:proofErr w:type="spellStart"/>
      <w:r w:rsidR="0501E2DB" w:rsidRPr="4FDD748D">
        <w:rPr>
          <w:rFonts w:ascii="Aptos" w:eastAsia="Aptos" w:hAnsi="Aptos" w:cs="Aptos"/>
          <w:i/>
          <w:iCs/>
        </w:rPr>
        <w:t>Steromphala</w:t>
      </w:r>
      <w:proofErr w:type="spellEnd"/>
      <w:r w:rsidR="0501E2DB" w:rsidRPr="4FDD748D">
        <w:rPr>
          <w:rFonts w:ascii="Aptos" w:eastAsia="Aptos" w:hAnsi="Aptos" w:cs="Aptos"/>
          <w:i/>
          <w:iCs/>
        </w:rPr>
        <w:t xml:space="preserve"> cineraria</w:t>
      </w:r>
      <w:r w:rsidR="0501E2DB" w:rsidRPr="4FDD748D">
        <w:rPr>
          <w:rFonts w:ascii="Aptos" w:eastAsia="Aptos" w:hAnsi="Aptos" w:cs="Aptos"/>
        </w:rPr>
        <w:t xml:space="preserve"> exhibited a strong early eDNA signal in September 2021, coinciding with the peak in plankton abundance. Additional taxa such as </w:t>
      </w:r>
      <w:proofErr w:type="spellStart"/>
      <w:r w:rsidR="0501E2DB" w:rsidRPr="4FDD748D">
        <w:rPr>
          <w:rFonts w:ascii="Aptos" w:eastAsia="Aptos" w:hAnsi="Aptos" w:cs="Aptos"/>
          <w:i/>
          <w:iCs/>
        </w:rPr>
        <w:t>Burnupia</w:t>
      </w:r>
      <w:proofErr w:type="spellEnd"/>
      <w:r w:rsidR="0501E2DB" w:rsidRPr="4FDD748D">
        <w:rPr>
          <w:rFonts w:ascii="Aptos" w:eastAsia="Aptos" w:hAnsi="Aptos" w:cs="Aptos"/>
        </w:rPr>
        <w:t xml:space="preserve"> sp., </w:t>
      </w:r>
      <w:r w:rsidR="0501E2DB" w:rsidRPr="4FDD748D">
        <w:rPr>
          <w:rFonts w:ascii="Aptos" w:eastAsia="Aptos" w:hAnsi="Aptos" w:cs="Aptos"/>
          <w:i/>
          <w:iCs/>
        </w:rPr>
        <w:t>Doto coronata</w:t>
      </w:r>
      <w:r w:rsidR="0501E2DB" w:rsidRPr="4FDD748D">
        <w:rPr>
          <w:rFonts w:ascii="Aptos" w:eastAsia="Aptos" w:hAnsi="Aptos" w:cs="Aptos"/>
        </w:rPr>
        <w:t xml:space="preserve">, and </w:t>
      </w:r>
      <w:r w:rsidR="0501E2DB" w:rsidRPr="4FDD748D">
        <w:rPr>
          <w:rFonts w:ascii="Aptos" w:eastAsia="Aptos" w:hAnsi="Aptos" w:cs="Aptos"/>
          <w:i/>
          <w:iCs/>
        </w:rPr>
        <w:t xml:space="preserve">Placida </w:t>
      </w:r>
      <w:proofErr w:type="spellStart"/>
      <w:r w:rsidR="0501E2DB" w:rsidRPr="4FDD748D">
        <w:rPr>
          <w:rFonts w:ascii="Aptos" w:eastAsia="Aptos" w:hAnsi="Aptos" w:cs="Aptos"/>
          <w:i/>
          <w:iCs/>
        </w:rPr>
        <w:t>dendritica</w:t>
      </w:r>
      <w:proofErr w:type="spellEnd"/>
      <w:r w:rsidR="0501E2DB" w:rsidRPr="4FDD748D">
        <w:rPr>
          <w:rFonts w:ascii="Aptos" w:eastAsia="Aptos" w:hAnsi="Aptos" w:cs="Aptos"/>
        </w:rPr>
        <w:t xml:space="preserve"> were detected in March and April, preceding the secondary increase in planktonic gastropods recorded in May.</w:t>
      </w:r>
    </w:p>
    <w:p w14:paraId="71025A3C" w14:textId="3A097FEF" w:rsidR="00556FEA" w:rsidRDefault="0501E2DB" w:rsidP="4FDD748D">
      <w:pPr>
        <w:keepNext/>
        <w:spacing w:before="240" w:after="240"/>
        <w:rPr>
          <w:rFonts w:ascii="Aptos" w:eastAsia="Aptos" w:hAnsi="Aptos" w:cs="Aptos"/>
        </w:rPr>
      </w:pPr>
      <w:r w:rsidRPr="4FDD748D">
        <w:rPr>
          <w:rFonts w:ascii="Aptos" w:eastAsia="Aptos" w:hAnsi="Aptos" w:cs="Aptos"/>
          <w:i/>
          <w:iCs/>
        </w:rPr>
        <w:t>Lacuna</w:t>
      </w:r>
      <w:r w:rsidRPr="4FDD748D">
        <w:rPr>
          <w:rFonts w:ascii="Aptos" w:eastAsia="Aptos" w:hAnsi="Aptos" w:cs="Aptos"/>
        </w:rPr>
        <w:t xml:space="preserve"> sp. was identified on both </w:t>
      </w:r>
      <w:r w:rsidRPr="4FDD748D">
        <w:rPr>
          <w:rFonts w:ascii="Aptos" w:eastAsia="Aptos" w:hAnsi="Aptos" w:cs="Aptos"/>
          <w:i/>
          <w:iCs/>
        </w:rPr>
        <w:t>Saccharina</w:t>
      </w:r>
      <w:r w:rsidRPr="4FDD748D">
        <w:rPr>
          <w:rFonts w:ascii="Aptos" w:eastAsia="Aptos" w:hAnsi="Aptos" w:cs="Aptos"/>
        </w:rPr>
        <w:t xml:space="preserve"> and </w:t>
      </w:r>
      <w:r w:rsidRPr="4FDD748D">
        <w:rPr>
          <w:rFonts w:ascii="Aptos" w:eastAsia="Aptos" w:hAnsi="Aptos" w:cs="Aptos"/>
          <w:i/>
          <w:iCs/>
        </w:rPr>
        <w:t>Alaria</w:t>
      </w:r>
      <w:r w:rsidRPr="4FDD748D">
        <w:rPr>
          <w:rFonts w:ascii="Aptos" w:eastAsia="Aptos" w:hAnsi="Aptos" w:cs="Aptos"/>
        </w:rPr>
        <w:t xml:space="preserve"> blades (Fig. 6). Initial blade detections occurred in January on </w:t>
      </w:r>
      <w:r w:rsidRPr="4FDD748D">
        <w:rPr>
          <w:rFonts w:ascii="Aptos" w:eastAsia="Aptos" w:hAnsi="Aptos" w:cs="Aptos"/>
          <w:i/>
          <w:iCs/>
        </w:rPr>
        <w:t>Alaria</w:t>
      </w:r>
      <w:r w:rsidRPr="4FDD748D">
        <w:rPr>
          <w:rFonts w:ascii="Aptos" w:eastAsia="Aptos" w:hAnsi="Aptos" w:cs="Aptos"/>
        </w:rPr>
        <w:t xml:space="preserve">, followed by a clearer peak in May. On </w:t>
      </w:r>
      <w:r w:rsidRPr="4FDD748D">
        <w:rPr>
          <w:rFonts w:ascii="Aptos" w:eastAsia="Aptos" w:hAnsi="Aptos" w:cs="Aptos"/>
          <w:i/>
          <w:iCs/>
        </w:rPr>
        <w:t>Saccharina</w:t>
      </w:r>
      <w:r w:rsidRPr="4FDD748D">
        <w:rPr>
          <w:rFonts w:ascii="Aptos" w:eastAsia="Aptos" w:hAnsi="Aptos" w:cs="Aptos"/>
        </w:rPr>
        <w:t xml:space="preserve">, colonisation was observed later, peaking in July. These blade settlement patterns came after a strong eDNA signal for </w:t>
      </w:r>
      <w:r w:rsidRPr="4FDD748D">
        <w:rPr>
          <w:rFonts w:ascii="Aptos" w:eastAsia="Aptos" w:hAnsi="Aptos" w:cs="Aptos"/>
          <w:i/>
          <w:iCs/>
        </w:rPr>
        <w:t xml:space="preserve">Lacuna </w:t>
      </w:r>
      <w:proofErr w:type="spellStart"/>
      <w:r w:rsidRPr="4FDD748D">
        <w:rPr>
          <w:rFonts w:ascii="Aptos" w:eastAsia="Aptos" w:hAnsi="Aptos" w:cs="Aptos"/>
          <w:i/>
          <w:iCs/>
        </w:rPr>
        <w:t>vincta</w:t>
      </w:r>
      <w:proofErr w:type="spellEnd"/>
      <w:r w:rsidRPr="4FDD748D">
        <w:rPr>
          <w:rFonts w:ascii="Aptos" w:eastAsia="Aptos" w:hAnsi="Aptos" w:cs="Aptos"/>
        </w:rPr>
        <w:t xml:space="preserve"> detected in March, suggesting a lag between larval presence in the water column and physical colonisation. </w:t>
      </w:r>
      <w:r w:rsidR="464E2C45" w:rsidRPr="4FDD748D">
        <w:rPr>
          <w:rFonts w:ascii="Aptos" w:eastAsia="Aptos" w:hAnsi="Aptos" w:cs="Aptos"/>
        </w:rPr>
        <w:t xml:space="preserve"> </w:t>
      </w:r>
      <w:r w:rsidRPr="4FDD748D">
        <w:rPr>
          <w:rFonts w:ascii="Aptos" w:eastAsia="Aptos" w:hAnsi="Aptos" w:cs="Aptos"/>
          <w:i/>
          <w:iCs/>
        </w:rPr>
        <w:t>Alaria</w:t>
      </w:r>
      <w:r w:rsidRPr="4FDD748D">
        <w:rPr>
          <w:rFonts w:ascii="Aptos" w:eastAsia="Aptos" w:hAnsi="Aptos" w:cs="Aptos"/>
        </w:rPr>
        <w:t xml:space="preserve"> supported earlier but lower-density settlement, peaking below 0.016 </w:t>
      </w:r>
      <w:proofErr w:type="spellStart"/>
      <w:r w:rsidRPr="4FDD748D">
        <w:rPr>
          <w:rFonts w:ascii="Aptos" w:eastAsia="Aptos" w:hAnsi="Aptos" w:cs="Aptos"/>
        </w:rPr>
        <w:t>ind</w:t>
      </w:r>
      <w:proofErr w:type="spellEnd"/>
      <w:r w:rsidRPr="4FDD748D">
        <w:rPr>
          <w:rFonts w:ascii="Aptos" w:eastAsia="Aptos" w:hAnsi="Aptos" w:cs="Aptos"/>
        </w:rPr>
        <w:t xml:space="preserve">/cm² in May, while </w:t>
      </w:r>
      <w:r w:rsidRPr="4FDD748D">
        <w:rPr>
          <w:rFonts w:ascii="Aptos" w:eastAsia="Aptos" w:hAnsi="Aptos" w:cs="Aptos"/>
          <w:i/>
          <w:iCs/>
        </w:rPr>
        <w:t>Saccharina</w:t>
      </w:r>
      <w:r w:rsidRPr="4FDD748D">
        <w:rPr>
          <w:rFonts w:ascii="Aptos" w:eastAsia="Aptos" w:hAnsi="Aptos" w:cs="Aptos"/>
        </w:rPr>
        <w:t xml:space="preserve"> showed later colonisation by </w:t>
      </w:r>
      <w:r w:rsidRPr="4FDD748D">
        <w:rPr>
          <w:rFonts w:ascii="Aptos" w:eastAsia="Aptos" w:hAnsi="Aptos" w:cs="Aptos"/>
          <w:i/>
          <w:iCs/>
        </w:rPr>
        <w:t>Lacuna</w:t>
      </w:r>
      <w:r w:rsidRPr="4FDD748D">
        <w:rPr>
          <w:rFonts w:ascii="Aptos" w:eastAsia="Aptos" w:hAnsi="Aptos" w:cs="Aptos"/>
        </w:rPr>
        <w:t xml:space="preserve"> and </w:t>
      </w:r>
      <w:proofErr w:type="spellStart"/>
      <w:r w:rsidRPr="4FDD748D">
        <w:rPr>
          <w:rFonts w:ascii="Aptos" w:eastAsia="Aptos" w:hAnsi="Aptos" w:cs="Aptos"/>
          <w:i/>
          <w:iCs/>
        </w:rPr>
        <w:t>Rissoa</w:t>
      </w:r>
      <w:proofErr w:type="spellEnd"/>
      <w:r w:rsidRPr="4FDD748D">
        <w:rPr>
          <w:rFonts w:ascii="Aptos" w:eastAsia="Aptos" w:hAnsi="Aptos" w:cs="Aptos"/>
        </w:rPr>
        <w:t xml:space="preserve"> spp. in late June and July. These later settlement events on </w:t>
      </w:r>
      <w:r w:rsidRPr="4FDD748D">
        <w:rPr>
          <w:rFonts w:ascii="Aptos" w:eastAsia="Aptos" w:hAnsi="Aptos" w:cs="Aptos"/>
          <w:i/>
          <w:iCs/>
        </w:rPr>
        <w:t>Saccharina</w:t>
      </w:r>
      <w:r w:rsidRPr="4FDD748D">
        <w:rPr>
          <w:rFonts w:ascii="Aptos" w:eastAsia="Aptos" w:hAnsi="Aptos" w:cs="Aptos"/>
        </w:rPr>
        <w:t xml:space="preserve"> were preceded by eDNA detections in April–May</w:t>
      </w:r>
      <w:r w:rsidR="149A878F" w:rsidRPr="4FDD748D">
        <w:rPr>
          <w:rFonts w:ascii="Aptos" w:eastAsia="Aptos" w:hAnsi="Aptos" w:cs="Aptos"/>
        </w:rPr>
        <w:t>.</w:t>
      </w:r>
    </w:p>
    <w:p w14:paraId="7D600D46" w14:textId="2C643122" w:rsidR="00556FEA" w:rsidRDefault="0018095A" w:rsidP="4FDD748D">
      <w:pPr>
        <w:keepNext/>
      </w:pPr>
      <w:r>
        <w:br w:type="page"/>
      </w:r>
    </w:p>
    <w:p w14:paraId="35A9C2E7" w14:textId="70175DE3" w:rsidR="00556FEA" w:rsidRDefault="0018095A" w:rsidP="4FDD748D">
      <w:pPr>
        <w:pStyle w:val="Caption"/>
        <w:keepNext/>
        <w:rPr>
          <w:lang w:val="en-US"/>
        </w:rPr>
      </w:pPr>
      <w:commentRangeStart w:id="6"/>
      <w:r w:rsidRPr="4FDD748D">
        <w:rPr>
          <w:b/>
          <w:bCs/>
        </w:rPr>
        <w:lastRenderedPageBreak/>
        <w:t xml:space="preserve">Table </w:t>
      </w:r>
      <w:r w:rsidRPr="4FDD748D">
        <w:fldChar w:fldCharType="begin"/>
      </w:r>
      <w:r>
        <w:instrText xml:space="preserve"> SEQ Table \* ARABIC </w:instrText>
      </w:r>
      <w:r w:rsidRPr="4FDD748D">
        <w:fldChar w:fldCharType="separate"/>
      </w:r>
      <w:r w:rsidRPr="4FDD748D">
        <w:rPr>
          <w:noProof/>
        </w:rPr>
        <w:t>1</w:t>
      </w:r>
      <w:r w:rsidRPr="4FDD748D">
        <w:rPr>
          <w:noProof/>
        </w:rPr>
        <w:fldChar w:fldCharType="end"/>
      </w:r>
      <w:r w:rsidR="00556FEA">
        <w:t xml:space="preserve">. </w:t>
      </w:r>
      <w:commentRangeEnd w:id="6"/>
      <w:r>
        <w:rPr>
          <w:rStyle w:val="CommentReference"/>
        </w:rPr>
        <w:commentReference w:id="6"/>
      </w:r>
      <w:r>
        <w:t>Summary of epibiont taxa identified and the highest taxonomic resolution achieved by each method: visual identification from blades, planktonic microscopy surveys, and DNA barcoding</w:t>
      </w:r>
      <w:r w:rsidR="005C4792">
        <w:t xml:space="preserve"> of individuals sampled from blades</w:t>
      </w:r>
      <w:r>
        <w:t xml:space="preserve">. Percentage value (%) denotes </w:t>
      </w:r>
      <w:r w:rsidR="00C853B6">
        <w:t xml:space="preserve">the </w:t>
      </w:r>
      <w:r>
        <w:t xml:space="preserve">percentage identity match of </w:t>
      </w:r>
      <w:r w:rsidR="00C853B6">
        <w:t xml:space="preserve">the </w:t>
      </w:r>
      <w:r>
        <w:t>sequence with</w:t>
      </w:r>
      <w:r w:rsidR="00556FEA" w:rsidRPr="4FDD748D">
        <w:rPr>
          <w:rFonts w:ascii="Aptos" w:hAnsi="Aptos"/>
          <w:i w:val="0"/>
          <w:iCs w:val="0"/>
          <w:noProof/>
          <w:lang w:val="en-US"/>
        </w:rPr>
        <w:t xml:space="preserve"> </w:t>
      </w:r>
      <w:r w:rsidR="00556FEA" w:rsidRPr="4FDD748D">
        <w:rPr>
          <w:lang w:val="en-US"/>
        </w:rPr>
        <w:t>with GenBank database. Rope scrub presence (Y/N) denotes taxa identification from scrubbing of farm ropes prior to seaweed seeding.</w:t>
      </w:r>
    </w:p>
    <w:tbl>
      <w:tblPr>
        <w:tblStyle w:val="PlainTable1"/>
        <w:tblpPr w:leftFromText="180" w:rightFromText="180" w:vertAnchor="page" w:horzAnchor="margin" w:tblpY="2757"/>
        <w:tblW w:w="0" w:type="auto"/>
        <w:tblLook w:val="04A0" w:firstRow="1" w:lastRow="0" w:firstColumn="1" w:lastColumn="0" w:noHBand="0" w:noVBand="1"/>
      </w:tblPr>
      <w:tblGrid>
        <w:gridCol w:w="2194"/>
        <w:gridCol w:w="1275"/>
        <w:gridCol w:w="1920"/>
        <w:gridCol w:w="1551"/>
        <w:gridCol w:w="2076"/>
      </w:tblGrid>
      <w:tr w:rsidR="00E867AE" w:rsidRPr="0018095A" w14:paraId="0EDA503A" w14:textId="77777777" w:rsidTr="00C853B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B1E4CA" w14:textId="77777777" w:rsidR="00E867AE" w:rsidRPr="0018095A" w:rsidRDefault="00E867AE" w:rsidP="00C853B6">
            <w:pPr>
              <w:pStyle w:val="EndNoteBibliography"/>
              <w:jc w:val="center"/>
              <w:rPr>
                <w:sz w:val="20"/>
                <w:szCs w:val="20"/>
              </w:rPr>
            </w:pPr>
            <w:r w:rsidRPr="0018095A">
              <w:rPr>
                <w:sz w:val="20"/>
                <w:szCs w:val="20"/>
              </w:rPr>
              <w:t>Epibiont ID</w:t>
            </w:r>
          </w:p>
        </w:tc>
        <w:tc>
          <w:tcPr>
            <w:tcW w:w="0" w:type="auto"/>
            <w:vAlign w:val="center"/>
          </w:tcPr>
          <w:p w14:paraId="42A2D699" w14:textId="77777777" w:rsidR="00E867AE" w:rsidRPr="0018095A" w:rsidRDefault="00E867AE"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Plankton ID</w:t>
            </w:r>
          </w:p>
        </w:tc>
        <w:tc>
          <w:tcPr>
            <w:tcW w:w="0" w:type="auto"/>
            <w:vAlign w:val="center"/>
          </w:tcPr>
          <w:p w14:paraId="7C0F94C7" w14:textId="77777777" w:rsidR="00E867AE" w:rsidRPr="0018095A" w:rsidRDefault="00E867AE"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Barcode ID</w:t>
            </w:r>
          </w:p>
        </w:tc>
        <w:tc>
          <w:tcPr>
            <w:tcW w:w="0" w:type="auto"/>
            <w:vAlign w:val="center"/>
          </w:tcPr>
          <w:p w14:paraId="7CCB9764" w14:textId="77777777" w:rsidR="00E867AE" w:rsidRPr="0018095A" w:rsidRDefault="00E867AE"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Rope Scrub Presence</w:t>
            </w:r>
          </w:p>
        </w:tc>
        <w:tc>
          <w:tcPr>
            <w:tcW w:w="0" w:type="auto"/>
            <w:vAlign w:val="center"/>
          </w:tcPr>
          <w:p w14:paraId="297BD655" w14:textId="77777777" w:rsidR="00E867AE" w:rsidRPr="0018095A" w:rsidRDefault="00E867AE"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Photo</w:t>
            </w:r>
          </w:p>
        </w:tc>
      </w:tr>
      <w:tr w:rsidR="00E867AE" w:rsidRPr="0018095A" w14:paraId="4EB5C4F2"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447046" w14:textId="77777777" w:rsidR="00E867AE" w:rsidRPr="0018095A" w:rsidRDefault="00E867AE" w:rsidP="00C853B6">
            <w:pPr>
              <w:pStyle w:val="EndNoteBibliography"/>
              <w:jc w:val="center"/>
              <w:rPr>
                <w:b w:val="0"/>
                <w:bCs w:val="0"/>
                <w:sz w:val="20"/>
                <w:szCs w:val="20"/>
              </w:rPr>
            </w:pPr>
            <w:r w:rsidRPr="0018095A">
              <w:rPr>
                <w:b w:val="0"/>
                <w:bCs w:val="0"/>
                <w:sz w:val="20"/>
                <w:szCs w:val="20"/>
              </w:rPr>
              <w:t>Amphipoda (Caprellidae)</w:t>
            </w:r>
          </w:p>
        </w:tc>
        <w:tc>
          <w:tcPr>
            <w:tcW w:w="0" w:type="auto"/>
            <w:vAlign w:val="center"/>
          </w:tcPr>
          <w:p w14:paraId="249417E8"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0" w:type="auto"/>
            <w:vAlign w:val="center"/>
          </w:tcPr>
          <w:p w14:paraId="6065D707"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Caprella mutica</w:t>
            </w:r>
            <w:r w:rsidRPr="0018095A">
              <w:rPr>
                <w:sz w:val="20"/>
                <w:szCs w:val="20"/>
              </w:rPr>
              <w:t xml:space="preserve"> (100%)</w:t>
            </w:r>
          </w:p>
        </w:tc>
        <w:tc>
          <w:tcPr>
            <w:tcW w:w="0" w:type="auto"/>
            <w:vAlign w:val="center"/>
          </w:tcPr>
          <w:p w14:paraId="3DF706C7"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0" w:type="auto"/>
            <w:vAlign w:val="center"/>
          </w:tcPr>
          <w:p w14:paraId="48CBD4F6" w14:textId="77777777" w:rsidR="00E867AE" w:rsidRPr="0018095A" w:rsidRDefault="00E867AE" w:rsidP="00C853B6">
            <w:pPr>
              <w:pStyle w:val="NoSpacing"/>
              <w:jc w:val="cente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Pr>
                <w:noProof/>
              </w:rPr>
              <w:drawing>
                <wp:inline distT="0" distB="0" distL="0" distR="0" wp14:anchorId="4BC5478F" wp14:editId="793C3CEA">
                  <wp:extent cx="1129259" cy="821458"/>
                  <wp:effectExtent l="0" t="0" r="0" b="0"/>
                  <wp:docPr id="1123298193" name="Picture 51" descr="A group of white animals und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8193" name="Picture 51" descr="A group of white animals under wa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129259" cy="821458"/>
                          </a:xfrm>
                          <a:prstGeom prst="rect">
                            <a:avLst/>
                          </a:prstGeom>
                          <a:noFill/>
                          <a:ln>
                            <a:noFill/>
                          </a:ln>
                        </pic:spPr>
                      </pic:pic>
                    </a:graphicData>
                  </a:graphic>
                </wp:inline>
              </w:drawing>
            </w:r>
          </w:p>
        </w:tc>
      </w:tr>
      <w:tr w:rsidR="00E867AE" w:rsidRPr="0018095A" w14:paraId="06326CCD"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51611D" w14:textId="77777777" w:rsidR="00E867AE" w:rsidRPr="0018095A" w:rsidRDefault="00E867AE" w:rsidP="00C853B6">
            <w:pPr>
              <w:pStyle w:val="EndNoteBibliography"/>
              <w:jc w:val="center"/>
              <w:rPr>
                <w:b w:val="0"/>
                <w:bCs w:val="0"/>
                <w:sz w:val="20"/>
                <w:szCs w:val="20"/>
              </w:rPr>
            </w:pPr>
            <w:r w:rsidRPr="0018095A">
              <w:rPr>
                <w:b w:val="0"/>
                <w:bCs w:val="0"/>
                <w:sz w:val="20"/>
                <w:szCs w:val="20"/>
              </w:rPr>
              <w:t>Amphipoda (Caprellidae)</w:t>
            </w:r>
          </w:p>
        </w:tc>
        <w:tc>
          <w:tcPr>
            <w:tcW w:w="0" w:type="auto"/>
            <w:vAlign w:val="center"/>
          </w:tcPr>
          <w:p w14:paraId="03077047"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0" w:type="auto"/>
            <w:vAlign w:val="center"/>
          </w:tcPr>
          <w:p w14:paraId="4F6B05FF"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Jassa herdmani</w:t>
            </w:r>
            <w:r w:rsidRPr="0018095A">
              <w:rPr>
                <w:sz w:val="20"/>
                <w:szCs w:val="20"/>
              </w:rPr>
              <w:t xml:space="preserve"> (100%)</w:t>
            </w:r>
          </w:p>
        </w:tc>
        <w:tc>
          <w:tcPr>
            <w:tcW w:w="0" w:type="auto"/>
            <w:vAlign w:val="center"/>
          </w:tcPr>
          <w:p w14:paraId="57D1D5F0"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0" w:type="auto"/>
            <w:vAlign w:val="center"/>
          </w:tcPr>
          <w:p w14:paraId="280941EA"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lang w:val="en-GB"/>
              </w:rPr>
            </w:pPr>
            <w:r w:rsidRPr="0018095A">
              <w:rPr>
                <w:sz w:val="20"/>
                <w:szCs w:val="20"/>
                <w:lang w:val="en-GB"/>
              </w:rPr>
              <w:drawing>
                <wp:inline distT="0" distB="0" distL="0" distR="0" wp14:anchorId="2A085A97" wp14:editId="09309AF3">
                  <wp:extent cx="1173309" cy="864000"/>
                  <wp:effectExtent l="0" t="0" r="8255" b="0"/>
                  <wp:docPr id="2048841936" name="Picture 37" descr="A close-up of a cr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936" name="Picture 37" descr="A close-up of a crab&#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3309" cy="864000"/>
                          </a:xfrm>
                          <a:prstGeom prst="rect">
                            <a:avLst/>
                          </a:prstGeom>
                          <a:noFill/>
                          <a:ln>
                            <a:noFill/>
                          </a:ln>
                        </pic:spPr>
                      </pic:pic>
                    </a:graphicData>
                  </a:graphic>
                </wp:inline>
              </w:drawing>
            </w:r>
          </w:p>
        </w:tc>
      </w:tr>
      <w:tr w:rsidR="00E867AE" w:rsidRPr="0018095A" w14:paraId="44A2647F"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84B030" w14:textId="77777777" w:rsidR="00E867AE" w:rsidRPr="0018095A" w:rsidRDefault="00E867AE" w:rsidP="00C853B6">
            <w:pPr>
              <w:pStyle w:val="EndNoteBibliography"/>
              <w:jc w:val="center"/>
              <w:rPr>
                <w:b w:val="0"/>
                <w:bCs w:val="0"/>
                <w:sz w:val="20"/>
                <w:szCs w:val="20"/>
              </w:rPr>
            </w:pPr>
            <w:r w:rsidRPr="0018095A">
              <w:rPr>
                <w:b w:val="0"/>
                <w:bCs w:val="0"/>
                <w:sz w:val="20"/>
                <w:szCs w:val="20"/>
              </w:rPr>
              <w:t>Amphipoda (Jassa)</w:t>
            </w:r>
          </w:p>
        </w:tc>
        <w:tc>
          <w:tcPr>
            <w:tcW w:w="0" w:type="auto"/>
            <w:vAlign w:val="center"/>
          </w:tcPr>
          <w:p w14:paraId="186818BA"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0" w:type="auto"/>
            <w:vAlign w:val="center"/>
          </w:tcPr>
          <w:p w14:paraId="6C8951A3"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Jassa herdmani</w:t>
            </w:r>
            <w:r w:rsidRPr="0018095A">
              <w:rPr>
                <w:sz w:val="20"/>
                <w:szCs w:val="20"/>
              </w:rPr>
              <w:t xml:space="preserve"> (100%)</w:t>
            </w:r>
          </w:p>
        </w:tc>
        <w:tc>
          <w:tcPr>
            <w:tcW w:w="0" w:type="auto"/>
            <w:vAlign w:val="center"/>
          </w:tcPr>
          <w:p w14:paraId="6B0DD1A6"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0" w:type="auto"/>
            <w:vAlign w:val="center"/>
          </w:tcPr>
          <w:p w14:paraId="0C30BBD4" w14:textId="77777777" w:rsidR="00E867AE" w:rsidRPr="0018095A" w:rsidRDefault="00E867AE"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18095A">
              <w:rPr>
                <w:sz w:val="20"/>
                <w:szCs w:val="20"/>
                <w:lang w:val="en-GB"/>
              </w:rPr>
              <w:drawing>
                <wp:inline distT="0" distB="0" distL="0" distR="0" wp14:anchorId="09F413B0" wp14:editId="69282ED8">
                  <wp:extent cx="1124420" cy="828000"/>
                  <wp:effectExtent l="0" t="0" r="0" b="0"/>
                  <wp:docPr id="1372994628" name="Picture 38" descr="A close-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4628" name="Picture 38" descr="A close-up of a sea crea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420" cy="828000"/>
                          </a:xfrm>
                          <a:prstGeom prst="rect">
                            <a:avLst/>
                          </a:prstGeom>
                          <a:noFill/>
                          <a:ln>
                            <a:noFill/>
                          </a:ln>
                        </pic:spPr>
                      </pic:pic>
                    </a:graphicData>
                  </a:graphic>
                </wp:inline>
              </w:drawing>
            </w:r>
          </w:p>
        </w:tc>
      </w:tr>
      <w:tr w:rsidR="00E867AE" w:rsidRPr="0018095A" w14:paraId="44FD7D86"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F6239F" w14:textId="77777777" w:rsidR="00E867AE" w:rsidRPr="0018095A" w:rsidRDefault="00E867AE" w:rsidP="00C853B6">
            <w:pPr>
              <w:pStyle w:val="EndNoteBibliography"/>
              <w:jc w:val="center"/>
              <w:rPr>
                <w:b w:val="0"/>
                <w:bCs w:val="0"/>
                <w:sz w:val="20"/>
                <w:szCs w:val="20"/>
              </w:rPr>
            </w:pPr>
            <w:r w:rsidRPr="0018095A">
              <w:rPr>
                <w:b w:val="0"/>
                <w:bCs w:val="0"/>
                <w:sz w:val="20"/>
                <w:szCs w:val="20"/>
              </w:rPr>
              <w:t>Bryozoans (cf Celleporella hyalina)</w:t>
            </w:r>
          </w:p>
        </w:tc>
        <w:tc>
          <w:tcPr>
            <w:tcW w:w="0" w:type="auto"/>
            <w:vAlign w:val="center"/>
          </w:tcPr>
          <w:p w14:paraId="11C1492E"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Cyphonaute</w:t>
            </w:r>
          </w:p>
        </w:tc>
        <w:tc>
          <w:tcPr>
            <w:tcW w:w="0" w:type="auto"/>
            <w:vAlign w:val="center"/>
          </w:tcPr>
          <w:p w14:paraId="3F2128F3"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Celleporella hyalina</w:t>
            </w:r>
            <w:r w:rsidRPr="0018095A">
              <w:rPr>
                <w:sz w:val="20"/>
                <w:szCs w:val="20"/>
              </w:rPr>
              <w:t xml:space="preserve"> (98.79%)</w:t>
            </w:r>
          </w:p>
        </w:tc>
        <w:tc>
          <w:tcPr>
            <w:tcW w:w="0" w:type="auto"/>
            <w:vAlign w:val="center"/>
          </w:tcPr>
          <w:p w14:paraId="762CD7CD"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0" w:type="auto"/>
            <w:vAlign w:val="center"/>
          </w:tcPr>
          <w:p w14:paraId="315FD866" w14:textId="77777777" w:rsidR="00E867AE" w:rsidRPr="0018095A" w:rsidRDefault="00E867AE"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lang w:val="en-GB"/>
              </w:rPr>
            </w:pPr>
            <w:r w:rsidRPr="0018095A">
              <w:rPr>
                <w:sz w:val="20"/>
                <w:szCs w:val="20"/>
                <w:lang w:val="en-GB"/>
              </w:rPr>
              <w:drawing>
                <wp:inline distT="0" distB="0" distL="0" distR="0" wp14:anchorId="7509C355" wp14:editId="37A161AC">
                  <wp:extent cx="1124420" cy="828000"/>
                  <wp:effectExtent l="0" t="0" r="0" b="0"/>
                  <wp:docPr id="2093433379" name="Picture 39"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3379" name="Picture 39" descr="A close up of a black background&#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0732" t="45836" r="30727" b="31051"/>
                          <a:stretch/>
                        </pic:blipFill>
                        <pic:spPr bwMode="auto">
                          <a:xfrm>
                            <a:off x="0" y="0"/>
                            <a:ext cx="1124420" cy="8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C4792" w:rsidRPr="0018095A" w14:paraId="6B96D9DA"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A24756" w14:textId="7FBCF2DF" w:rsidR="00F16217" w:rsidRPr="0018095A" w:rsidRDefault="00F16217" w:rsidP="00C853B6">
            <w:pPr>
              <w:pStyle w:val="EndNoteBibliography"/>
              <w:jc w:val="center"/>
              <w:rPr>
                <w:sz w:val="20"/>
                <w:szCs w:val="20"/>
              </w:rPr>
            </w:pPr>
            <w:r w:rsidRPr="0018095A">
              <w:rPr>
                <w:b w:val="0"/>
                <w:bCs w:val="0"/>
                <w:sz w:val="20"/>
                <w:szCs w:val="20"/>
              </w:rPr>
              <w:t>Clam juvenile</w:t>
            </w:r>
          </w:p>
        </w:tc>
        <w:tc>
          <w:tcPr>
            <w:tcW w:w="0" w:type="auto"/>
            <w:vAlign w:val="center"/>
          </w:tcPr>
          <w:p w14:paraId="09977534" w14:textId="0EBE5BF6" w:rsidR="00F16217" w:rsidRPr="0018095A" w:rsidRDefault="00F16217"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Bivalvia</w:t>
            </w:r>
          </w:p>
        </w:tc>
        <w:tc>
          <w:tcPr>
            <w:tcW w:w="0" w:type="auto"/>
            <w:vAlign w:val="center"/>
          </w:tcPr>
          <w:p w14:paraId="1277FFE5" w14:textId="37DAA517" w:rsidR="00F16217" w:rsidRPr="0018095A" w:rsidRDefault="00F16217" w:rsidP="00C853B6">
            <w:pPr>
              <w:pStyle w:val="EndNoteBibliography"/>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Hiatella arctica</w:t>
            </w:r>
            <w:r w:rsidRPr="0018095A">
              <w:rPr>
                <w:sz w:val="20"/>
                <w:szCs w:val="20"/>
              </w:rPr>
              <w:t xml:space="preserve"> (97.7%)</w:t>
            </w:r>
          </w:p>
        </w:tc>
        <w:tc>
          <w:tcPr>
            <w:tcW w:w="0" w:type="auto"/>
            <w:vAlign w:val="center"/>
          </w:tcPr>
          <w:p w14:paraId="20A0A9EB" w14:textId="59FC2A16" w:rsidR="00F16217" w:rsidRPr="0018095A" w:rsidRDefault="00F16217"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0" w:type="auto"/>
            <w:vAlign w:val="center"/>
          </w:tcPr>
          <w:p w14:paraId="4EA358EA" w14:textId="39E779D1" w:rsidR="00F16217" w:rsidRPr="0018095A" w:rsidRDefault="00F16217"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lang w:val="en-GB"/>
              </w:rPr>
            </w:pPr>
            <w:r>
              <w:drawing>
                <wp:inline distT="0" distB="0" distL="0" distR="0" wp14:anchorId="00390904" wp14:editId="7906A64D">
                  <wp:extent cx="1124420" cy="828000"/>
                  <wp:effectExtent l="0" t="0" r="0" b="0"/>
                  <wp:docPr id="760743864" name="Picture 47"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24420" cy="828000"/>
                          </a:xfrm>
                          <a:prstGeom prst="rect">
                            <a:avLst/>
                          </a:prstGeom>
                          <a:noFill/>
                          <a:ln>
                            <a:noFill/>
                          </a:ln>
                        </pic:spPr>
                      </pic:pic>
                    </a:graphicData>
                  </a:graphic>
                </wp:inline>
              </w:drawing>
            </w:r>
          </w:p>
        </w:tc>
      </w:tr>
      <w:tr w:rsidR="005C4792" w:rsidRPr="0018095A" w14:paraId="478A22E2"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CD85DE" w14:textId="23F632B7" w:rsidR="005C4792" w:rsidRPr="0018095A" w:rsidRDefault="005C4792" w:rsidP="00C853B6">
            <w:pPr>
              <w:pStyle w:val="EndNoteBibliography"/>
              <w:jc w:val="center"/>
              <w:rPr>
                <w:sz w:val="20"/>
                <w:szCs w:val="20"/>
              </w:rPr>
            </w:pPr>
            <w:r w:rsidRPr="0018095A">
              <w:rPr>
                <w:b w:val="0"/>
                <w:bCs w:val="0"/>
                <w:sz w:val="20"/>
                <w:szCs w:val="20"/>
              </w:rPr>
              <w:t>Dendronotid sea slug (Doto)</w:t>
            </w:r>
          </w:p>
        </w:tc>
        <w:tc>
          <w:tcPr>
            <w:tcW w:w="0" w:type="auto"/>
            <w:vAlign w:val="center"/>
          </w:tcPr>
          <w:p w14:paraId="209549F3" w14:textId="37046262" w:rsidR="005C4792" w:rsidRPr="0018095A"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Gastropod</w:t>
            </w:r>
          </w:p>
        </w:tc>
        <w:tc>
          <w:tcPr>
            <w:tcW w:w="0" w:type="auto"/>
            <w:vAlign w:val="center"/>
          </w:tcPr>
          <w:p w14:paraId="1A42C0E0" w14:textId="3E3F2384" w:rsidR="005C4792" w:rsidRPr="0018095A"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Doto coronata</w:t>
            </w:r>
            <w:r w:rsidRPr="0018095A">
              <w:rPr>
                <w:sz w:val="20"/>
                <w:szCs w:val="20"/>
              </w:rPr>
              <w:t xml:space="preserve"> (99.62%)</w:t>
            </w:r>
          </w:p>
        </w:tc>
        <w:tc>
          <w:tcPr>
            <w:tcW w:w="0" w:type="auto"/>
            <w:vAlign w:val="center"/>
          </w:tcPr>
          <w:p w14:paraId="0DEE23CD" w14:textId="17425799" w:rsidR="005C4792" w:rsidRPr="0018095A"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0" w:type="auto"/>
            <w:vAlign w:val="center"/>
          </w:tcPr>
          <w:p w14:paraId="03E01B76" w14:textId="6727377C" w:rsidR="005C4792"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pPr>
            <w:r>
              <w:drawing>
                <wp:inline distT="0" distB="0" distL="0" distR="0" wp14:anchorId="66888502" wp14:editId="1E638C53">
                  <wp:extent cx="1143000" cy="841681"/>
                  <wp:effectExtent l="0" t="0" r="0" b="0"/>
                  <wp:docPr id="1829168685" name="Picture 46" descr="A close-up of a microscopic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16" cstate="print">
                            <a:extLst>
                              <a:ext uri="{28A0092B-C50C-407E-A947-70E740481C1C}">
                                <a14:useLocalDpi xmlns:a14="http://schemas.microsoft.com/office/drawing/2010/main" val="0"/>
                              </a:ext>
                            </a:extLst>
                          </a:blip>
                          <a:srcRect l="18224" t="28188" r="30846" b="15425"/>
                          <a:stretch>
                            <a:fillRect/>
                          </a:stretch>
                        </pic:blipFill>
                        <pic:spPr bwMode="auto">
                          <a:xfrm>
                            <a:off x="0" y="0"/>
                            <a:ext cx="1150398" cy="8471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C4792" w:rsidRPr="0018095A" w14:paraId="1329137D"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422C53" w14:textId="5456C707" w:rsidR="005C4792" w:rsidRPr="0018095A" w:rsidRDefault="005C4792" w:rsidP="00C853B6">
            <w:pPr>
              <w:pStyle w:val="EndNoteBibliography"/>
              <w:jc w:val="center"/>
              <w:rPr>
                <w:sz w:val="20"/>
                <w:szCs w:val="20"/>
              </w:rPr>
            </w:pPr>
            <w:r w:rsidRPr="55CAC9E0">
              <w:rPr>
                <w:b w:val="0"/>
                <w:bCs w:val="0"/>
                <w:sz w:val="20"/>
                <w:szCs w:val="20"/>
              </w:rPr>
              <w:t>Electra pilosa</w:t>
            </w:r>
          </w:p>
        </w:tc>
        <w:tc>
          <w:tcPr>
            <w:tcW w:w="0" w:type="auto"/>
            <w:vAlign w:val="center"/>
          </w:tcPr>
          <w:p w14:paraId="66AB537A" w14:textId="201E48FD" w:rsidR="005C4792" w:rsidRPr="0018095A" w:rsidRDefault="005C4792"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Cyphonaute</w:t>
            </w:r>
          </w:p>
        </w:tc>
        <w:tc>
          <w:tcPr>
            <w:tcW w:w="0" w:type="auto"/>
            <w:vAlign w:val="center"/>
          </w:tcPr>
          <w:p w14:paraId="55AE5BAA" w14:textId="44E2C589" w:rsidR="005C4792" w:rsidRPr="0018095A" w:rsidRDefault="005C4792" w:rsidP="00C853B6">
            <w:pPr>
              <w:pStyle w:val="EndNoteBibliography"/>
              <w:jc w:val="center"/>
              <w:cnfStyle w:val="000000100000" w:firstRow="0" w:lastRow="0" w:firstColumn="0" w:lastColumn="0" w:oddVBand="0" w:evenVBand="0" w:oddHBand="1" w:evenHBand="0" w:firstRowFirstColumn="0" w:firstRowLastColumn="0" w:lastRowFirstColumn="0" w:lastRowLastColumn="0"/>
              <w:rPr>
                <w:i/>
                <w:iCs/>
                <w:sz w:val="20"/>
                <w:szCs w:val="20"/>
              </w:rPr>
            </w:pPr>
            <w:r w:rsidRPr="55CAC9E0">
              <w:rPr>
                <w:i/>
                <w:iCs/>
                <w:sz w:val="20"/>
                <w:szCs w:val="20"/>
              </w:rPr>
              <w:t>Electra pilosa</w:t>
            </w:r>
            <w:r w:rsidRPr="55CAC9E0">
              <w:rPr>
                <w:sz w:val="20"/>
                <w:szCs w:val="20"/>
              </w:rPr>
              <w:t xml:space="preserve"> (97.3%)</w:t>
            </w:r>
          </w:p>
        </w:tc>
        <w:tc>
          <w:tcPr>
            <w:tcW w:w="0" w:type="auto"/>
            <w:vAlign w:val="center"/>
          </w:tcPr>
          <w:p w14:paraId="1CFF7BA0" w14:textId="4AC0F861" w:rsidR="005C4792" w:rsidRPr="0018095A" w:rsidRDefault="005C4792"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Y</w:t>
            </w:r>
          </w:p>
        </w:tc>
        <w:tc>
          <w:tcPr>
            <w:tcW w:w="0" w:type="auto"/>
            <w:vAlign w:val="center"/>
          </w:tcPr>
          <w:p w14:paraId="10366E10" w14:textId="68057262" w:rsidR="005C4792" w:rsidRDefault="005C4792" w:rsidP="00C853B6">
            <w:pPr>
              <w:pStyle w:val="EndNoteBibliography"/>
              <w:jc w:val="center"/>
              <w:cnfStyle w:val="000000100000" w:firstRow="0" w:lastRow="0" w:firstColumn="0" w:lastColumn="0" w:oddVBand="0" w:evenVBand="0" w:oddHBand="1" w:evenHBand="0" w:firstRowFirstColumn="0" w:firstRowLastColumn="0" w:lastRowFirstColumn="0" w:lastRowLastColumn="0"/>
            </w:pPr>
            <w:r>
              <w:drawing>
                <wp:inline distT="0" distB="0" distL="0" distR="0" wp14:anchorId="34020EF1" wp14:editId="4E03F842">
                  <wp:extent cx="718475" cy="1165697"/>
                  <wp:effectExtent l="5080" t="0" r="0" b="0"/>
                  <wp:docPr id="383693942" name="Picture 3" descr="A close-up of a piec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724836" cy="1176017"/>
                          </a:xfrm>
                          <a:prstGeom prst="rect">
                            <a:avLst/>
                          </a:prstGeom>
                        </pic:spPr>
                      </pic:pic>
                    </a:graphicData>
                  </a:graphic>
                </wp:inline>
              </w:drawing>
            </w:r>
          </w:p>
        </w:tc>
      </w:tr>
      <w:tr w:rsidR="005C4792" w:rsidRPr="0018095A" w14:paraId="30F6291C"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3DAF1F" w14:textId="0957EB79" w:rsidR="005C4792" w:rsidRPr="0018095A" w:rsidRDefault="005C4792" w:rsidP="00C853B6">
            <w:pPr>
              <w:pStyle w:val="EndNoteBibliography"/>
              <w:jc w:val="center"/>
              <w:rPr>
                <w:sz w:val="20"/>
                <w:szCs w:val="20"/>
              </w:rPr>
            </w:pPr>
            <w:r w:rsidRPr="0018095A">
              <w:rPr>
                <w:b w:val="0"/>
                <w:bCs w:val="0"/>
                <w:sz w:val="20"/>
                <w:szCs w:val="20"/>
              </w:rPr>
              <w:t>Hydroid (Tubulariidae)</w:t>
            </w:r>
          </w:p>
        </w:tc>
        <w:tc>
          <w:tcPr>
            <w:tcW w:w="0" w:type="auto"/>
            <w:vAlign w:val="center"/>
          </w:tcPr>
          <w:p w14:paraId="0274182D" w14:textId="0CF13F3A" w:rsidR="005C4792" w:rsidRPr="0018095A"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0" w:type="auto"/>
            <w:vAlign w:val="center"/>
          </w:tcPr>
          <w:p w14:paraId="3AD016A4" w14:textId="1E134560" w:rsidR="005C4792" w:rsidRPr="0018095A"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Ectopleura larynx</w:t>
            </w:r>
            <w:r w:rsidRPr="0018095A">
              <w:rPr>
                <w:sz w:val="20"/>
                <w:szCs w:val="20"/>
              </w:rPr>
              <w:t xml:space="preserve"> (100%)</w:t>
            </w:r>
          </w:p>
        </w:tc>
        <w:tc>
          <w:tcPr>
            <w:tcW w:w="0" w:type="auto"/>
            <w:vAlign w:val="center"/>
          </w:tcPr>
          <w:p w14:paraId="5C01766F" w14:textId="64593B48" w:rsidR="005C4792" w:rsidRPr="0018095A"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0" w:type="auto"/>
            <w:vAlign w:val="center"/>
          </w:tcPr>
          <w:p w14:paraId="3F295D89" w14:textId="6F57B3E4" w:rsidR="005C4792" w:rsidRDefault="005C4792" w:rsidP="00C853B6">
            <w:pPr>
              <w:pStyle w:val="EndNoteBibliography"/>
              <w:jc w:val="center"/>
              <w:cnfStyle w:val="000000000000" w:firstRow="0" w:lastRow="0" w:firstColumn="0" w:lastColumn="0" w:oddVBand="0" w:evenVBand="0" w:oddHBand="0" w:evenHBand="0" w:firstRowFirstColumn="0" w:firstRowLastColumn="0" w:lastRowFirstColumn="0" w:lastRowLastColumn="0"/>
            </w:pPr>
            <w:r w:rsidRPr="0018095A">
              <w:rPr>
                <w:sz w:val="20"/>
                <w:szCs w:val="20"/>
                <w:lang w:val="en-GB"/>
              </w:rPr>
              <w:drawing>
                <wp:inline distT="0" distB="0" distL="0" distR="0" wp14:anchorId="2531EB75" wp14:editId="42F7C185">
                  <wp:extent cx="1159263" cy="792000"/>
                  <wp:effectExtent l="0" t="0" r="3175" b="8255"/>
                  <wp:docPr id="691053399" name="Picture 43" descr="A close 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3399" name="Picture 43" descr="A close up of a sea creatur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2563" b="29419"/>
                          <a:stretch>
                            <a:fillRect/>
                          </a:stretch>
                        </pic:blipFill>
                        <pic:spPr bwMode="auto">
                          <a:xfrm flipV="1">
                            <a:off x="0" y="0"/>
                            <a:ext cx="1159263" cy="792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C721A17" w14:textId="77777777" w:rsidR="00AB0E9D" w:rsidRDefault="00AB0E9D">
      <w:r>
        <w:rPr>
          <w:b/>
          <w:bCs/>
        </w:rPr>
        <w:br w:type="page"/>
      </w:r>
    </w:p>
    <w:tbl>
      <w:tblPr>
        <w:tblStyle w:val="PlainTable1"/>
        <w:tblpPr w:leftFromText="180" w:rightFromText="180" w:vertAnchor="page" w:horzAnchor="margin" w:tblpY="1516"/>
        <w:tblW w:w="0" w:type="auto"/>
        <w:tblLayout w:type="fixed"/>
        <w:tblLook w:val="04A0" w:firstRow="1" w:lastRow="0" w:firstColumn="1" w:lastColumn="0" w:noHBand="0" w:noVBand="1"/>
      </w:tblPr>
      <w:tblGrid>
        <w:gridCol w:w="1696"/>
        <w:gridCol w:w="1560"/>
        <w:gridCol w:w="2551"/>
        <w:gridCol w:w="1276"/>
        <w:gridCol w:w="1933"/>
      </w:tblGrid>
      <w:tr w:rsidR="00AB0E9D" w:rsidRPr="0018095A" w14:paraId="59224A7A" w14:textId="77777777" w:rsidTr="00C853B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11B91D3" w14:textId="77777777" w:rsidR="00AB0E9D" w:rsidRPr="0018095A" w:rsidRDefault="00AB0E9D" w:rsidP="00C853B6">
            <w:pPr>
              <w:pStyle w:val="EndNoteBibliography"/>
              <w:jc w:val="center"/>
              <w:rPr>
                <w:sz w:val="20"/>
                <w:szCs w:val="20"/>
              </w:rPr>
            </w:pPr>
            <w:r w:rsidRPr="55CAC9E0">
              <w:rPr>
                <w:sz w:val="20"/>
                <w:szCs w:val="20"/>
              </w:rPr>
              <w:lastRenderedPageBreak/>
              <w:t>Epibiont ID</w:t>
            </w:r>
          </w:p>
        </w:tc>
        <w:tc>
          <w:tcPr>
            <w:tcW w:w="1560" w:type="dxa"/>
            <w:vAlign w:val="center"/>
          </w:tcPr>
          <w:p w14:paraId="69B610A9" w14:textId="77777777" w:rsidR="00AB0E9D" w:rsidRPr="0018095A" w:rsidRDefault="00AB0E9D"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r w:rsidRPr="55CAC9E0">
              <w:rPr>
                <w:sz w:val="20"/>
                <w:szCs w:val="20"/>
              </w:rPr>
              <w:t>Plankton ID</w:t>
            </w:r>
          </w:p>
        </w:tc>
        <w:tc>
          <w:tcPr>
            <w:tcW w:w="2551" w:type="dxa"/>
            <w:vAlign w:val="center"/>
          </w:tcPr>
          <w:p w14:paraId="08AA0867" w14:textId="77777777" w:rsidR="00AB0E9D" w:rsidRPr="0018095A" w:rsidRDefault="00AB0E9D" w:rsidP="00C853B6">
            <w:pPr>
              <w:pStyle w:val="EndNoteBibliography"/>
              <w:jc w:val="center"/>
              <w:cnfStyle w:val="100000000000" w:firstRow="1" w:lastRow="0" w:firstColumn="0" w:lastColumn="0" w:oddVBand="0" w:evenVBand="0" w:oddHBand="0" w:evenHBand="0" w:firstRowFirstColumn="0" w:firstRowLastColumn="0" w:lastRowFirstColumn="0" w:lastRowLastColumn="0"/>
              <w:rPr>
                <w:i/>
                <w:iCs/>
                <w:sz w:val="20"/>
                <w:szCs w:val="20"/>
              </w:rPr>
            </w:pPr>
            <w:r w:rsidRPr="55CAC9E0">
              <w:rPr>
                <w:sz w:val="20"/>
                <w:szCs w:val="20"/>
              </w:rPr>
              <w:t>Barcode ID</w:t>
            </w:r>
          </w:p>
        </w:tc>
        <w:tc>
          <w:tcPr>
            <w:tcW w:w="1276" w:type="dxa"/>
            <w:vAlign w:val="center"/>
          </w:tcPr>
          <w:p w14:paraId="7E110532" w14:textId="77777777" w:rsidR="00AB0E9D" w:rsidRPr="0018095A" w:rsidRDefault="00AB0E9D"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r w:rsidRPr="55CAC9E0">
              <w:rPr>
                <w:sz w:val="20"/>
                <w:szCs w:val="20"/>
              </w:rPr>
              <w:t>Rope Scrub Presence</w:t>
            </w:r>
          </w:p>
        </w:tc>
        <w:tc>
          <w:tcPr>
            <w:tcW w:w="1933" w:type="dxa"/>
            <w:vAlign w:val="center"/>
          </w:tcPr>
          <w:p w14:paraId="6E014EB1" w14:textId="77777777" w:rsidR="00AB0E9D" w:rsidRDefault="00AB0E9D" w:rsidP="00C853B6">
            <w:pPr>
              <w:jc w:val="center"/>
              <w:cnfStyle w:val="100000000000" w:firstRow="1" w:lastRow="0" w:firstColumn="0" w:lastColumn="0" w:oddVBand="0" w:evenVBand="0" w:oddHBand="0" w:evenHBand="0" w:firstRowFirstColumn="0" w:firstRowLastColumn="0" w:lastRowFirstColumn="0" w:lastRowLastColumn="0"/>
              <w:rPr>
                <w:rFonts w:ascii="Aptos" w:hAnsi="Aptos"/>
                <w:noProof/>
                <w:sz w:val="20"/>
                <w:szCs w:val="20"/>
              </w:rPr>
            </w:pPr>
            <w:r w:rsidRPr="55CAC9E0">
              <w:rPr>
                <w:rFonts w:ascii="Aptos" w:hAnsi="Aptos"/>
                <w:sz w:val="20"/>
                <w:szCs w:val="20"/>
              </w:rPr>
              <w:t>Photo</w:t>
            </w:r>
          </w:p>
          <w:p w14:paraId="4334BC22" w14:textId="77777777" w:rsidR="00AB0E9D" w:rsidRPr="0018095A" w:rsidRDefault="00AB0E9D" w:rsidP="00C853B6">
            <w:pPr>
              <w:pStyle w:val="EndNoteBibliography"/>
              <w:jc w:val="center"/>
              <w:cnfStyle w:val="100000000000" w:firstRow="1" w:lastRow="0" w:firstColumn="0" w:lastColumn="0" w:oddVBand="0" w:evenVBand="0" w:oddHBand="0" w:evenHBand="0" w:firstRowFirstColumn="0" w:firstRowLastColumn="0" w:lastRowFirstColumn="0" w:lastRowLastColumn="0"/>
              <w:rPr>
                <w:sz w:val="20"/>
                <w:szCs w:val="20"/>
              </w:rPr>
            </w:pPr>
          </w:p>
        </w:tc>
      </w:tr>
      <w:tr w:rsidR="00AB0E9D" w:rsidRPr="0018095A" w14:paraId="6775E43B"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3901A44" w14:textId="77777777" w:rsidR="00AB0E9D" w:rsidRPr="0018095A" w:rsidRDefault="00AB0E9D" w:rsidP="00C853B6">
            <w:pPr>
              <w:pStyle w:val="EndNoteBibliography"/>
              <w:jc w:val="center"/>
              <w:rPr>
                <w:sz w:val="20"/>
                <w:szCs w:val="20"/>
              </w:rPr>
            </w:pPr>
            <w:r w:rsidRPr="0018095A">
              <w:rPr>
                <w:b w:val="0"/>
                <w:bCs w:val="0"/>
                <w:sz w:val="20"/>
                <w:szCs w:val="20"/>
              </w:rPr>
              <w:t>Hydroid (with Licmophora attached)</w:t>
            </w:r>
          </w:p>
        </w:tc>
        <w:tc>
          <w:tcPr>
            <w:tcW w:w="1560" w:type="dxa"/>
            <w:vAlign w:val="center"/>
          </w:tcPr>
          <w:p w14:paraId="1A4C646B" w14:textId="7777777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Clytia sp.</w:t>
            </w:r>
          </w:p>
        </w:tc>
        <w:tc>
          <w:tcPr>
            <w:tcW w:w="2551" w:type="dxa"/>
            <w:vAlign w:val="center"/>
          </w:tcPr>
          <w:p w14:paraId="7FB51BCF" w14:textId="7777777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Clytia hemisphaerica</w:t>
            </w:r>
            <w:r w:rsidRPr="0018095A">
              <w:rPr>
                <w:sz w:val="20"/>
                <w:szCs w:val="20"/>
              </w:rPr>
              <w:t xml:space="preserve"> (99.59%)</w:t>
            </w:r>
          </w:p>
        </w:tc>
        <w:tc>
          <w:tcPr>
            <w:tcW w:w="1276" w:type="dxa"/>
            <w:vAlign w:val="center"/>
          </w:tcPr>
          <w:p w14:paraId="61F8C437" w14:textId="7777777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1933" w:type="dxa"/>
            <w:vAlign w:val="center"/>
          </w:tcPr>
          <w:p w14:paraId="1F8C611A" w14:textId="77777777" w:rsidR="00AB0E9D"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pPr>
            <w:r w:rsidRPr="0018095A">
              <w:rPr>
                <w:sz w:val="20"/>
                <w:szCs w:val="20"/>
              </w:rPr>
              <w:drawing>
                <wp:inline distT="0" distB="0" distL="0" distR="0" wp14:anchorId="2FA5395F" wp14:editId="0C57ADEF">
                  <wp:extent cx="1124417" cy="828000"/>
                  <wp:effectExtent l="0" t="0" r="0" b="0"/>
                  <wp:docPr id="136430432" name="Picture 42" descr="A close-up of a microscopic view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0903" name="Picture 42" descr="A close-up of a microscopic view of a plan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AB0E9D" w:rsidRPr="0018095A" w14:paraId="0C3C09CC"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0C197B5" w14:textId="77777777" w:rsidR="00AB0E9D" w:rsidRPr="0018095A" w:rsidRDefault="00AB0E9D" w:rsidP="00C853B6">
            <w:pPr>
              <w:pStyle w:val="EndNoteBibliography"/>
              <w:jc w:val="center"/>
              <w:rPr>
                <w:sz w:val="20"/>
                <w:szCs w:val="20"/>
              </w:rPr>
            </w:pPr>
            <w:r w:rsidRPr="0018095A">
              <w:rPr>
                <w:b w:val="0"/>
                <w:bCs w:val="0"/>
                <w:sz w:val="20"/>
                <w:szCs w:val="20"/>
              </w:rPr>
              <w:t>Hydroid (with Licmophora attached)</w:t>
            </w:r>
          </w:p>
        </w:tc>
        <w:tc>
          <w:tcPr>
            <w:tcW w:w="1560" w:type="dxa"/>
            <w:vAlign w:val="center"/>
          </w:tcPr>
          <w:p w14:paraId="0DE5C04A" w14:textId="777777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2551" w:type="dxa"/>
            <w:vAlign w:val="center"/>
          </w:tcPr>
          <w:p w14:paraId="420E9FF0" w14:textId="777777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Bougainvillia muscus</w:t>
            </w:r>
            <w:r w:rsidRPr="0018095A">
              <w:rPr>
                <w:sz w:val="20"/>
                <w:szCs w:val="20"/>
              </w:rPr>
              <w:t xml:space="preserve"> (99.41%)</w:t>
            </w:r>
          </w:p>
        </w:tc>
        <w:tc>
          <w:tcPr>
            <w:tcW w:w="1276" w:type="dxa"/>
            <w:vAlign w:val="center"/>
          </w:tcPr>
          <w:p w14:paraId="461A97D9" w14:textId="777777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1933" w:type="dxa"/>
            <w:vAlign w:val="center"/>
          </w:tcPr>
          <w:p w14:paraId="05403BA0" w14:textId="77777777" w:rsidR="00AB0E9D"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pPr>
            <w:r w:rsidRPr="0018095A">
              <w:rPr>
                <w:sz w:val="20"/>
                <w:szCs w:val="20"/>
              </w:rPr>
              <w:drawing>
                <wp:inline distT="0" distB="0" distL="0" distR="0" wp14:anchorId="649986A4" wp14:editId="304CC614">
                  <wp:extent cx="1150621" cy="864000"/>
                  <wp:effectExtent l="0" t="0" r="0" b="0"/>
                  <wp:docPr id="554637732" name="Picture 4" descr="A close-up of a white f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32" name="Picture 4" descr="A close-up of a white feath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0621" cy="864000"/>
                          </a:xfrm>
                          <a:prstGeom prst="rect">
                            <a:avLst/>
                          </a:prstGeom>
                          <a:noFill/>
                          <a:ln>
                            <a:noFill/>
                          </a:ln>
                        </pic:spPr>
                      </pic:pic>
                    </a:graphicData>
                  </a:graphic>
                </wp:inline>
              </w:drawing>
            </w:r>
          </w:p>
        </w:tc>
      </w:tr>
      <w:tr w:rsidR="00AB0E9D" w:rsidRPr="0018095A" w14:paraId="394EF9B5"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3952F14" w14:textId="77777777" w:rsidR="00AB0E9D" w:rsidRPr="0018095A" w:rsidRDefault="00AB0E9D" w:rsidP="00C853B6">
            <w:pPr>
              <w:pStyle w:val="EndNoteBibliography"/>
              <w:jc w:val="center"/>
              <w:rPr>
                <w:sz w:val="20"/>
                <w:szCs w:val="20"/>
              </w:rPr>
            </w:pPr>
            <w:r w:rsidRPr="0018095A">
              <w:rPr>
                <w:b w:val="0"/>
                <w:bCs w:val="0"/>
                <w:sz w:val="20"/>
                <w:szCs w:val="20"/>
              </w:rPr>
              <w:t>Membranipora membranacea</w:t>
            </w:r>
          </w:p>
        </w:tc>
        <w:tc>
          <w:tcPr>
            <w:tcW w:w="1560" w:type="dxa"/>
            <w:vAlign w:val="center"/>
          </w:tcPr>
          <w:p w14:paraId="1D3BE7D6" w14:textId="7777777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Cyphonaute</w:t>
            </w:r>
          </w:p>
        </w:tc>
        <w:tc>
          <w:tcPr>
            <w:tcW w:w="2551" w:type="dxa"/>
            <w:vAlign w:val="center"/>
          </w:tcPr>
          <w:p w14:paraId="1E39C0DB" w14:textId="7777777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Membranipora membranacea</w:t>
            </w:r>
            <w:r w:rsidRPr="0018095A">
              <w:rPr>
                <w:sz w:val="20"/>
                <w:szCs w:val="20"/>
              </w:rPr>
              <w:t xml:space="preserve"> (99.60%)</w:t>
            </w:r>
          </w:p>
        </w:tc>
        <w:tc>
          <w:tcPr>
            <w:tcW w:w="1276" w:type="dxa"/>
            <w:vAlign w:val="center"/>
          </w:tcPr>
          <w:p w14:paraId="28A8494F" w14:textId="7777777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1933" w:type="dxa"/>
            <w:vAlign w:val="center"/>
          </w:tcPr>
          <w:p w14:paraId="5B111492" w14:textId="77777777" w:rsidR="00AB0E9D"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pPr>
            <w:r>
              <w:drawing>
                <wp:inline distT="0" distB="0" distL="0" distR="0" wp14:anchorId="22DC469C" wp14:editId="00F46952">
                  <wp:extent cx="1124418" cy="828000"/>
                  <wp:effectExtent l="0" t="0" r="0" b="0"/>
                  <wp:docPr id="513352258" name="Picture 40" descr="A close-up of a snake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124418" cy="828000"/>
                          </a:xfrm>
                          <a:prstGeom prst="rect">
                            <a:avLst/>
                          </a:prstGeom>
                          <a:noFill/>
                          <a:ln>
                            <a:noFill/>
                          </a:ln>
                        </pic:spPr>
                      </pic:pic>
                    </a:graphicData>
                  </a:graphic>
                </wp:inline>
              </w:drawing>
            </w:r>
          </w:p>
        </w:tc>
      </w:tr>
      <w:tr w:rsidR="00AB0E9D" w:rsidRPr="0018095A" w14:paraId="6C345B73"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5CE7856" w14:textId="77777777" w:rsidR="00AB0E9D" w:rsidRPr="0018095A" w:rsidRDefault="00AB0E9D" w:rsidP="00C853B6">
            <w:pPr>
              <w:pStyle w:val="EndNoteBibliography"/>
              <w:jc w:val="center"/>
              <w:rPr>
                <w:sz w:val="20"/>
                <w:szCs w:val="20"/>
              </w:rPr>
            </w:pPr>
            <w:r w:rsidRPr="0018095A">
              <w:rPr>
                <w:b w:val="0"/>
                <w:bCs w:val="0"/>
                <w:sz w:val="20"/>
                <w:szCs w:val="20"/>
              </w:rPr>
              <w:t>NA</w:t>
            </w:r>
          </w:p>
        </w:tc>
        <w:tc>
          <w:tcPr>
            <w:tcW w:w="1560" w:type="dxa"/>
            <w:vAlign w:val="center"/>
          </w:tcPr>
          <w:p w14:paraId="7CEB3E13" w14:textId="777777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Balanoid nauplii</w:t>
            </w:r>
          </w:p>
        </w:tc>
        <w:tc>
          <w:tcPr>
            <w:tcW w:w="2551" w:type="dxa"/>
            <w:vAlign w:val="center"/>
          </w:tcPr>
          <w:p w14:paraId="67B96000" w14:textId="777777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Amphibalanus improvisus</w:t>
            </w:r>
            <w:r w:rsidRPr="0018095A">
              <w:rPr>
                <w:sz w:val="20"/>
                <w:szCs w:val="20"/>
              </w:rPr>
              <w:t xml:space="preserve"> (100%)</w:t>
            </w:r>
          </w:p>
        </w:tc>
        <w:tc>
          <w:tcPr>
            <w:tcW w:w="1276" w:type="dxa"/>
            <w:vAlign w:val="center"/>
          </w:tcPr>
          <w:p w14:paraId="4DA4DF01" w14:textId="777777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1933" w:type="dxa"/>
            <w:vAlign w:val="center"/>
          </w:tcPr>
          <w:p w14:paraId="490BFEA2" w14:textId="77777777" w:rsidR="00AB0E9D"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pPr>
            <w:r>
              <w:drawing>
                <wp:inline distT="0" distB="0" distL="0" distR="0" wp14:anchorId="0CA9A7C1" wp14:editId="26AFCFF0">
                  <wp:extent cx="1129259" cy="733723"/>
                  <wp:effectExtent l="0" t="0" r="0" b="0"/>
                  <wp:docPr id="492644395" name="Picture 52"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22" cstate="print">
                            <a:extLst>
                              <a:ext uri="{28A0092B-C50C-407E-A947-70E740481C1C}">
                                <a14:useLocalDpi xmlns:a14="http://schemas.microsoft.com/office/drawing/2010/main"/>
                              </a:ext>
                            </a:extLst>
                          </a:blip>
                          <a:srcRect r="10434"/>
                          <a:stretch>
                            <a:fillRect/>
                          </a:stretch>
                        </pic:blipFill>
                        <pic:spPr>
                          <a:xfrm>
                            <a:off x="0" y="0"/>
                            <a:ext cx="1129259" cy="733723"/>
                          </a:xfrm>
                          <a:prstGeom prst="rect">
                            <a:avLst/>
                          </a:prstGeom>
                        </pic:spPr>
                      </pic:pic>
                    </a:graphicData>
                  </a:graphic>
                </wp:inline>
              </w:drawing>
            </w:r>
          </w:p>
        </w:tc>
      </w:tr>
      <w:tr w:rsidR="00AB0E9D" w:rsidRPr="0018095A" w14:paraId="4CD2D675"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2841BD0" w14:textId="77D7B35D" w:rsidR="00AB0E9D" w:rsidRPr="0018095A" w:rsidRDefault="00AB0E9D" w:rsidP="00C853B6">
            <w:pPr>
              <w:pStyle w:val="EndNoteBibliography"/>
              <w:jc w:val="center"/>
              <w:rPr>
                <w:sz w:val="20"/>
                <w:szCs w:val="20"/>
              </w:rPr>
            </w:pPr>
            <w:r w:rsidRPr="0018095A">
              <w:rPr>
                <w:b w:val="0"/>
                <w:bCs w:val="0"/>
                <w:sz w:val="20"/>
                <w:szCs w:val="20"/>
              </w:rPr>
              <w:t>Obelia sp.</w:t>
            </w:r>
          </w:p>
        </w:tc>
        <w:tc>
          <w:tcPr>
            <w:tcW w:w="1560" w:type="dxa"/>
            <w:vAlign w:val="center"/>
          </w:tcPr>
          <w:p w14:paraId="012BE078" w14:textId="2908DDBD"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Obelia sp.</w:t>
            </w:r>
          </w:p>
        </w:tc>
        <w:tc>
          <w:tcPr>
            <w:tcW w:w="2551" w:type="dxa"/>
            <w:vAlign w:val="center"/>
          </w:tcPr>
          <w:p w14:paraId="0B4F1046" w14:textId="542F6550"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sz w:val="20"/>
                <w:szCs w:val="20"/>
              </w:rPr>
              <w:t>Obelia dichotoma (99.67%)</w:t>
            </w:r>
          </w:p>
        </w:tc>
        <w:tc>
          <w:tcPr>
            <w:tcW w:w="1276" w:type="dxa"/>
            <w:vAlign w:val="center"/>
          </w:tcPr>
          <w:p w14:paraId="732FF524" w14:textId="394E9D1B"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1933" w:type="dxa"/>
            <w:vAlign w:val="center"/>
          </w:tcPr>
          <w:p w14:paraId="11DC55C3" w14:textId="17EDF5FE" w:rsidR="00AB0E9D"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pPr>
            <w:r w:rsidRPr="0018095A">
              <w:rPr>
                <w:sz w:val="20"/>
                <w:szCs w:val="20"/>
                <w:lang w:val="en-GB"/>
              </w:rPr>
              <w:drawing>
                <wp:inline distT="0" distB="0" distL="0" distR="0" wp14:anchorId="1F02DB4E" wp14:editId="77B3A16C">
                  <wp:extent cx="1124417" cy="828000"/>
                  <wp:effectExtent l="0" t="0" r="0" b="0"/>
                  <wp:docPr id="1682491412" name="Picture 44"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1367" name="Picture 44" descr="A close up of a plan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1124417" cy="828000"/>
                          </a:xfrm>
                          <a:prstGeom prst="rect">
                            <a:avLst/>
                          </a:prstGeom>
                          <a:noFill/>
                          <a:ln>
                            <a:noFill/>
                          </a:ln>
                        </pic:spPr>
                      </pic:pic>
                    </a:graphicData>
                  </a:graphic>
                </wp:inline>
              </w:drawing>
            </w:r>
          </w:p>
        </w:tc>
      </w:tr>
      <w:tr w:rsidR="00AB0E9D" w:rsidRPr="0018095A" w14:paraId="5C43B3C3"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2337800" w14:textId="6E4D48B6" w:rsidR="00AB0E9D" w:rsidRPr="0018095A" w:rsidRDefault="00AB0E9D" w:rsidP="00C853B6">
            <w:pPr>
              <w:pStyle w:val="EndNoteBibliography"/>
              <w:jc w:val="center"/>
              <w:rPr>
                <w:sz w:val="20"/>
                <w:szCs w:val="20"/>
              </w:rPr>
            </w:pPr>
            <w:r w:rsidRPr="0018095A">
              <w:rPr>
                <w:b w:val="0"/>
                <w:bCs w:val="0"/>
                <w:sz w:val="20"/>
                <w:szCs w:val="20"/>
              </w:rPr>
              <w:t>Rhodophyta (Pterosiphonia spinifera)</w:t>
            </w:r>
          </w:p>
        </w:tc>
        <w:tc>
          <w:tcPr>
            <w:tcW w:w="1560" w:type="dxa"/>
            <w:vAlign w:val="center"/>
          </w:tcPr>
          <w:p w14:paraId="1B8F6CAC" w14:textId="25EB6062"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2551" w:type="dxa"/>
            <w:vAlign w:val="center"/>
          </w:tcPr>
          <w:p w14:paraId="6848BFB3" w14:textId="51DD699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sz w:val="20"/>
                <w:szCs w:val="20"/>
              </w:rPr>
              <w:t>Pterothamnion plumula (98.86%)</w:t>
            </w:r>
          </w:p>
        </w:tc>
        <w:tc>
          <w:tcPr>
            <w:tcW w:w="1276" w:type="dxa"/>
            <w:vAlign w:val="center"/>
          </w:tcPr>
          <w:p w14:paraId="49EF1F3A" w14:textId="3628A577"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1933" w:type="dxa"/>
            <w:vAlign w:val="center"/>
          </w:tcPr>
          <w:p w14:paraId="758DCECE" w14:textId="50609761" w:rsidR="00AB0E9D"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pPr>
            <w:r w:rsidRPr="0018095A">
              <w:rPr>
                <w:sz w:val="20"/>
                <w:szCs w:val="20"/>
                <w:lang w:val="en-GB"/>
              </w:rPr>
              <w:drawing>
                <wp:inline distT="0" distB="0" distL="0" distR="0" wp14:anchorId="249C3337" wp14:editId="7A85BD14">
                  <wp:extent cx="1124417" cy="828000"/>
                  <wp:effectExtent l="0" t="0" r="0" b="0"/>
                  <wp:docPr id="1834161178" name="Picture 48" descr="A close up of a pin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1178" name="Picture 48" descr="A close up of a pink objec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AB0E9D" w:rsidRPr="0018095A" w14:paraId="2107276B" w14:textId="77777777" w:rsidTr="00C853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C259969" w14:textId="2D60146F" w:rsidR="00AB0E9D" w:rsidRPr="0018095A" w:rsidRDefault="00AB0E9D" w:rsidP="00C853B6">
            <w:pPr>
              <w:pStyle w:val="EndNoteBibliography"/>
              <w:jc w:val="center"/>
              <w:rPr>
                <w:sz w:val="20"/>
                <w:szCs w:val="20"/>
              </w:rPr>
            </w:pPr>
            <w:r w:rsidRPr="0018095A">
              <w:rPr>
                <w:b w:val="0"/>
                <w:bCs w:val="0"/>
                <w:sz w:val="20"/>
                <w:szCs w:val="20"/>
              </w:rPr>
              <w:t>Unidentified</w:t>
            </w:r>
          </w:p>
        </w:tc>
        <w:tc>
          <w:tcPr>
            <w:tcW w:w="1560" w:type="dxa"/>
            <w:vAlign w:val="center"/>
          </w:tcPr>
          <w:p w14:paraId="697B21D7" w14:textId="59FCA497"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2551" w:type="dxa"/>
            <w:vAlign w:val="center"/>
          </w:tcPr>
          <w:p w14:paraId="33CE26FF" w14:textId="4C430C85"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sz w:val="20"/>
                <w:szCs w:val="20"/>
              </w:rPr>
              <w:t>Laminaria digitata (99.6%)</w:t>
            </w:r>
          </w:p>
        </w:tc>
        <w:tc>
          <w:tcPr>
            <w:tcW w:w="1276" w:type="dxa"/>
            <w:vAlign w:val="center"/>
          </w:tcPr>
          <w:p w14:paraId="06BAE213" w14:textId="43443816" w:rsidR="00AB0E9D" w:rsidRPr="0018095A"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1933" w:type="dxa"/>
            <w:vAlign w:val="center"/>
          </w:tcPr>
          <w:p w14:paraId="4A7FB9C9" w14:textId="2B2881CE" w:rsidR="00AB0E9D" w:rsidRDefault="00AB0E9D" w:rsidP="00C853B6">
            <w:pPr>
              <w:pStyle w:val="EndNoteBibliography"/>
              <w:jc w:val="center"/>
              <w:cnfStyle w:val="000000100000" w:firstRow="0" w:lastRow="0" w:firstColumn="0" w:lastColumn="0" w:oddVBand="0" w:evenVBand="0" w:oddHBand="1" w:evenHBand="0" w:firstRowFirstColumn="0" w:firstRowLastColumn="0" w:lastRowFirstColumn="0" w:lastRowLastColumn="0"/>
            </w:pPr>
            <w:r w:rsidRPr="0018095A">
              <w:rPr>
                <w:sz w:val="20"/>
                <w:szCs w:val="20"/>
                <w:lang w:val="en-GB"/>
              </w:rPr>
              <w:drawing>
                <wp:inline distT="0" distB="0" distL="0" distR="0" wp14:anchorId="4C087F32" wp14:editId="1DD11E57">
                  <wp:extent cx="1124417" cy="828000"/>
                  <wp:effectExtent l="0" t="0" r="0" b="0"/>
                  <wp:docPr id="1584095098" name="Picture 45" descr="A close up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5098" name="Picture 45" descr="A close up of a cell&#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AB0E9D" w:rsidRPr="0018095A" w14:paraId="3A380E3B" w14:textId="77777777" w:rsidTr="00C853B6">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051CB573" w14:textId="31A1B382" w:rsidR="00AB0E9D" w:rsidRPr="0018095A" w:rsidRDefault="00AB0E9D" w:rsidP="00C853B6">
            <w:pPr>
              <w:pStyle w:val="EndNoteBibliography"/>
              <w:jc w:val="center"/>
              <w:rPr>
                <w:sz w:val="20"/>
                <w:szCs w:val="20"/>
              </w:rPr>
            </w:pPr>
            <w:r w:rsidRPr="0018095A">
              <w:rPr>
                <w:b w:val="0"/>
                <w:bCs w:val="0"/>
                <w:sz w:val="20"/>
                <w:szCs w:val="20"/>
              </w:rPr>
              <w:t>Unidentified algae (with Licmophora attached)</w:t>
            </w:r>
          </w:p>
        </w:tc>
        <w:tc>
          <w:tcPr>
            <w:tcW w:w="1560" w:type="dxa"/>
            <w:vAlign w:val="center"/>
          </w:tcPr>
          <w:p w14:paraId="3969BD24" w14:textId="2370533A"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Hydroid</w:t>
            </w:r>
          </w:p>
        </w:tc>
        <w:tc>
          <w:tcPr>
            <w:tcW w:w="2551" w:type="dxa"/>
            <w:vAlign w:val="center"/>
          </w:tcPr>
          <w:p w14:paraId="2889E90B" w14:textId="2735991C"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sz w:val="20"/>
                <w:szCs w:val="20"/>
              </w:rPr>
              <w:t>Bougainvillia muscus (99.41%)</w:t>
            </w:r>
          </w:p>
        </w:tc>
        <w:tc>
          <w:tcPr>
            <w:tcW w:w="1276" w:type="dxa"/>
            <w:vAlign w:val="center"/>
          </w:tcPr>
          <w:p w14:paraId="4DBE121A" w14:textId="4E3F941F" w:rsidR="00AB0E9D" w:rsidRPr="0018095A"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1933" w:type="dxa"/>
            <w:vAlign w:val="center"/>
          </w:tcPr>
          <w:p w14:paraId="0FC957C0" w14:textId="78225801" w:rsidR="00AB0E9D" w:rsidRDefault="00AB0E9D" w:rsidP="00C853B6">
            <w:pPr>
              <w:pStyle w:val="EndNoteBibliography"/>
              <w:jc w:val="center"/>
              <w:cnfStyle w:val="000000000000" w:firstRow="0" w:lastRow="0" w:firstColumn="0" w:lastColumn="0" w:oddVBand="0" w:evenVBand="0" w:oddHBand="0" w:evenHBand="0" w:firstRowFirstColumn="0" w:firstRowLastColumn="0" w:lastRowFirstColumn="0" w:lastRowLastColumn="0"/>
            </w:pPr>
            <w:r w:rsidRPr="0018095A">
              <w:rPr>
                <w:sz w:val="20"/>
                <w:szCs w:val="20"/>
                <w:lang w:val="en-GB"/>
              </w:rPr>
              <w:drawing>
                <wp:inline distT="0" distB="0" distL="0" distR="0" wp14:anchorId="58970A09" wp14:editId="184B5A3A">
                  <wp:extent cx="1422815" cy="828000"/>
                  <wp:effectExtent l="0" t="0" r="6350" b="0"/>
                  <wp:docPr id="201172273" name="Picture 50"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273" name="Picture 50" descr="A close-up of a plan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2815" cy="828000"/>
                          </a:xfrm>
                          <a:prstGeom prst="rect">
                            <a:avLst/>
                          </a:prstGeom>
                          <a:noFill/>
                          <a:ln>
                            <a:noFill/>
                          </a:ln>
                        </pic:spPr>
                      </pic:pic>
                    </a:graphicData>
                  </a:graphic>
                </wp:inline>
              </w:drawing>
            </w:r>
          </w:p>
        </w:tc>
      </w:tr>
    </w:tbl>
    <w:p w14:paraId="253A7C8B" w14:textId="4CA6F1FB" w:rsidR="0018095A" w:rsidRDefault="0018095A" w:rsidP="002B0DEA">
      <w:pPr>
        <w:pStyle w:val="Caption"/>
        <w:keepNext/>
        <w:jc w:val="both"/>
      </w:pPr>
    </w:p>
    <w:p w14:paraId="478FCA6C" w14:textId="77777777" w:rsidR="0018095A" w:rsidRDefault="0018095A" w:rsidP="002B0DEA">
      <w:pPr>
        <w:jc w:val="both"/>
        <w:rPr>
          <w:rFonts w:ascii="Aptos" w:hAnsi="Aptos"/>
          <w:i/>
          <w:iCs/>
        </w:rPr>
      </w:pPr>
    </w:p>
    <w:p w14:paraId="290AB8BF" w14:textId="77777777" w:rsidR="00AB0E9D" w:rsidRDefault="00AB0E9D" w:rsidP="002B0DEA">
      <w:pPr>
        <w:jc w:val="both"/>
        <w:rPr>
          <w:rFonts w:ascii="Aptos" w:hAnsi="Aptos"/>
          <w:i/>
          <w:iCs/>
        </w:rPr>
      </w:pPr>
    </w:p>
    <w:p w14:paraId="0CE92D9B" w14:textId="1270D303" w:rsidR="4FDD748D" w:rsidRDefault="4FDD748D">
      <w:r>
        <w:br w:type="page"/>
      </w:r>
    </w:p>
    <w:p w14:paraId="73D8FBCB" w14:textId="5A155AEE" w:rsidR="005B09D4" w:rsidRPr="00871F80" w:rsidRDefault="005B09D4" w:rsidP="002B0DEA">
      <w:pPr>
        <w:pStyle w:val="EndNoteBibliography"/>
        <w:spacing w:after="0"/>
        <w:jc w:val="both"/>
        <w:rPr>
          <w:i/>
          <w:iCs/>
          <w:lang w:val="en-GB"/>
        </w:rPr>
      </w:pPr>
      <w:r w:rsidRPr="55CAC9E0">
        <w:rPr>
          <w:i/>
          <w:iCs/>
        </w:rPr>
        <w:lastRenderedPageBreak/>
        <w:t xml:space="preserve">Assessment of time lags between eDNA </w:t>
      </w:r>
      <w:r w:rsidRPr="55CAC9E0">
        <w:rPr>
          <w:i/>
          <w:iCs/>
          <w:lang w:val="en-GB"/>
        </w:rPr>
        <w:t>, plankton and blade settlement of epibiont</w:t>
      </w:r>
      <w:r w:rsidR="009148E8" w:rsidRPr="55CAC9E0">
        <w:rPr>
          <w:i/>
          <w:iCs/>
          <w:lang w:val="en-GB"/>
        </w:rPr>
        <w:t xml:space="preserve"> taxa</w:t>
      </w:r>
    </w:p>
    <w:p w14:paraId="0899D13E" w14:textId="77777777" w:rsidR="005B09D4" w:rsidRDefault="005B09D4" w:rsidP="002B0DEA">
      <w:pPr>
        <w:jc w:val="both"/>
        <w:rPr>
          <w:rFonts w:ascii="Aptos" w:hAnsi="Aptos"/>
          <w:i/>
          <w:iCs/>
        </w:rPr>
      </w:pPr>
    </w:p>
    <w:p w14:paraId="49E30700" w14:textId="34E67817" w:rsidR="00D61182" w:rsidRPr="0018095A" w:rsidRDefault="005514F0" w:rsidP="002B0DEA">
      <w:pPr>
        <w:jc w:val="both"/>
        <w:rPr>
          <w:rFonts w:ascii="Aptos" w:hAnsi="Aptos"/>
          <w:i/>
          <w:iCs/>
        </w:rPr>
      </w:pPr>
      <w:r w:rsidRPr="4FDD748D">
        <w:rPr>
          <w:rFonts w:ascii="Aptos" w:hAnsi="Aptos"/>
          <w:i/>
          <w:iCs/>
        </w:rPr>
        <w:t>Bryozoa</w:t>
      </w:r>
    </w:p>
    <w:p w14:paraId="2F92B3B3" w14:textId="405835EA" w:rsidR="009E0C6C" w:rsidRDefault="13B3A2A1" w:rsidP="002B0DEA">
      <w:pPr>
        <w:keepNext/>
        <w:jc w:val="both"/>
      </w:pPr>
      <w:r>
        <w:rPr>
          <w:noProof/>
        </w:rPr>
        <w:drawing>
          <wp:inline distT="0" distB="0" distL="0" distR="0" wp14:anchorId="1B8023A8" wp14:editId="2A73AC65">
            <wp:extent cx="5724525" cy="2981325"/>
            <wp:effectExtent l="0" t="0" r="0" b="0"/>
            <wp:docPr id="75849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75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2981325"/>
                    </a:xfrm>
                    <a:prstGeom prst="rect">
                      <a:avLst/>
                    </a:prstGeom>
                  </pic:spPr>
                </pic:pic>
              </a:graphicData>
            </a:graphic>
          </wp:inline>
        </w:drawing>
      </w:r>
    </w:p>
    <w:p w14:paraId="514DAAA8" w14:textId="37DAFACD" w:rsidR="009F028F" w:rsidRPr="0018095A" w:rsidRDefault="009E0C6C" w:rsidP="002B0DEA">
      <w:pPr>
        <w:pStyle w:val="Caption"/>
        <w:jc w:val="both"/>
        <w:rPr>
          <w:rFonts w:ascii="Aptos" w:hAnsi="Aptos"/>
        </w:rPr>
      </w:pPr>
      <w:r w:rsidRPr="009E0C6C">
        <w:rPr>
          <w:b/>
          <w:bCs/>
        </w:rPr>
        <w:t xml:space="preserve">Figure </w:t>
      </w:r>
      <w:r w:rsidRPr="009E0C6C">
        <w:rPr>
          <w:b/>
          <w:bCs/>
        </w:rPr>
        <w:fldChar w:fldCharType="begin"/>
      </w:r>
      <w:r w:rsidRPr="009E0C6C">
        <w:rPr>
          <w:b/>
          <w:bCs/>
        </w:rPr>
        <w:instrText xml:space="preserve"> SEQ Figure \* ARABIC </w:instrText>
      </w:r>
      <w:r w:rsidRPr="009E0C6C">
        <w:rPr>
          <w:b/>
          <w:bCs/>
        </w:rPr>
        <w:fldChar w:fldCharType="separate"/>
      </w:r>
      <w:r w:rsidR="008B36EB">
        <w:rPr>
          <w:b/>
          <w:bCs/>
          <w:noProof/>
        </w:rPr>
        <w:t>2</w:t>
      </w:r>
      <w:r w:rsidRPr="009E0C6C">
        <w:rPr>
          <w:b/>
          <w:bCs/>
        </w:rPr>
        <w:fldChar w:fldCharType="end"/>
      </w:r>
      <w:r>
        <w:t xml:space="preserve">.  Temporal dynamics of </w:t>
      </w:r>
      <w:r w:rsidR="00921E7C">
        <w:t>B</w:t>
      </w:r>
      <w:r>
        <w:t xml:space="preserve">ryozoa epibionts. </w:t>
      </w:r>
      <w:r w:rsidRPr="009E0C6C">
        <w:t>Heatmaps showing the seasonal patterns of bryozoan detection by eDNA metabarcoding, plankto</w:t>
      </w:r>
      <w:r>
        <w:t>n</w:t>
      </w:r>
      <w:r w:rsidRPr="009E0C6C">
        <w:t xml:space="preserve"> microscopy, and blade settlement on cultivated kelp. </w:t>
      </w:r>
      <w:r w:rsidR="00921E7C">
        <w:t>C</w:t>
      </w:r>
      <w:r w:rsidRPr="009E0C6C">
        <w:t>olo</w:t>
      </w:r>
      <w:r>
        <w:t>u</w:t>
      </w:r>
      <w:r w:rsidRPr="009E0C6C">
        <w:t>rs indicate log-transformed relative sequence variant (RSV) abundances (%), plankton cell counts (cells</w:t>
      </w:r>
      <w:r w:rsidR="00921E7C">
        <w:t>/</w:t>
      </w:r>
      <w:r w:rsidRPr="009E0C6C">
        <w:t xml:space="preserve"> </w:t>
      </w:r>
      <w:r w:rsidR="00921E7C">
        <w:t>L</w:t>
      </w:r>
      <w:r w:rsidRPr="009E0C6C">
        <w:t>); and percent cover</w:t>
      </w:r>
      <w:r w:rsidR="00921E7C">
        <w:t>age (%)</w:t>
      </w:r>
      <w:r w:rsidRPr="009E0C6C">
        <w:t xml:space="preserve"> of bryozoan colonies on Saccharina blades.</w:t>
      </w:r>
      <w:r>
        <w:t xml:space="preserve"> No blade </w:t>
      </w:r>
      <w:proofErr w:type="spellStart"/>
      <w:r>
        <w:t>dectection</w:t>
      </w:r>
      <w:proofErr w:type="spellEnd"/>
      <w:r>
        <w:t xml:space="preserve"> of bryozoan species were recorded on Alaria. </w:t>
      </w:r>
      <w:r w:rsidRPr="009E0C6C">
        <w:t xml:space="preserve"> Sampling dates span 15 Jun 2021 to 30 Jul 2022. </w:t>
      </w:r>
      <w:r w:rsidR="000F49F1" w:rsidRPr="000F49F1">
        <w:t xml:space="preserve">All values are monthly averages calculated from three independent replicate samples per </w:t>
      </w:r>
      <w:proofErr w:type="spellStart"/>
      <w:proofErr w:type="gramStart"/>
      <w:r w:rsidR="000F49F1" w:rsidRPr="000F49F1">
        <w:t>date.</w:t>
      </w:r>
      <w:r w:rsidRPr="009E0C6C">
        <w:t>Grey</w:t>
      </w:r>
      <w:proofErr w:type="spellEnd"/>
      <w:proofErr w:type="gramEnd"/>
      <w:r w:rsidRPr="009E0C6C">
        <w:t xml:space="preserve"> shading marks data unavailable.</w:t>
      </w:r>
    </w:p>
    <w:p w14:paraId="457AC97F" w14:textId="77777777" w:rsidR="00670A02" w:rsidRDefault="00670A02" w:rsidP="002B0DEA">
      <w:pPr>
        <w:jc w:val="both"/>
        <w:rPr>
          <w:rFonts w:ascii="Aptos" w:hAnsi="Aptos"/>
          <w:i/>
          <w:iCs/>
        </w:rPr>
      </w:pPr>
    </w:p>
    <w:p w14:paraId="398CE305" w14:textId="77777777" w:rsidR="009148E8" w:rsidRDefault="009148E8" w:rsidP="002B0DEA">
      <w:pPr>
        <w:jc w:val="both"/>
        <w:rPr>
          <w:rFonts w:ascii="Aptos" w:hAnsi="Aptos"/>
          <w:i/>
          <w:iCs/>
        </w:rPr>
      </w:pPr>
    </w:p>
    <w:p w14:paraId="0061587B" w14:textId="77777777" w:rsidR="009148E8" w:rsidRDefault="009148E8" w:rsidP="002B0DEA">
      <w:pPr>
        <w:jc w:val="both"/>
        <w:rPr>
          <w:rFonts w:ascii="Aptos" w:hAnsi="Aptos"/>
          <w:i/>
          <w:iCs/>
        </w:rPr>
      </w:pPr>
    </w:p>
    <w:p w14:paraId="53D3966F" w14:textId="6F59ADF8" w:rsidR="009148E8" w:rsidRDefault="009148E8" w:rsidP="337956E8">
      <w:pPr>
        <w:jc w:val="both"/>
        <w:rPr>
          <w:rFonts w:ascii="Aptos" w:hAnsi="Aptos"/>
          <w:i/>
          <w:iCs/>
        </w:rPr>
      </w:pPr>
    </w:p>
    <w:p w14:paraId="23B6BD6F" w14:textId="77777777" w:rsidR="009148E8" w:rsidRDefault="009148E8" w:rsidP="002B0DEA">
      <w:pPr>
        <w:jc w:val="both"/>
        <w:rPr>
          <w:rFonts w:ascii="Aptos" w:hAnsi="Aptos"/>
          <w:i/>
          <w:iCs/>
        </w:rPr>
      </w:pPr>
    </w:p>
    <w:p w14:paraId="404406C2" w14:textId="364C15D7" w:rsidR="4FDD748D" w:rsidRDefault="4FDD748D" w:rsidP="4FDD748D">
      <w:pPr>
        <w:jc w:val="both"/>
        <w:rPr>
          <w:rFonts w:ascii="Aptos" w:hAnsi="Aptos"/>
          <w:i/>
          <w:iCs/>
        </w:rPr>
      </w:pPr>
    </w:p>
    <w:p w14:paraId="720559C6" w14:textId="551EE783" w:rsidR="4FDD748D" w:rsidRDefault="4FDD748D" w:rsidP="4FDD748D">
      <w:pPr>
        <w:jc w:val="both"/>
        <w:rPr>
          <w:rFonts w:ascii="Aptos" w:hAnsi="Aptos"/>
          <w:i/>
          <w:iCs/>
        </w:rPr>
      </w:pPr>
    </w:p>
    <w:p w14:paraId="1C6C53B0" w14:textId="3307BF6B" w:rsidR="4FDD748D" w:rsidRDefault="4FDD748D" w:rsidP="4FDD748D">
      <w:pPr>
        <w:jc w:val="both"/>
        <w:rPr>
          <w:rFonts w:ascii="Aptos" w:hAnsi="Aptos"/>
          <w:i/>
          <w:iCs/>
        </w:rPr>
      </w:pPr>
    </w:p>
    <w:p w14:paraId="33FCC19F" w14:textId="713E81C2" w:rsidR="4FDD748D" w:rsidRDefault="4FDD748D" w:rsidP="4FDD748D">
      <w:pPr>
        <w:jc w:val="both"/>
        <w:rPr>
          <w:rFonts w:ascii="Aptos" w:hAnsi="Aptos"/>
          <w:i/>
          <w:iCs/>
        </w:rPr>
      </w:pPr>
    </w:p>
    <w:p w14:paraId="52A28A3C" w14:textId="5639C4C3" w:rsidR="4FDD748D" w:rsidRDefault="4FDD748D" w:rsidP="4FDD748D">
      <w:pPr>
        <w:jc w:val="both"/>
        <w:rPr>
          <w:rFonts w:ascii="Aptos" w:hAnsi="Aptos"/>
          <w:i/>
          <w:iCs/>
        </w:rPr>
      </w:pPr>
    </w:p>
    <w:p w14:paraId="6FA87355" w14:textId="1BC630F6" w:rsidR="4FDD748D" w:rsidRDefault="4FDD748D" w:rsidP="4FDD748D">
      <w:pPr>
        <w:jc w:val="both"/>
        <w:rPr>
          <w:rFonts w:ascii="Aptos" w:hAnsi="Aptos"/>
          <w:i/>
          <w:iCs/>
        </w:rPr>
      </w:pPr>
    </w:p>
    <w:p w14:paraId="3CABE7B3" w14:textId="4DB4D2AC" w:rsidR="4FDD748D" w:rsidRDefault="4FDD748D" w:rsidP="4FDD748D">
      <w:pPr>
        <w:jc w:val="both"/>
        <w:rPr>
          <w:rFonts w:ascii="Aptos" w:hAnsi="Aptos"/>
          <w:i/>
          <w:iCs/>
        </w:rPr>
      </w:pPr>
    </w:p>
    <w:p w14:paraId="736863FD" w14:textId="1EDCBEDA" w:rsidR="4FDD748D" w:rsidRDefault="4FDD748D" w:rsidP="4FDD748D">
      <w:pPr>
        <w:jc w:val="both"/>
        <w:rPr>
          <w:rFonts w:ascii="Aptos" w:hAnsi="Aptos"/>
          <w:i/>
          <w:iCs/>
        </w:rPr>
      </w:pPr>
    </w:p>
    <w:p w14:paraId="590A1FBA" w14:textId="174F48C0" w:rsidR="4FDD748D" w:rsidRDefault="4FDD748D" w:rsidP="4FDD748D">
      <w:pPr>
        <w:jc w:val="both"/>
        <w:rPr>
          <w:rFonts w:ascii="Aptos" w:hAnsi="Aptos"/>
          <w:i/>
          <w:iCs/>
        </w:rPr>
      </w:pPr>
    </w:p>
    <w:p w14:paraId="6FAE1E78" w14:textId="22138C51" w:rsidR="00D61182" w:rsidRPr="0018095A" w:rsidRDefault="005514F0" w:rsidP="4FDD748D">
      <w:pPr>
        <w:jc w:val="both"/>
        <w:rPr>
          <w:rFonts w:ascii="Aptos" w:hAnsi="Aptos"/>
          <w:i/>
          <w:iCs/>
        </w:rPr>
      </w:pPr>
      <w:proofErr w:type="spellStart"/>
      <w:r w:rsidRPr="4FDD748D">
        <w:rPr>
          <w:rFonts w:ascii="Aptos" w:hAnsi="Aptos"/>
          <w:i/>
          <w:iCs/>
        </w:rPr>
        <w:lastRenderedPageBreak/>
        <w:t>Hydrozoa</w:t>
      </w:r>
      <w:proofErr w:type="spellEnd"/>
    </w:p>
    <w:p w14:paraId="395921A6" w14:textId="17EBFC3C" w:rsidR="00921E7C" w:rsidRDefault="00921E7C" w:rsidP="002B0DEA">
      <w:pPr>
        <w:keepNext/>
        <w:jc w:val="both"/>
      </w:pPr>
      <w:r>
        <w:rPr>
          <w:noProof/>
        </w:rPr>
        <w:drawing>
          <wp:inline distT="0" distB="0" distL="0" distR="0" wp14:anchorId="53383A80" wp14:editId="5AB1F26D">
            <wp:extent cx="5731510" cy="3720465"/>
            <wp:effectExtent l="0" t="0" r="2540" b="0"/>
            <wp:docPr id="16692619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1955" name="Picture 1" descr="A screenshot of a graph&#10;&#10;AI-generated content may be incorrect."/>
                    <pic:cNvPicPr/>
                  </pic:nvPicPr>
                  <pic:blipFill>
                    <a:blip r:embed="rId28"/>
                    <a:stretch>
                      <a:fillRect/>
                    </a:stretch>
                  </pic:blipFill>
                  <pic:spPr>
                    <a:xfrm>
                      <a:off x="0" y="0"/>
                      <a:ext cx="5731510" cy="3720465"/>
                    </a:xfrm>
                    <a:prstGeom prst="rect">
                      <a:avLst/>
                    </a:prstGeom>
                  </pic:spPr>
                </pic:pic>
              </a:graphicData>
            </a:graphic>
          </wp:inline>
        </w:drawing>
      </w:r>
    </w:p>
    <w:p w14:paraId="00E76F7E" w14:textId="4B8A71BE" w:rsidR="00921E7C" w:rsidRDefault="00921E7C" w:rsidP="002B0DEA">
      <w:pPr>
        <w:pStyle w:val="Caption"/>
        <w:jc w:val="both"/>
        <w:rPr>
          <w:rFonts w:ascii="Aptos" w:hAnsi="Aptos"/>
          <w:i w:val="0"/>
          <w:iCs w:val="0"/>
        </w:rPr>
      </w:pPr>
      <w:r w:rsidRPr="6A0FF09F">
        <w:rPr>
          <w:b/>
          <w:bCs/>
        </w:rPr>
        <w:t xml:space="preserve">Figure </w:t>
      </w:r>
      <w:r w:rsidRPr="6A0FF09F">
        <w:rPr>
          <w:b/>
          <w:bCs/>
        </w:rPr>
        <w:fldChar w:fldCharType="begin"/>
      </w:r>
      <w:r w:rsidRPr="6A0FF09F">
        <w:rPr>
          <w:b/>
          <w:bCs/>
        </w:rPr>
        <w:instrText xml:space="preserve"> SEQ Figure \* ARABIC </w:instrText>
      </w:r>
      <w:r w:rsidRPr="6A0FF09F">
        <w:rPr>
          <w:b/>
          <w:bCs/>
        </w:rPr>
        <w:fldChar w:fldCharType="separate"/>
      </w:r>
      <w:r w:rsidR="008B36EB" w:rsidRPr="6A0FF09F">
        <w:rPr>
          <w:b/>
          <w:bCs/>
          <w:noProof/>
        </w:rPr>
        <w:t>3</w:t>
      </w:r>
      <w:r w:rsidRPr="6A0FF09F">
        <w:rPr>
          <w:b/>
          <w:bCs/>
        </w:rPr>
        <w:fldChar w:fldCharType="end"/>
      </w:r>
      <w:r w:rsidRPr="6A0FF09F">
        <w:rPr>
          <w:b/>
          <w:bCs/>
        </w:rPr>
        <w:t xml:space="preserve">. </w:t>
      </w:r>
      <w:r>
        <w:t xml:space="preserve">Heatmaps showing the emergence and settlement of </w:t>
      </w:r>
      <w:proofErr w:type="spellStart"/>
      <w:r>
        <w:t>Hydrozoa</w:t>
      </w:r>
      <w:proofErr w:type="spellEnd"/>
      <w:r>
        <w:t xml:space="preserve"> detected by eDNA metabarcoding, plankton microscopy, and blade fouling on two kelp hosts. Colour intensity represents relative abundance of log RSV (%) from eDNA read samples, plankton abundances (cells/ L); and percent blade coverage (%) measured separately on Saccharina and Alaria. Sampling dates span 15 Jun 2021 to 30 Jul 2022. </w:t>
      </w:r>
      <w:r w:rsidR="000F49F1">
        <w:t>All values are monthly averages calculated from three independent replicate samples per date.</w:t>
      </w:r>
      <w:r w:rsidR="2A589C25">
        <w:t xml:space="preserve"> </w:t>
      </w:r>
      <w:r>
        <w:t>Grey shading marks data unavailable</w:t>
      </w:r>
      <w:r w:rsidRPr="6A0FF09F">
        <w:rPr>
          <w:rFonts w:ascii="Aptos" w:hAnsi="Aptos"/>
          <w:i w:val="0"/>
          <w:iCs w:val="0"/>
        </w:rPr>
        <w:t xml:space="preserve"> </w:t>
      </w:r>
    </w:p>
    <w:p w14:paraId="2E56BDCD" w14:textId="77777777" w:rsidR="00921E7C" w:rsidRDefault="002345C1" w:rsidP="002B0DEA">
      <w:pPr>
        <w:pStyle w:val="Caption"/>
        <w:keepNext/>
        <w:jc w:val="both"/>
      </w:pPr>
      <w:r w:rsidRPr="006F1A73">
        <w:rPr>
          <w:rFonts w:ascii="Aptos" w:hAnsi="Aptos"/>
          <w:i w:val="0"/>
          <w:iCs w:val="0"/>
          <w:sz w:val="22"/>
          <w:szCs w:val="22"/>
        </w:rPr>
        <w:lastRenderedPageBreak/>
        <w:t>Bivalvia</w:t>
      </w:r>
      <w:r w:rsidR="00DD1BE3" w:rsidRPr="0018095A">
        <w:rPr>
          <w:rFonts w:ascii="Aptos" w:hAnsi="Aptos"/>
          <w:noProof/>
        </w:rPr>
        <w:drawing>
          <wp:inline distT="0" distB="0" distL="0" distR="0" wp14:anchorId="05DD1AAB" wp14:editId="3090CACD">
            <wp:extent cx="5731510" cy="3788410"/>
            <wp:effectExtent l="0" t="0" r="2540" b="2540"/>
            <wp:docPr id="1890920134"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0134" name="Picture 23" descr="A screenshot of a computer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788410"/>
                    </a:xfrm>
                    <a:prstGeom prst="rect">
                      <a:avLst/>
                    </a:prstGeom>
                  </pic:spPr>
                </pic:pic>
              </a:graphicData>
            </a:graphic>
          </wp:inline>
        </w:drawing>
      </w:r>
    </w:p>
    <w:p w14:paraId="27A06C1E" w14:textId="100E92FF" w:rsidR="00C9377B" w:rsidRPr="00921E7C" w:rsidRDefault="00921E7C" w:rsidP="002B0DEA">
      <w:pPr>
        <w:pStyle w:val="Caption"/>
        <w:jc w:val="both"/>
        <w:rPr>
          <w:rFonts w:ascii="Aptos" w:hAnsi="Aptos"/>
        </w:rPr>
      </w:pPr>
      <w:r w:rsidRPr="00921E7C">
        <w:rPr>
          <w:b/>
          <w:bCs/>
        </w:rPr>
        <w:t xml:space="preserve">Figure </w:t>
      </w:r>
      <w:r w:rsidRPr="00921E7C">
        <w:rPr>
          <w:b/>
          <w:bCs/>
        </w:rPr>
        <w:fldChar w:fldCharType="begin"/>
      </w:r>
      <w:r w:rsidRPr="00921E7C">
        <w:rPr>
          <w:b/>
          <w:bCs/>
        </w:rPr>
        <w:instrText xml:space="preserve"> SEQ Figure \* ARABIC </w:instrText>
      </w:r>
      <w:r w:rsidRPr="00921E7C">
        <w:rPr>
          <w:b/>
          <w:bCs/>
        </w:rPr>
        <w:fldChar w:fldCharType="separate"/>
      </w:r>
      <w:r w:rsidR="008B36EB">
        <w:rPr>
          <w:b/>
          <w:bCs/>
          <w:noProof/>
        </w:rPr>
        <w:t>4</w:t>
      </w:r>
      <w:r w:rsidRPr="00921E7C">
        <w:rPr>
          <w:b/>
          <w:bCs/>
        </w:rPr>
        <w:fldChar w:fldCharType="end"/>
      </w:r>
      <w:r>
        <w:rPr>
          <w:b/>
          <w:bCs/>
        </w:rPr>
        <w:t xml:space="preserve">. </w:t>
      </w:r>
      <w:r w:rsidRPr="00921E7C">
        <w:t xml:space="preserve">Heatmaps illustrating bivalve detection and colonization over time by </w:t>
      </w:r>
      <w:r>
        <w:t xml:space="preserve">relative abundance of </w:t>
      </w:r>
      <w:r w:rsidRPr="00921E7C">
        <w:t>eDNA RSV log</w:t>
      </w:r>
      <w:r w:rsidR="006F1A73">
        <w:t xml:space="preserve"> </w:t>
      </w:r>
      <w:r w:rsidRPr="00921E7C">
        <w:t>(%) in the water column,</w:t>
      </w:r>
      <w:r>
        <w:t xml:space="preserve"> </w:t>
      </w:r>
      <w:r w:rsidRPr="00921E7C">
        <w:t>plankton microscopy counts (cells</w:t>
      </w:r>
      <w:r>
        <w:t>/</w:t>
      </w:r>
      <w:r w:rsidRPr="00921E7C">
        <w:t xml:space="preserve"> </w:t>
      </w:r>
      <w:r>
        <w:t>L</w:t>
      </w:r>
      <w:r w:rsidRPr="00921E7C">
        <w:t>), individual density (</w:t>
      </w:r>
      <w:proofErr w:type="spellStart"/>
      <w:r w:rsidRPr="00921E7C">
        <w:t>ind</w:t>
      </w:r>
      <w:proofErr w:type="spellEnd"/>
      <w:r>
        <w:t>/</w:t>
      </w:r>
      <w:r w:rsidRPr="00921E7C">
        <w:t>cm</w:t>
      </w:r>
      <w:r w:rsidRPr="00921E7C">
        <w:rPr>
          <w:rFonts w:ascii="Aptos" w:hAnsi="Aptos" w:cs="Aptos"/>
        </w:rPr>
        <w:t>²</w:t>
      </w:r>
      <w:r w:rsidRPr="00921E7C">
        <w:t>) on Saccharina blades, and individual density on Alaria blades.</w:t>
      </w:r>
      <w:r w:rsidR="000F49F1" w:rsidRPr="000F49F1">
        <w:rPr>
          <w:i w:val="0"/>
          <w:iCs w:val="0"/>
          <w:color w:val="auto"/>
          <w:sz w:val="22"/>
          <w:szCs w:val="22"/>
        </w:rPr>
        <w:t xml:space="preserve"> </w:t>
      </w:r>
      <w:r w:rsidR="000F49F1" w:rsidRPr="000F49F1">
        <w:t>All values are monthly averages calculated from three independent replicate samples per date.</w:t>
      </w:r>
      <w:r w:rsidRPr="00921E7C">
        <w:t xml:space="preserve"> As before, sampling dates run from mid-June 2021 to end-July 2022, and grey bars indicate periods without data.</w:t>
      </w:r>
    </w:p>
    <w:p w14:paraId="799ED83D" w14:textId="77777777" w:rsidR="006F1A73" w:rsidRDefault="006F1A73" w:rsidP="002B0DEA">
      <w:pPr>
        <w:jc w:val="both"/>
        <w:rPr>
          <w:rFonts w:ascii="Aptos" w:hAnsi="Aptos"/>
          <w:i/>
          <w:iCs/>
        </w:rPr>
      </w:pPr>
    </w:p>
    <w:p w14:paraId="230457B2" w14:textId="77777777" w:rsidR="006F1A73" w:rsidRDefault="006F1A73" w:rsidP="002B0DEA">
      <w:pPr>
        <w:jc w:val="both"/>
        <w:rPr>
          <w:rFonts w:ascii="Aptos" w:hAnsi="Aptos"/>
          <w:i/>
          <w:iCs/>
        </w:rPr>
      </w:pPr>
    </w:p>
    <w:p w14:paraId="6D5A3934" w14:textId="77777777" w:rsidR="006F1A73" w:rsidRDefault="006F1A73" w:rsidP="002B0DEA">
      <w:pPr>
        <w:jc w:val="both"/>
        <w:rPr>
          <w:rFonts w:ascii="Aptos" w:hAnsi="Aptos"/>
          <w:i/>
          <w:iCs/>
        </w:rPr>
      </w:pPr>
    </w:p>
    <w:p w14:paraId="043386EC" w14:textId="77777777" w:rsidR="006F1A73" w:rsidRDefault="006F1A73" w:rsidP="002B0DEA">
      <w:pPr>
        <w:jc w:val="both"/>
        <w:rPr>
          <w:rFonts w:ascii="Aptos" w:hAnsi="Aptos"/>
          <w:i/>
          <w:iCs/>
        </w:rPr>
      </w:pPr>
    </w:p>
    <w:p w14:paraId="6D50F959" w14:textId="77777777" w:rsidR="006F1A73" w:rsidRDefault="006F1A73" w:rsidP="002B0DEA">
      <w:pPr>
        <w:jc w:val="both"/>
        <w:rPr>
          <w:rFonts w:ascii="Aptos" w:hAnsi="Aptos"/>
          <w:i/>
          <w:iCs/>
        </w:rPr>
      </w:pPr>
    </w:p>
    <w:p w14:paraId="3EF0832D" w14:textId="77777777" w:rsidR="006F1A73" w:rsidRDefault="006F1A73" w:rsidP="002B0DEA">
      <w:pPr>
        <w:jc w:val="both"/>
        <w:rPr>
          <w:rFonts w:ascii="Aptos" w:hAnsi="Aptos"/>
          <w:i/>
          <w:iCs/>
        </w:rPr>
      </w:pPr>
    </w:p>
    <w:p w14:paraId="11C33C73" w14:textId="77777777" w:rsidR="006F1A73" w:rsidRDefault="006F1A73" w:rsidP="002B0DEA">
      <w:pPr>
        <w:jc w:val="both"/>
        <w:rPr>
          <w:rFonts w:ascii="Aptos" w:hAnsi="Aptos"/>
          <w:i/>
          <w:iCs/>
        </w:rPr>
      </w:pPr>
    </w:p>
    <w:p w14:paraId="41794D9A" w14:textId="77777777" w:rsidR="006F1A73" w:rsidRDefault="006F1A73" w:rsidP="002B0DEA">
      <w:pPr>
        <w:jc w:val="both"/>
        <w:rPr>
          <w:rFonts w:ascii="Aptos" w:hAnsi="Aptos"/>
          <w:i/>
          <w:iCs/>
        </w:rPr>
      </w:pPr>
    </w:p>
    <w:p w14:paraId="363D1607" w14:textId="77777777" w:rsidR="006F1A73" w:rsidRDefault="006F1A73" w:rsidP="002B0DEA">
      <w:pPr>
        <w:jc w:val="both"/>
        <w:rPr>
          <w:rFonts w:ascii="Aptos" w:hAnsi="Aptos"/>
          <w:i/>
          <w:iCs/>
        </w:rPr>
      </w:pPr>
    </w:p>
    <w:p w14:paraId="174CC31D" w14:textId="77777777" w:rsidR="006F1A73" w:rsidRDefault="006F1A73" w:rsidP="002B0DEA">
      <w:pPr>
        <w:jc w:val="both"/>
        <w:rPr>
          <w:rFonts w:ascii="Aptos" w:hAnsi="Aptos"/>
          <w:i/>
          <w:iCs/>
        </w:rPr>
      </w:pPr>
    </w:p>
    <w:p w14:paraId="6F08BBD1" w14:textId="77777777" w:rsidR="006F1A73" w:rsidRDefault="006F1A73" w:rsidP="002B0DEA">
      <w:pPr>
        <w:jc w:val="both"/>
        <w:rPr>
          <w:rFonts w:ascii="Aptos" w:hAnsi="Aptos"/>
          <w:i/>
          <w:iCs/>
        </w:rPr>
      </w:pPr>
    </w:p>
    <w:p w14:paraId="302244B0" w14:textId="77777777" w:rsidR="006F1A73" w:rsidRDefault="006F1A73" w:rsidP="002B0DEA">
      <w:pPr>
        <w:jc w:val="both"/>
        <w:rPr>
          <w:rFonts w:ascii="Aptos" w:hAnsi="Aptos"/>
          <w:i/>
          <w:iCs/>
        </w:rPr>
      </w:pPr>
    </w:p>
    <w:p w14:paraId="1E2C9AC5" w14:textId="77777777" w:rsidR="006F1A73" w:rsidRDefault="006F1A73" w:rsidP="002B0DEA">
      <w:pPr>
        <w:jc w:val="both"/>
        <w:rPr>
          <w:rFonts w:ascii="Aptos" w:hAnsi="Aptos"/>
          <w:i/>
          <w:iCs/>
        </w:rPr>
      </w:pPr>
    </w:p>
    <w:p w14:paraId="4380ABEF" w14:textId="77777777" w:rsidR="006F1A73" w:rsidRDefault="006F1A73" w:rsidP="002B0DEA">
      <w:pPr>
        <w:jc w:val="both"/>
        <w:rPr>
          <w:rFonts w:ascii="Aptos" w:hAnsi="Aptos"/>
          <w:i/>
          <w:iCs/>
        </w:rPr>
      </w:pPr>
    </w:p>
    <w:p w14:paraId="0D2F4BD4" w14:textId="303A3143" w:rsidR="005514F0" w:rsidRPr="0018095A" w:rsidRDefault="002345C1" w:rsidP="002B0DEA">
      <w:pPr>
        <w:jc w:val="both"/>
        <w:rPr>
          <w:rFonts w:ascii="Aptos" w:hAnsi="Aptos"/>
          <w:i/>
          <w:iCs/>
        </w:rPr>
      </w:pPr>
      <w:r w:rsidRPr="0018095A">
        <w:rPr>
          <w:rFonts w:ascii="Aptos" w:hAnsi="Aptos"/>
          <w:i/>
          <w:iCs/>
        </w:rPr>
        <w:lastRenderedPageBreak/>
        <w:t>Amphipoda</w:t>
      </w:r>
    </w:p>
    <w:p w14:paraId="6D70EBA1" w14:textId="77777777" w:rsidR="00921E7C" w:rsidRDefault="00337E51" w:rsidP="002B0DEA">
      <w:pPr>
        <w:keepNext/>
        <w:jc w:val="both"/>
      </w:pPr>
      <w:r w:rsidRPr="0018095A">
        <w:rPr>
          <w:rFonts w:ascii="Aptos" w:hAnsi="Aptos"/>
          <w:noProof/>
        </w:rPr>
        <w:drawing>
          <wp:inline distT="0" distB="0" distL="0" distR="0" wp14:anchorId="27EE0D7C" wp14:editId="238994C6">
            <wp:extent cx="5731510" cy="3769360"/>
            <wp:effectExtent l="0" t="0" r="2540" b="2540"/>
            <wp:docPr id="717926927" name="Picture 22"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26927" name="Picture 22" descr="A screenshot of a computer generated imag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769360"/>
                    </a:xfrm>
                    <a:prstGeom prst="rect">
                      <a:avLst/>
                    </a:prstGeom>
                  </pic:spPr>
                </pic:pic>
              </a:graphicData>
            </a:graphic>
          </wp:inline>
        </w:drawing>
      </w:r>
    </w:p>
    <w:p w14:paraId="3DD347D2" w14:textId="5D8BEFB5" w:rsidR="006D68C8" w:rsidRPr="0018095A" w:rsidRDefault="00921E7C" w:rsidP="002B0DEA">
      <w:pPr>
        <w:pStyle w:val="Caption"/>
        <w:jc w:val="both"/>
        <w:rPr>
          <w:rFonts w:ascii="Aptos" w:hAnsi="Aptos"/>
        </w:rPr>
      </w:pPr>
      <w:r w:rsidRPr="6A0FF09F">
        <w:rPr>
          <w:b/>
          <w:bCs/>
        </w:rPr>
        <w:t xml:space="preserve">Figure </w:t>
      </w:r>
      <w:r w:rsidRPr="6A0FF09F">
        <w:rPr>
          <w:b/>
          <w:bCs/>
        </w:rPr>
        <w:fldChar w:fldCharType="begin"/>
      </w:r>
      <w:r w:rsidRPr="6A0FF09F">
        <w:rPr>
          <w:b/>
          <w:bCs/>
        </w:rPr>
        <w:instrText xml:space="preserve"> SEQ Figure \* ARABIC </w:instrText>
      </w:r>
      <w:r w:rsidRPr="6A0FF09F">
        <w:rPr>
          <w:b/>
          <w:bCs/>
        </w:rPr>
        <w:fldChar w:fldCharType="separate"/>
      </w:r>
      <w:r w:rsidR="008B36EB" w:rsidRPr="6A0FF09F">
        <w:rPr>
          <w:b/>
          <w:bCs/>
          <w:noProof/>
        </w:rPr>
        <w:t>5</w:t>
      </w:r>
      <w:r w:rsidRPr="6A0FF09F">
        <w:rPr>
          <w:b/>
          <w:bCs/>
        </w:rPr>
        <w:fldChar w:fldCharType="end"/>
      </w:r>
      <w:r w:rsidRPr="6A0FF09F">
        <w:rPr>
          <w:b/>
          <w:bCs/>
        </w:rPr>
        <w:t>.</w:t>
      </w:r>
      <w:r>
        <w:t xml:space="preserve"> Heatmaps representing seasonal patterns of amphipod detection and settlement by eDNA metabarcoding (log RSV %), plankton</w:t>
      </w:r>
      <w:r w:rsidRPr="6A0FF09F">
        <w:rPr>
          <w:rFonts w:ascii="Cambria Math" w:hAnsi="Cambria Math" w:cs="Cambria Math"/>
        </w:rPr>
        <w:t>‐</w:t>
      </w:r>
      <w:r>
        <w:t>net microscopy counts (cells</w:t>
      </w:r>
      <w:r w:rsidR="006F1A73">
        <w:t>/L</w:t>
      </w:r>
      <w:r>
        <w:t xml:space="preserve">), and blade colonization </w:t>
      </w:r>
      <w:r w:rsidR="006F1A73">
        <w:t>abundance</w:t>
      </w:r>
      <w:r>
        <w:t xml:space="preserve"> (individuals</w:t>
      </w:r>
      <w:r w:rsidR="006F1A73">
        <w:t>/</w:t>
      </w:r>
      <w:r>
        <w:t>cm</w:t>
      </w:r>
      <w:r w:rsidRPr="6A0FF09F">
        <w:rPr>
          <w:rFonts w:ascii="Aptos" w:hAnsi="Aptos" w:cs="Aptos"/>
        </w:rPr>
        <w:t>²</w:t>
      </w:r>
      <w:r>
        <w:t xml:space="preserve">) on Saccharina and Alaria fronds. </w:t>
      </w:r>
      <w:r w:rsidR="000F49F1">
        <w:t xml:space="preserve">All values are monthly averages calculated from three independent replicate samples per date. </w:t>
      </w:r>
      <w:r>
        <w:t xml:space="preserve">Sampling dates span mid-June 2021 to late-July </w:t>
      </w:r>
      <w:r w:rsidR="00301010">
        <w:t>2022,</w:t>
      </w:r>
      <w:r w:rsidR="006F1A73">
        <w:t xml:space="preserve"> </w:t>
      </w:r>
      <w:r>
        <w:t xml:space="preserve">and the grey-shaded </w:t>
      </w:r>
      <w:r w:rsidR="006F1A73">
        <w:t>areas</w:t>
      </w:r>
      <w:r>
        <w:t xml:space="preserve"> mark </w:t>
      </w:r>
      <w:r w:rsidR="006F1A73">
        <w:t>indicate periods without data.</w:t>
      </w:r>
    </w:p>
    <w:p w14:paraId="18A9ADCC" w14:textId="77777777" w:rsidR="006D68C8" w:rsidRPr="0018095A" w:rsidRDefault="006D68C8" w:rsidP="002B0DEA">
      <w:pPr>
        <w:jc w:val="both"/>
        <w:rPr>
          <w:rFonts w:ascii="Aptos" w:hAnsi="Aptos"/>
        </w:rPr>
      </w:pPr>
    </w:p>
    <w:p w14:paraId="1879E7A1" w14:textId="77777777" w:rsidR="00670A02" w:rsidRDefault="00670A02" w:rsidP="002B0DEA">
      <w:pPr>
        <w:tabs>
          <w:tab w:val="left" w:pos="1455"/>
        </w:tabs>
        <w:jc w:val="both"/>
        <w:rPr>
          <w:rFonts w:ascii="Aptos" w:hAnsi="Aptos"/>
        </w:rPr>
      </w:pPr>
    </w:p>
    <w:p w14:paraId="2063F201" w14:textId="77777777" w:rsidR="006F1A73" w:rsidRDefault="006F1A73" w:rsidP="002B0DEA">
      <w:pPr>
        <w:tabs>
          <w:tab w:val="left" w:pos="1455"/>
        </w:tabs>
        <w:jc w:val="both"/>
        <w:rPr>
          <w:rFonts w:ascii="Aptos" w:hAnsi="Aptos"/>
          <w:i/>
          <w:iCs/>
        </w:rPr>
      </w:pPr>
    </w:p>
    <w:p w14:paraId="210234CF" w14:textId="77777777" w:rsidR="006F1A73" w:rsidRDefault="006F1A73" w:rsidP="002B0DEA">
      <w:pPr>
        <w:tabs>
          <w:tab w:val="left" w:pos="1455"/>
        </w:tabs>
        <w:jc w:val="both"/>
        <w:rPr>
          <w:rFonts w:ascii="Aptos" w:hAnsi="Aptos"/>
          <w:i/>
          <w:iCs/>
        </w:rPr>
      </w:pPr>
    </w:p>
    <w:p w14:paraId="51238BBD" w14:textId="77777777" w:rsidR="006F1A73" w:rsidRDefault="006F1A73" w:rsidP="002B0DEA">
      <w:pPr>
        <w:tabs>
          <w:tab w:val="left" w:pos="1455"/>
        </w:tabs>
        <w:jc w:val="both"/>
        <w:rPr>
          <w:rFonts w:ascii="Aptos" w:hAnsi="Aptos"/>
          <w:i/>
          <w:iCs/>
        </w:rPr>
      </w:pPr>
    </w:p>
    <w:p w14:paraId="3F91033D" w14:textId="77777777" w:rsidR="006F1A73" w:rsidRDefault="006F1A73" w:rsidP="002B0DEA">
      <w:pPr>
        <w:tabs>
          <w:tab w:val="left" w:pos="1455"/>
        </w:tabs>
        <w:jc w:val="both"/>
        <w:rPr>
          <w:rFonts w:ascii="Aptos" w:hAnsi="Aptos"/>
          <w:i/>
          <w:iCs/>
        </w:rPr>
      </w:pPr>
    </w:p>
    <w:p w14:paraId="699440E5" w14:textId="77777777" w:rsidR="006F1A73" w:rsidRDefault="006F1A73" w:rsidP="002B0DEA">
      <w:pPr>
        <w:tabs>
          <w:tab w:val="left" w:pos="1455"/>
        </w:tabs>
        <w:jc w:val="both"/>
        <w:rPr>
          <w:rFonts w:ascii="Aptos" w:hAnsi="Aptos"/>
          <w:i/>
          <w:iCs/>
        </w:rPr>
      </w:pPr>
    </w:p>
    <w:p w14:paraId="18D92E4C" w14:textId="77777777" w:rsidR="006F1A73" w:rsidRDefault="006F1A73" w:rsidP="002B0DEA">
      <w:pPr>
        <w:tabs>
          <w:tab w:val="left" w:pos="1455"/>
        </w:tabs>
        <w:jc w:val="both"/>
        <w:rPr>
          <w:rFonts w:ascii="Aptos" w:hAnsi="Aptos"/>
          <w:i/>
          <w:iCs/>
        </w:rPr>
      </w:pPr>
    </w:p>
    <w:p w14:paraId="35EE660A" w14:textId="77777777" w:rsidR="006F1A73" w:rsidRDefault="006F1A73" w:rsidP="002B0DEA">
      <w:pPr>
        <w:tabs>
          <w:tab w:val="left" w:pos="1455"/>
        </w:tabs>
        <w:jc w:val="both"/>
        <w:rPr>
          <w:rFonts w:ascii="Aptos" w:hAnsi="Aptos"/>
          <w:i/>
          <w:iCs/>
        </w:rPr>
      </w:pPr>
    </w:p>
    <w:p w14:paraId="01B73946" w14:textId="77777777" w:rsidR="006F1A73" w:rsidRDefault="006F1A73" w:rsidP="002B0DEA">
      <w:pPr>
        <w:tabs>
          <w:tab w:val="left" w:pos="1455"/>
        </w:tabs>
        <w:jc w:val="both"/>
        <w:rPr>
          <w:rFonts w:ascii="Aptos" w:hAnsi="Aptos"/>
          <w:i/>
          <w:iCs/>
        </w:rPr>
      </w:pPr>
    </w:p>
    <w:p w14:paraId="09593F33" w14:textId="77777777" w:rsidR="006F1A73" w:rsidRDefault="006F1A73" w:rsidP="002B0DEA">
      <w:pPr>
        <w:tabs>
          <w:tab w:val="left" w:pos="1455"/>
        </w:tabs>
        <w:jc w:val="both"/>
        <w:rPr>
          <w:rFonts w:ascii="Aptos" w:hAnsi="Aptos"/>
          <w:i/>
          <w:iCs/>
        </w:rPr>
      </w:pPr>
    </w:p>
    <w:p w14:paraId="32EB1D77" w14:textId="77777777" w:rsidR="006F1A73" w:rsidRDefault="006F1A73" w:rsidP="002B0DEA">
      <w:pPr>
        <w:tabs>
          <w:tab w:val="left" w:pos="1455"/>
        </w:tabs>
        <w:jc w:val="both"/>
        <w:rPr>
          <w:rFonts w:ascii="Aptos" w:hAnsi="Aptos"/>
          <w:i/>
          <w:iCs/>
        </w:rPr>
      </w:pPr>
    </w:p>
    <w:p w14:paraId="06F6B37A" w14:textId="2960B1C5" w:rsidR="006F1A73" w:rsidRDefault="006F1A73" w:rsidP="002B0DEA">
      <w:pPr>
        <w:tabs>
          <w:tab w:val="left" w:pos="1455"/>
        </w:tabs>
        <w:jc w:val="both"/>
        <w:rPr>
          <w:rFonts w:ascii="Aptos" w:hAnsi="Aptos"/>
          <w:i/>
          <w:iCs/>
        </w:rPr>
      </w:pPr>
    </w:p>
    <w:p w14:paraId="18001793" w14:textId="725A22D1" w:rsidR="002345C1" w:rsidRPr="0018095A" w:rsidRDefault="005514F0" w:rsidP="002B0DEA">
      <w:pPr>
        <w:tabs>
          <w:tab w:val="left" w:pos="1455"/>
        </w:tabs>
        <w:jc w:val="both"/>
        <w:rPr>
          <w:rFonts w:ascii="Aptos" w:hAnsi="Aptos"/>
          <w:i/>
          <w:iCs/>
        </w:rPr>
      </w:pPr>
      <w:proofErr w:type="spellStart"/>
      <w:r w:rsidRPr="4FDD748D">
        <w:rPr>
          <w:rFonts w:ascii="Aptos" w:hAnsi="Aptos"/>
          <w:i/>
          <w:iCs/>
        </w:rPr>
        <w:lastRenderedPageBreak/>
        <w:t>Gastropod</w:t>
      </w:r>
      <w:r w:rsidR="002345C1" w:rsidRPr="4FDD748D">
        <w:rPr>
          <w:rFonts w:ascii="Aptos" w:hAnsi="Aptos"/>
          <w:i/>
          <w:iCs/>
        </w:rPr>
        <w:t>a</w:t>
      </w:r>
      <w:proofErr w:type="spellEnd"/>
    </w:p>
    <w:p w14:paraId="47EFB8C7" w14:textId="4BD77ED0" w:rsidR="006F1A73" w:rsidRDefault="4270882B" w:rsidP="002B0DEA">
      <w:pPr>
        <w:keepNext/>
        <w:jc w:val="both"/>
      </w:pPr>
      <w:r>
        <w:rPr>
          <w:noProof/>
        </w:rPr>
        <w:drawing>
          <wp:inline distT="0" distB="0" distL="0" distR="0" wp14:anchorId="62F5D79D" wp14:editId="26D091BC">
            <wp:extent cx="5724525" cy="4010025"/>
            <wp:effectExtent l="0" t="0" r="0" b="0"/>
            <wp:docPr id="1525511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153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5" cy="4010025"/>
                    </a:xfrm>
                    <a:prstGeom prst="rect">
                      <a:avLst/>
                    </a:prstGeom>
                  </pic:spPr>
                </pic:pic>
              </a:graphicData>
            </a:graphic>
          </wp:inline>
        </w:drawing>
      </w:r>
    </w:p>
    <w:p w14:paraId="51BE98AE" w14:textId="17B8EB97" w:rsidR="00A04C7E" w:rsidRPr="0018095A" w:rsidRDefault="006F1A73" w:rsidP="002B0DEA">
      <w:pPr>
        <w:pStyle w:val="Caption"/>
        <w:jc w:val="both"/>
        <w:rPr>
          <w:rFonts w:ascii="Aptos" w:hAnsi="Aptos"/>
          <w:noProof/>
        </w:rPr>
      </w:pPr>
      <w:r w:rsidRPr="006F1A73">
        <w:rPr>
          <w:b/>
          <w:bCs/>
        </w:rPr>
        <w:t xml:space="preserve">Figure </w:t>
      </w:r>
      <w:r w:rsidRPr="006F1A73">
        <w:rPr>
          <w:b/>
          <w:bCs/>
        </w:rPr>
        <w:fldChar w:fldCharType="begin"/>
      </w:r>
      <w:r w:rsidRPr="006F1A73">
        <w:rPr>
          <w:b/>
          <w:bCs/>
        </w:rPr>
        <w:instrText xml:space="preserve"> SEQ Figure \* ARABIC </w:instrText>
      </w:r>
      <w:r w:rsidRPr="006F1A73">
        <w:rPr>
          <w:b/>
          <w:bCs/>
        </w:rPr>
        <w:fldChar w:fldCharType="separate"/>
      </w:r>
      <w:r w:rsidR="008B36EB">
        <w:rPr>
          <w:b/>
          <w:bCs/>
          <w:noProof/>
        </w:rPr>
        <w:t>6</w:t>
      </w:r>
      <w:r w:rsidRPr="006F1A73">
        <w:rPr>
          <w:b/>
          <w:bCs/>
        </w:rPr>
        <w:fldChar w:fldCharType="end"/>
      </w:r>
      <w:r>
        <w:t xml:space="preserve"> </w:t>
      </w:r>
      <w:r w:rsidRPr="006F1A73">
        <w:t>Heatmaps illustrating seasonal emergence and settlement of gastropods detected by eDNA metabarcoding (</w:t>
      </w:r>
      <w:r>
        <w:t xml:space="preserve">RA </w:t>
      </w:r>
      <w:r w:rsidRPr="006F1A73">
        <w:t>log RSV %), planktonic abundance (cells</w:t>
      </w:r>
      <w:r>
        <w:t>/</w:t>
      </w:r>
      <w:r w:rsidRPr="006F1A73">
        <w:t xml:space="preserve">L), and blade </w:t>
      </w:r>
      <w:r>
        <w:t>settlement abundance</w:t>
      </w:r>
      <w:r w:rsidRPr="006F1A73">
        <w:t xml:space="preserve"> (individuals cm</w:t>
      </w:r>
      <w:r w:rsidRPr="006F1A73">
        <w:rPr>
          <w:rFonts w:ascii="Cambria Math" w:hAnsi="Cambria Math" w:cs="Cambria Math"/>
        </w:rPr>
        <w:t>⁻</w:t>
      </w:r>
      <w:r w:rsidRPr="006F1A73">
        <w:rPr>
          <w:rFonts w:ascii="Aptos" w:hAnsi="Aptos" w:cs="Aptos"/>
        </w:rPr>
        <w:t>²</w:t>
      </w:r>
      <w:r w:rsidRPr="006F1A73">
        <w:t>) on Saccharina blad</w:t>
      </w:r>
      <w:r>
        <w:t>e</w:t>
      </w:r>
      <w:r w:rsidRPr="006F1A73">
        <w:t>s.</w:t>
      </w:r>
      <w:r>
        <w:t xml:space="preserve"> </w:t>
      </w:r>
      <w:r w:rsidR="000F49F1" w:rsidRPr="000F49F1">
        <w:t>All values are monthly averages calculated from three independent replicate samples per date.</w:t>
      </w:r>
      <w:r w:rsidR="000F49F1">
        <w:t xml:space="preserve"> </w:t>
      </w:r>
      <w:r w:rsidRPr="006F1A73">
        <w:t xml:space="preserve">Sampling dates run from mid-June 2021 through late-July 2022, and grey shading denotes periods without </w:t>
      </w:r>
      <w:r>
        <w:t>data.</w:t>
      </w:r>
    </w:p>
    <w:p w14:paraId="332C78F1" w14:textId="77777777" w:rsidR="006F1A73" w:rsidRDefault="006F1A73" w:rsidP="002B0DEA">
      <w:pPr>
        <w:jc w:val="both"/>
        <w:rPr>
          <w:rFonts w:ascii="Aptos" w:hAnsi="Aptos"/>
          <w:i/>
          <w:iCs/>
        </w:rPr>
      </w:pPr>
    </w:p>
    <w:p w14:paraId="4876DF01" w14:textId="77777777" w:rsidR="006F1A73" w:rsidRDefault="006F1A73" w:rsidP="002B0DEA">
      <w:pPr>
        <w:jc w:val="both"/>
        <w:rPr>
          <w:rFonts w:ascii="Aptos" w:hAnsi="Aptos"/>
          <w:i/>
          <w:iCs/>
        </w:rPr>
      </w:pPr>
    </w:p>
    <w:p w14:paraId="65417982" w14:textId="77777777" w:rsidR="006F1A73" w:rsidRDefault="006F1A73" w:rsidP="002B0DEA">
      <w:pPr>
        <w:jc w:val="both"/>
        <w:rPr>
          <w:rFonts w:ascii="Aptos" w:hAnsi="Aptos"/>
          <w:i/>
          <w:iCs/>
        </w:rPr>
      </w:pPr>
    </w:p>
    <w:p w14:paraId="65818249" w14:textId="77777777" w:rsidR="006F1A73" w:rsidRDefault="006F1A73" w:rsidP="002B0DEA">
      <w:pPr>
        <w:jc w:val="both"/>
        <w:rPr>
          <w:rFonts w:ascii="Aptos" w:hAnsi="Aptos"/>
          <w:i/>
          <w:iCs/>
        </w:rPr>
      </w:pPr>
    </w:p>
    <w:p w14:paraId="4D4F1673" w14:textId="77777777" w:rsidR="006F1A73" w:rsidRDefault="006F1A73" w:rsidP="002B0DEA">
      <w:pPr>
        <w:jc w:val="both"/>
        <w:rPr>
          <w:rFonts w:ascii="Aptos" w:hAnsi="Aptos"/>
          <w:i/>
          <w:iCs/>
        </w:rPr>
      </w:pPr>
    </w:p>
    <w:p w14:paraId="6C2A6A35" w14:textId="77777777" w:rsidR="006F1A73" w:rsidRDefault="006F1A73" w:rsidP="002B0DEA">
      <w:pPr>
        <w:jc w:val="both"/>
        <w:rPr>
          <w:rFonts w:ascii="Aptos" w:hAnsi="Aptos"/>
          <w:i/>
          <w:iCs/>
        </w:rPr>
      </w:pPr>
    </w:p>
    <w:p w14:paraId="5DC7C703" w14:textId="77777777" w:rsidR="006F1A73" w:rsidRDefault="006F1A73" w:rsidP="002B0DEA">
      <w:pPr>
        <w:jc w:val="both"/>
        <w:rPr>
          <w:rFonts w:ascii="Aptos" w:hAnsi="Aptos"/>
          <w:i/>
          <w:iCs/>
        </w:rPr>
      </w:pPr>
    </w:p>
    <w:p w14:paraId="0429D392" w14:textId="77777777" w:rsidR="006F1A73" w:rsidRDefault="006F1A73" w:rsidP="002B0DEA">
      <w:pPr>
        <w:jc w:val="both"/>
        <w:rPr>
          <w:rFonts w:ascii="Aptos" w:hAnsi="Aptos"/>
          <w:i/>
          <w:iCs/>
        </w:rPr>
      </w:pPr>
    </w:p>
    <w:p w14:paraId="2DD84B03" w14:textId="77777777" w:rsidR="006F1A73" w:rsidRDefault="006F1A73" w:rsidP="002B0DEA">
      <w:pPr>
        <w:jc w:val="both"/>
        <w:rPr>
          <w:rFonts w:ascii="Aptos" w:hAnsi="Aptos"/>
          <w:i/>
          <w:iCs/>
        </w:rPr>
      </w:pPr>
    </w:p>
    <w:p w14:paraId="07FB439E" w14:textId="77777777" w:rsidR="006F1A73" w:rsidRDefault="006F1A73" w:rsidP="002B0DEA">
      <w:pPr>
        <w:jc w:val="both"/>
        <w:rPr>
          <w:rFonts w:ascii="Aptos" w:hAnsi="Aptos"/>
          <w:i/>
          <w:iCs/>
        </w:rPr>
      </w:pPr>
    </w:p>
    <w:p w14:paraId="1D27D7C9" w14:textId="77777777" w:rsidR="006F1A73" w:rsidRDefault="006F1A73" w:rsidP="002B0DEA">
      <w:pPr>
        <w:jc w:val="both"/>
        <w:rPr>
          <w:rFonts w:ascii="Aptos" w:hAnsi="Aptos"/>
          <w:i/>
          <w:iCs/>
        </w:rPr>
      </w:pPr>
    </w:p>
    <w:p w14:paraId="0DF67AA1" w14:textId="77777777" w:rsidR="006F1A73" w:rsidRDefault="006F1A73" w:rsidP="002B0DEA">
      <w:pPr>
        <w:jc w:val="both"/>
        <w:rPr>
          <w:rFonts w:ascii="Aptos" w:hAnsi="Aptos"/>
          <w:i/>
          <w:iCs/>
        </w:rPr>
      </w:pPr>
    </w:p>
    <w:p w14:paraId="1E7A15B9" w14:textId="77777777" w:rsidR="00AE60D8" w:rsidRDefault="00AE60D8" w:rsidP="002B0DEA">
      <w:pPr>
        <w:jc w:val="both"/>
        <w:rPr>
          <w:rFonts w:ascii="Aptos" w:hAnsi="Aptos"/>
          <w:i/>
          <w:iCs/>
        </w:rPr>
      </w:pPr>
    </w:p>
    <w:p w14:paraId="23B988FF" w14:textId="01D18839" w:rsidR="00301010" w:rsidRDefault="00AE60D8" w:rsidP="00AB0E9D">
      <w:pPr>
        <w:keepNext/>
      </w:pPr>
      <w:r w:rsidRPr="4FDD748D">
        <w:rPr>
          <w:rFonts w:ascii="Aptos" w:hAnsi="Aptos"/>
          <w:i/>
          <w:iCs/>
        </w:rPr>
        <w:lastRenderedPageBreak/>
        <w:t xml:space="preserve">Temporal </w:t>
      </w:r>
      <w:r w:rsidR="00301010" w:rsidRPr="4FDD748D">
        <w:rPr>
          <w:i/>
          <w:iCs/>
        </w:rPr>
        <w:t>Composition of dominant zooplankton taxa</w:t>
      </w:r>
      <w:r>
        <w:br/>
      </w:r>
      <w:r w:rsidR="00301010">
        <w:rPr>
          <w:noProof/>
        </w:rPr>
        <w:drawing>
          <wp:inline distT="0" distB="0" distL="0" distR="0" wp14:anchorId="7707ABCF" wp14:editId="2BBABB1B">
            <wp:extent cx="5731510" cy="3774440"/>
            <wp:effectExtent l="0" t="0" r="2540" b="0"/>
            <wp:docPr id="266467452"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7452" name="Graphic 266467452"/>
                    <pic:cNvPicPr/>
                  </pic:nvPicPr>
                  <pic:blipFill>
                    <a:blip r:embed="rId32">
                      <a:extLst>
                        <a:ext uri="{96DAC541-7B7A-43D3-8B79-37D633B846F1}">
                          <asvg:svgBlip xmlns:asvg="http://schemas.microsoft.com/office/drawing/2016/SVG/main" r:embed="rId33"/>
                        </a:ext>
                      </a:extLst>
                    </a:blip>
                    <a:stretch>
                      <a:fillRect/>
                    </a:stretch>
                  </pic:blipFill>
                  <pic:spPr>
                    <a:xfrm>
                      <a:off x="0" y="0"/>
                      <a:ext cx="5731510" cy="3774440"/>
                    </a:xfrm>
                    <a:prstGeom prst="rect">
                      <a:avLst/>
                    </a:prstGeom>
                  </pic:spPr>
                </pic:pic>
              </a:graphicData>
            </a:graphic>
          </wp:inline>
        </w:drawing>
      </w:r>
    </w:p>
    <w:p w14:paraId="6128C7F8" w14:textId="2767966C" w:rsidR="00A04C7E" w:rsidRPr="00301010" w:rsidRDefault="00301010" w:rsidP="002B0DEA">
      <w:pPr>
        <w:pStyle w:val="Caption"/>
        <w:jc w:val="both"/>
      </w:pPr>
      <w:r w:rsidRPr="00301010">
        <w:rPr>
          <w:b/>
          <w:bCs/>
        </w:rPr>
        <w:t xml:space="preserve">Figure </w:t>
      </w:r>
      <w:r w:rsidRPr="00301010">
        <w:rPr>
          <w:b/>
          <w:bCs/>
        </w:rPr>
        <w:fldChar w:fldCharType="begin"/>
      </w:r>
      <w:r w:rsidRPr="00301010">
        <w:rPr>
          <w:b/>
          <w:bCs/>
        </w:rPr>
        <w:instrText xml:space="preserve"> SEQ Figure \* ARABIC </w:instrText>
      </w:r>
      <w:r w:rsidRPr="00301010">
        <w:rPr>
          <w:b/>
          <w:bCs/>
        </w:rPr>
        <w:fldChar w:fldCharType="separate"/>
      </w:r>
      <w:r w:rsidR="008B36EB">
        <w:rPr>
          <w:b/>
          <w:bCs/>
          <w:noProof/>
        </w:rPr>
        <w:t>7</w:t>
      </w:r>
      <w:r w:rsidRPr="00301010">
        <w:rPr>
          <w:b/>
          <w:bCs/>
        </w:rPr>
        <w:fldChar w:fldCharType="end"/>
      </w:r>
      <w:r>
        <w:t xml:space="preserve">. </w:t>
      </w:r>
      <w:r w:rsidRPr="00301010">
        <w:t>Stacked bar chart showing the</w:t>
      </w:r>
      <w:r w:rsidR="000F49F1">
        <w:t xml:space="preserve"> mean monthly</w:t>
      </w:r>
      <w:r w:rsidRPr="00301010">
        <w:t xml:space="preserve"> log-transformed abundances (cells</w:t>
      </w:r>
      <w:r>
        <w:t>/</w:t>
      </w:r>
      <w:r w:rsidRPr="00301010">
        <w:t xml:space="preserve"> L) of the principal</w:t>
      </w:r>
      <w:r>
        <w:t xml:space="preserve"> </w:t>
      </w:r>
      <w:r w:rsidRPr="00301010">
        <w:t>plankton</w:t>
      </w:r>
      <w:r>
        <w:t>ic</w:t>
      </w:r>
      <w:r w:rsidRPr="00301010">
        <w:t xml:space="preserve"> groups collected by plankton net from June 2021 through July 2022</w:t>
      </w:r>
      <w:r>
        <w:t xml:space="preserve"> from </w:t>
      </w:r>
      <w:proofErr w:type="spellStart"/>
      <w:r>
        <w:t>Pabay</w:t>
      </w:r>
      <w:proofErr w:type="spellEnd"/>
      <w:r>
        <w:t>, Isle of Skye</w:t>
      </w:r>
      <w:r w:rsidRPr="00301010">
        <w:t xml:space="preserve">. </w:t>
      </w:r>
      <w:r>
        <w:t>C</w:t>
      </w:r>
      <w:r w:rsidRPr="00301010">
        <w:t>oloured segments indicat</w:t>
      </w:r>
      <w:r>
        <w:t>e</w:t>
      </w:r>
      <w:r w:rsidRPr="00301010">
        <w:t xml:space="preserve"> contributions from </w:t>
      </w:r>
      <w:proofErr w:type="spellStart"/>
      <w:r w:rsidRPr="00301010">
        <w:t>Copepoda</w:t>
      </w:r>
      <w:proofErr w:type="spellEnd"/>
      <w:r w:rsidRPr="00301010">
        <w:t xml:space="preserve">, Malacostraca, Polychaeta, Bivalvia, Bryozoa larvae, </w:t>
      </w:r>
      <w:proofErr w:type="spellStart"/>
      <w:r w:rsidRPr="00301010">
        <w:t>Gastropoda</w:t>
      </w:r>
      <w:proofErr w:type="spellEnd"/>
      <w:r w:rsidRPr="00301010">
        <w:t xml:space="preserve">, Brachiopoda, </w:t>
      </w:r>
      <w:proofErr w:type="spellStart"/>
      <w:r w:rsidRPr="00301010">
        <w:t>Hydrozoa</w:t>
      </w:r>
      <w:proofErr w:type="spellEnd"/>
      <w:r w:rsidRPr="00301010">
        <w:t xml:space="preserve">, and </w:t>
      </w:r>
      <w:proofErr w:type="spellStart"/>
      <w:r w:rsidRPr="00301010">
        <w:t>Balanomorpha</w:t>
      </w:r>
      <w:proofErr w:type="spellEnd"/>
      <w:r w:rsidRPr="00301010">
        <w:t xml:space="preserve"> (see legend). Seasonal shifts in community composition are evident in the varying heights and segment proportions of the monthly bars.</w:t>
      </w:r>
    </w:p>
    <w:p w14:paraId="7EFCB83E" w14:textId="517F6332" w:rsidR="00C853B6" w:rsidRPr="00C853B6" w:rsidRDefault="00C853B6" w:rsidP="00C853B6">
      <w:pPr>
        <w:jc w:val="both"/>
        <w:rPr>
          <w:rFonts w:ascii="Aptos" w:hAnsi="Aptos"/>
        </w:rPr>
      </w:pPr>
      <w:r w:rsidRPr="00C853B6">
        <w:rPr>
          <w:rFonts w:ascii="Aptos" w:hAnsi="Aptos"/>
        </w:rPr>
        <w:t xml:space="preserve">Figure 7 </w:t>
      </w:r>
      <w:r>
        <w:rPr>
          <w:rFonts w:ascii="Aptos" w:hAnsi="Aptos"/>
        </w:rPr>
        <w:t>depicts</w:t>
      </w:r>
      <w:r w:rsidRPr="00C853B6">
        <w:rPr>
          <w:rFonts w:ascii="Aptos" w:hAnsi="Aptos"/>
        </w:rPr>
        <w:t xml:space="preserve"> pronounced seasonal variation in both abundance and composition of </w:t>
      </w:r>
      <w:r>
        <w:rPr>
          <w:rFonts w:ascii="Aptos" w:hAnsi="Aptos"/>
        </w:rPr>
        <w:t>dominant</w:t>
      </w:r>
      <w:r w:rsidRPr="00C853B6">
        <w:rPr>
          <w:rFonts w:ascii="Aptos" w:hAnsi="Aptos"/>
        </w:rPr>
        <w:t xml:space="preserve"> zooplankton groups</w:t>
      </w:r>
      <w:r>
        <w:rPr>
          <w:rFonts w:ascii="Aptos" w:hAnsi="Aptos"/>
        </w:rPr>
        <w:t xml:space="preserve"> in monthly seawater samples from</w:t>
      </w:r>
      <w:r w:rsidRPr="00C853B6">
        <w:rPr>
          <w:rFonts w:ascii="Aptos" w:hAnsi="Aptos"/>
        </w:rPr>
        <w:t xml:space="preserve"> </w:t>
      </w:r>
      <w:proofErr w:type="spellStart"/>
      <w:r w:rsidRPr="00C853B6">
        <w:rPr>
          <w:rFonts w:ascii="Aptos" w:hAnsi="Aptos"/>
        </w:rPr>
        <w:t>Pabay</w:t>
      </w:r>
      <w:proofErr w:type="spellEnd"/>
      <w:r w:rsidRPr="00C853B6">
        <w:rPr>
          <w:rFonts w:ascii="Aptos" w:hAnsi="Aptos"/>
        </w:rPr>
        <w:t>, Isle of Skye, between June 2021 and July 2022. Community structure shifted markedly over the sampling period, with fluctuations in total abundance (log-cells L</w:t>
      </w:r>
      <w:r w:rsidRPr="00C853B6">
        <w:rPr>
          <w:rFonts w:ascii="Cambria Math" w:hAnsi="Cambria Math" w:cs="Cambria Math"/>
        </w:rPr>
        <w:t>⁻</w:t>
      </w:r>
      <w:r w:rsidRPr="00C853B6">
        <w:rPr>
          <w:rFonts w:ascii="Aptos" w:hAnsi="Aptos" w:cs="Aptos"/>
        </w:rPr>
        <w:t>¹</w:t>
      </w:r>
      <w:r w:rsidRPr="00C853B6">
        <w:rPr>
          <w:rFonts w:ascii="Aptos" w:hAnsi="Aptos"/>
        </w:rPr>
        <w:t>) driven by successive dominance of different taxonomic groups.</w:t>
      </w:r>
    </w:p>
    <w:p w14:paraId="40351311" w14:textId="4FA8C46B" w:rsidR="00C853B6" w:rsidRPr="00C853B6" w:rsidRDefault="00C853B6" w:rsidP="00C853B6">
      <w:pPr>
        <w:jc w:val="both"/>
        <w:rPr>
          <w:rFonts w:ascii="Aptos" w:hAnsi="Aptos"/>
        </w:rPr>
      </w:pPr>
      <w:r w:rsidRPr="00C853B6">
        <w:rPr>
          <w:rFonts w:ascii="Aptos" w:hAnsi="Aptos"/>
        </w:rPr>
        <w:t>In summer 2021 (June</w:t>
      </w:r>
      <w:r>
        <w:rPr>
          <w:rFonts w:ascii="Aptos" w:hAnsi="Aptos"/>
        </w:rPr>
        <w:t xml:space="preserve"> - </w:t>
      </w:r>
      <w:r w:rsidRPr="00C853B6">
        <w:rPr>
          <w:rFonts w:ascii="Aptos" w:hAnsi="Aptos"/>
        </w:rPr>
        <w:t xml:space="preserve">September), overall </w:t>
      </w:r>
      <w:r w:rsidR="0074364E">
        <w:rPr>
          <w:rFonts w:ascii="Aptos" w:hAnsi="Aptos"/>
        </w:rPr>
        <w:t xml:space="preserve">zooplankton </w:t>
      </w:r>
      <w:r w:rsidRPr="00C853B6">
        <w:rPr>
          <w:rFonts w:ascii="Aptos" w:hAnsi="Aptos"/>
        </w:rPr>
        <w:t xml:space="preserve">abundance was high and dominated by copepods, bivalve larvae, and </w:t>
      </w:r>
      <w:r w:rsidR="0074364E">
        <w:rPr>
          <w:rFonts w:ascii="Aptos" w:hAnsi="Aptos"/>
        </w:rPr>
        <w:t>gastropods</w:t>
      </w:r>
      <w:r w:rsidRPr="00C853B6">
        <w:rPr>
          <w:rFonts w:ascii="Aptos" w:hAnsi="Aptos"/>
        </w:rPr>
        <w:t xml:space="preserve">, with notable contributions from </w:t>
      </w:r>
      <w:r w:rsidR="0074364E">
        <w:rPr>
          <w:rFonts w:ascii="Aptos" w:hAnsi="Aptos"/>
        </w:rPr>
        <w:t>polychaetes</w:t>
      </w:r>
      <w:r w:rsidRPr="00C853B6">
        <w:rPr>
          <w:rFonts w:ascii="Aptos" w:hAnsi="Aptos"/>
        </w:rPr>
        <w:t xml:space="preserve"> and </w:t>
      </w:r>
      <w:r w:rsidR="0074364E">
        <w:rPr>
          <w:rFonts w:ascii="Aptos" w:hAnsi="Aptos"/>
        </w:rPr>
        <w:t>brachiopods</w:t>
      </w:r>
      <w:r w:rsidRPr="00C853B6">
        <w:rPr>
          <w:rFonts w:ascii="Aptos" w:hAnsi="Aptos"/>
        </w:rPr>
        <w:t>. Autumn (October–November) saw a decline in total abundance, driven largely by reductions in copepods and hydrozoans, although bryozoan larvae and malacostracans became more prominent contributors.</w:t>
      </w:r>
    </w:p>
    <w:p w14:paraId="4F29466C" w14:textId="337190E6" w:rsidR="00C853B6" w:rsidRPr="00C853B6" w:rsidRDefault="00C853B6" w:rsidP="00C853B6">
      <w:pPr>
        <w:jc w:val="both"/>
        <w:rPr>
          <w:rFonts w:ascii="Aptos" w:hAnsi="Aptos"/>
        </w:rPr>
      </w:pPr>
      <w:r w:rsidRPr="00C853B6">
        <w:rPr>
          <w:rFonts w:ascii="Aptos" w:hAnsi="Aptos"/>
        </w:rPr>
        <w:t>Winter months (December</w:t>
      </w:r>
      <w:r>
        <w:rPr>
          <w:rFonts w:ascii="Aptos" w:hAnsi="Aptos"/>
        </w:rPr>
        <w:t xml:space="preserve"> - </w:t>
      </w:r>
      <w:r w:rsidRPr="00C853B6">
        <w:rPr>
          <w:rFonts w:ascii="Aptos" w:hAnsi="Aptos"/>
        </w:rPr>
        <w:t>February) were characterised by the lowest overall abundances, with a more even distribution among taxa and smaller contributions from polychaetes and brachiopods. From March 2022 onward, a marked spring</w:t>
      </w:r>
      <w:r>
        <w:rPr>
          <w:rFonts w:ascii="Aptos" w:hAnsi="Aptos"/>
        </w:rPr>
        <w:t>/</w:t>
      </w:r>
      <w:r w:rsidRPr="00C853B6">
        <w:rPr>
          <w:rFonts w:ascii="Aptos" w:hAnsi="Aptos"/>
        </w:rPr>
        <w:t xml:space="preserve">summer increase </w:t>
      </w:r>
      <w:r>
        <w:rPr>
          <w:rFonts w:ascii="Aptos" w:hAnsi="Aptos"/>
        </w:rPr>
        <w:t>was evident</w:t>
      </w:r>
      <w:r w:rsidRPr="00C853B6">
        <w:rPr>
          <w:rFonts w:ascii="Aptos" w:hAnsi="Aptos"/>
        </w:rPr>
        <w:t>, with sequential peaks in copepods, bivalves, and gastropods, accompanied by rising hydrozoan abundance in late spring.</w:t>
      </w:r>
    </w:p>
    <w:p w14:paraId="6F88C8A4" w14:textId="7103E5E5" w:rsidR="00A04C7E" w:rsidRPr="0018095A" w:rsidRDefault="00C853B6" w:rsidP="002B0DEA">
      <w:pPr>
        <w:jc w:val="both"/>
        <w:rPr>
          <w:rFonts w:ascii="Aptos" w:hAnsi="Aptos"/>
        </w:rPr>
      </w:pPr>
      <w:r w:rsidRPr="00C853B6">
        <w:rPr>
          <w:rFonts w:ascii="Aptos" w:hAnsi="Aptos"/>
        </w:rPr>
        <w:t>By June</w:t>
      </w:r>
      <w:r w:rsidR="0074364E">
        <w:rPr>
          <w:rFonts w:ascii="Aptos" w:hAnsi="Aptos"/>
        </w:rPr>
        <w:t>/</w:t>
      </w:r>
      <w:r w:rsidRPr="00C853B6">
        <w:rPr>
          <w:rFonts w:ascii="Aptos" w:hAnsi="Aptos"/>
        </w:rPr>
        <w:t xml:space="preserve">July 2022, bivalve larvae reached their highest recorded levels, coinciding with </w:t>
      </w:r>
      <w:r w:rsidR="0074364E">
        <w:rPr>
          <w:rFonts w:ascii="Aptos" w:hAnsi="Aptos"/>
        </w:rPr>
        <w:t xml:space="preserve">elevated </w:t>
      </w:r>
      <w:r w:rsidRPr="00C853B6">
        <w:rPr>
          <w:rFonts w:ascii="Aptos" w:hAnsi="Aptos"/>
        </w:rPr>
        <w:t xml:space="preserve">hydrozoan and bryozoan </w:t>
      </w:r>
      <w:r w:rsidR="0074364E">
        <w:rPr>
          <w:rFonts w:ascii="Aptos" w:hAnsi="Aptos"/>
        </w:rPr>
        <w:t>counts.</w:t>
      </w:r>
    </w:p>
    <w:p w14:paraId="19B1F515" w14:textId="77777777" w:rsidR="00A04C7E" w:rsidRPr="0018095A" w:rsidRDefault="00A04C7E" w:rsidP="002B0DEA">
      <w:pPr>
        <w:jc w:val="both"/>
        <w:rPr>
          <w:rFonts w:ascii="Aptos" w:hAnsi="Aptos"/>
        </w:rPr>
      </w:pPr>
    </w:p>
    <w:p w14:paraId="7838B106" w14:textId="77777777" w:rsidR="0074364E" w:rsidRDefault="0074364E" w:rsidP="002B0DEA">
      <w:pPr>
        <w:jc w:val="both"/>
        <w:rPr>
          <w:rFonts w:ascii="Aptos" w:hAnsi="Aptos"/>
        </w:rPr>
      </w:pPr>
    </w:p>
    <w:p w14:paraId="3D414DED" w14:textId="3D9780E5" w:rsidR="00730243" w:rsidRPr="00AE60D8" w:rsidRDefault="00670A02" w:rsidP="002B0DEA">
      <w:pPr>
        <w:jc w:val="both"/>
        <w:rPr>
          <w:rFonts w:ascii="Aptos" w:hAnsi="Aptos"/>
          <w:i/>
          <w:iCs/>
        </w:rPr>
      </w:pPr>
      <w:r>
        <w:rPr>
          <w:rFonts w:ascii="Aptos" w:hAnsi="Aptos"/>
          <w:i/>
          <w:iCs/>
        </w:rPr>
        <w:lastRenderedPageBreak/>
        <w:t xml:space="preserve">Biofouling blade coverage </w:t>
      </w:r>
      <w:r w:rsidR="00AE60D8">
        <w:rPr>
          <w:rFonts w:ascii="Aptos" w:hAnsi="Aptos"/>
          <w:i/>
          <w:iCs/>
        </w:rPr>
        <w:t>of Alaria and Saccharina</w:t>
      </w:r>
    </w:p>
    <w:p w14:paraId="5042E6C1" w14:textId="77777777" w:rsidR="00AE60D8" w:rsidRDefault="00AE60D8" w:rsidP="00443E61">
      <w:pPr>
        <w:keepNext/>
        <w:jc w:val="center"/>
      </w:pPr>
      <w:r>
        <w:rPr>
          <w:rFonts w:ascii="Aptos" w:hAnsi="Aptos"/>
          <w:noProof/>
        </w:rPr>
        <w:drawing>
          <wp:inline distT="0" distB="0" distL="0" distR="0" wp14:anchorId="7DF130B7" wp14:editId="4F9639D9">
            <wp:extent cx="5731510" cy="3774440"/>
            <wp:effectExtent l="0" t="0" r="2540" b="0"/>
            <wp:docPr id="1755862363"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2363" name="Graphic 1755862363"/>
                    <pic:cNvPicPr/>
                  </pic:nvPicPr>
                  <pic:blipFill>
                    <a:blip r:embed="rId34">
                      <a:extLst>
                        <a:ext uri="{96DAC541-7B7A-43D3-8B79-37D633B846F1}">
                          <asvg:svgBlip xmlns:asvg="http://schemas.microsoft.com/office/drawing/2016/SVG/main" r:embed="rId35"/>
                        </a:ext>
                      </a:extLst>
                    </a:blip>
                    <a:stretch>
                      <a:fillRect/>
                    </a:stretch>
                  </pic:blipFill>
                  <pic:spPr>
                    <a:xfrm>
                      <a:off x="0" y="0"/>
                      <a:ext cx="5731510" cy="3774440"/>
                    </a:xfrm>
                    <a:prstGeom prst="rect">
                      <a:avLst/>
                    </a:prstGeom>
                  </pic:spPr>
                </pic:pic>
              </a:graphicData>
            </a:graphic>
          </wp:inline>
        </w:drawing>
      </w:r>
    </w:p>
    <w:p w14:paraId="4266444E" w14:textId="60279B13" w:rsidR="00730243" w:rsidRDefault="00AE60D8" w:rsidP="0074364E">
      <w:pPr>
        <w:pStyle w:val="Caption"/>
        <w:jc w:val="both"/>
        <w:rPr>
          <w:rFonts w:ascii="Aptos" w:hAnsi="Aptos"/>
        </w:rPr>
      </w:pPr>
      <w:r w:rsidRPr="00AE60D8">
        <w:rPr>
          <w:b/>
          <w:bCs/>
        </w:rPr>
        <w:t xml:space="preserve">Figure </w:t>
      </w:r>
      <w:r w:rsidRPr="00AE60D8">
        <w:rPr>
          <w:b/>
          <w:bCs/>
        </w:rPr>
        <w:fldChar w:fldCharType="begin"/>
      </w:r>
      <w:r w:rsidRPr="00AE60D8">
        <w:rPr>
          <w:b/>
          <w:bCs/>
        </w:rPr>
        <w:instrText xml:space="preserve"> SEQ Figure \* ARABIC </w:instrText>
      </w:r>
      <w:r w:rsidRPr="00AE60D8">
        <w:rPr>
          <w:b/>
          <w:bCs/>
        </w:rPr>
        <w:fldChar w:fldCharType="separate"/>
      </w:r>
      <w:r w:rsidR="008B36EB">
        <w:rPr>
          <w:b/>
          <w:bCs/>
          <w:noProof/>
        </w:rPr>
        <w:t>8</w:t>
      </w:r>
      <w:r w:rsidRPr="00AE60D8">
        <w:rPr>
          <w:b/>
          <w:bCs/>
        </w:rPr>
        <w:fldChar w:fldCharType="end"/>
      </w:r>
      <w:r w:rsidRPr="00AE60D8">
        <w:rPr>
          <w:b/>
          <w:bCs/>
        </w:rPr>
        <w:t>.</w:t>
      </w:r>
      <w:r>
        <w:t xml:space="preserve"> B</w:t>
      </w:r>
      <w:r w:rsidRPr="00AE60D8">
        <w:t>ar charts showing mean percent blade surface covered by three epibiont groups—</w:t>
      </w:r>
      <w:r>
        <w:t>B</w:t>
      </w:r>
      <w:r w:rsidRPr="00AE60D8">
        <w:t xml:space="preserve">ryozoans (red), </w:t>
      </w:r>
      <w:proofErr w:type="spellStart"/>
      <w:r w:rsidRPr="00AE60D8">
        <w:t>Ectocarpus</w:t>
      </w:r>
      <w:proofErr w:type="spellEnd"/>
      <w:r w:rsidRPr="00AE60D8">
        <w:t xml:space="preserve"> (green), and </w:t>
      </w:r>
      <w:r>
        <w:t>H</w:t>
      </w:r>
      <w:r w:rsidRPr="00AE60D8">
        <w:t>ydrozoans (blue)—from April through July</w:t>
      </w:r>
      <w:r>
        <w:t xml:space="preserve"> 2022</w:t>
      </w:r>
      <w:r w:rsidRPr="00AE60D8">
        <w:t xml:space="preserve">. Error bars extend from the minimum to maximum observed coverage across replicate blades. Alaria fouling only </w:t>
      </w:r>
      <w:r>
        <w:t>recorded in</w:t>
      </w:r>
      <w:r w:rsidRPr="00AE60D8">
        <w:t xml:space="preserve"> May (no June or July data</w:t>
      </w:r>
      <w:r>
        <w:t xml:space="preserve"> available</w:t>
      </w:r>
      <w:r w:rsidRPr="00AE60D8">
        <w:t>), whereas Saccharina exhibited negligible coverage in April–May followed by substantial hydrozoan and bryozoan colonization in June–July.</w:t>
      </w:r>
    </w:p>
    <w:p w14:paraId="49FC19FF" w14:textId="3B169068" w:rsidR="0074364E" w:rsidRPr="0074364E" w:rsidRDefault="0074364E" w:rsidP="0074364E">
      <w:pPr>
        <w:jc w:val="both"/>
      </w:pPr>
      <w:r w:rsidRPr="0074364E">
        <w:t xml:space="preserve">In Alaria, measurable fouling was detected only in May, when hydrozoan coverage reached approximately 5% and </w:t>
      </w:r>
      <w:proofErr w:type="spellStart"/>
      <w:r w:rsidRPr="0074364E">
        <w:t>Ectocarpus</w:t>
      </w:r>
      <w:proofErr w:type="spellEnd"/>
      <w:r w:rsidRPr="0074364E">
        <w:t xml:space="preserve"> covered up to ~10% of the blade surface. No bryozoan colonisation was observed on Alaria during the study perio</w:t>
      </w:r>
      <w:r w:rsidR="003124CE">
        <w:t>d although sampling for this species was only possible between January and May.</w:t>
      </w:r>
    </w:p>
    <w:p w14:paraId="6F221264" w14:textId="76F4EFB0" w:rsidR="008B36EB" w:rsidRPr="0074364E" w:rsidRDefault="0074364E" w:rsidP="002B0DEA">
      <w:pPr>
        <w:jc w:val="both"/>
      </w:pPr>
      <w:r w:rsidRPr="0074364E">
        <w:t>In contrast, Saccharina blades exhibited a clear fouling pulse</w:t>
      </w:r>
      <w:r w:rsidR="003124CE">
        <w:t xml:space="preserve"> later in the season</w:t>
      </w:r>
      <w:r w:rsidRPr="0074364E">
        <w:t xml:space="preserve">. Coverage remained negligible through April, but by June hydrozoans reached mean coverage of ~20%, closely followed by a sharp July peak in bryozoan coverage exceeding 35% on average, with some blades approaching complete encrustation (&gt;80%). Hydrozoan coverage remained high in July (~20%), while </w:t>
      </w:r>
      <w:proofErr w:type="spellStart"/>
      <w:r w:rsidRPr="0074364E">
        <w:t>Ectocarpus</w:t>
      </w:r>
      <w:proofErr w:type="spellEnd"/>
      <w:r w:rsidRPr="0074364E">
        <w:t xml:space="preserve"> was absent from Saccharina throughout the sampling window.</w:t>
      </w:r>
    </w:p>
    <w:p w14:paraId="6EE9AD53" w14:textId="77777777" w:rsidR="008B36EB" w:rsidRDefault="008B36EB" w:rsidP="002B0DEA">
      <w:pPr>
        <w:jc w:val="both"/>
        <w:rPr>
          <w:rFonts w:ascii="Aptos" w:hAnsi="Aptos"/>
        </w:rPr>
      </w:pPr>
    </w:p>
    <w:p w14:paraId="67101B0B" w14:textId="77777777" w:rsidR="008B36EB" w:rsidRDefault="008B36EB" w:rsidP="002B0DEA">
      <w:pPr>
        <w:jc w:val="both"/>
        <w:rPr>
          <w:rFonts w:ascii="Aptos" w:hAnsi="Aptos"/>
        </w:rPr>
      </w:pPr>
    </w:p>
    <w:p w14:paraId="0CB3C456" w14:textId="77777777" w:rsidR="008B36EB" w:rsidRDefault="008B36EB" w:rsidP="002B0DEA">
      <w:pPr>
        <w:jc w:val="both"/>
        <w:rPr>
          <w:rFonts w:ascii="Aptos" w:hAnsi="Aptos"/>
        </w:rPr>
      </w:pPr>
    </w:p>
    <w:p w14:paraId="2F53E6B4" w14:textId="77777777" w:rsidR="008B36EB" w:rsidRDefault="008B36EB" w:rsidP="002B0DEA">
      <w:pPr>
        <w:jc w:val="both"/>
        <w:rPr>
          <w:rFonts w:ascii="Aptos" w:hAnsi="Aptos"/>
        </w:rPr>
      </w:pPr>
    </w:p>
    <w:p w14:paraId="2532EE66" w14:textId="1E17807E" w:rsidR="0402FD78" w:rsidRDefault="0402FD78" w:rsidP="0402FD78">
      <w:pPr>
        <w:jc w:val="both"/>
        <w:rPr>
          <w:rFonts w:ascii="Aptos" w:hAnsi="Aptos"/>
          <w:i/>
          <w:iCs/>
        </w:rPr>
      </w:pPr>
    </w:p>
    <w:p w14:paraId="791DB1CC" w14:textId="77777777" w:rsidR="00EB2AC2" w:rsidRDefault="00EB2AC2" w:rsidP="0402FD78">
      <w:pPr>
        <w:jc w:val="both"/>
        <w:rPr>
          <w:rFonts w:ascii="Aptos" w:hAnsi="Aptos"/>
          <w:i/>
          <w:iCs/>
        </w:rPr>
      </w:pPr>
    </w:p>
    <w:p w14:paraId="00A1FF56" w14:textId="77777777" w:rsidR="00EB2AC2" w:rsidRDefault="00EB2AC2" w:rsidP="0402FD78">
      <w:pPr>
        <w:jc w:val="both"/>
        <w:rPr>
          <w:rFonts w:ascii="Aptos" w:hAnsi="Aptos"/>
          <w:i/>
          <w:iCs/>
        </w:rPr>
      </w:pPr>
    </w:p>
    <w:p w14:paraId="17AAAB31" w14:textId="033AC4F1" w:rsidR="008B36EB" w:rsidRPr="008B36EB" w:rsidRDefault="008B36EB" w:rsidP="0402FD78">
      <w:pPr>
        <w:jc w:val="both"/>
        <w:rPr>
          <w:rFonts w:ascii="Aptos" w:hAnsi="Aptos"/>
          <w:i/>
          <w:iCs/>
        </w:rPr>
      </w:pPr>
      <w:r w:rsidRPr="0402FD78">
        <w:rPr>
          <w:rFonts w:ascii="Aptos" w:hAnsi="Aptos"/>
          <w:i/>
          <w:iCs/>
        </w:rPr>
        <w:lastRenderedPageBreak/>
        <w:t>Biofouling blade colonisation of Alaria and Saccharina</w:t>
      </w:r>
    </w:p>
    <w:p w14:paraId="3B29E716" w14:textId="5F42AEED" w:rsidR="00AD0E3D" w:rsidRDefault="24AB8DA4" w:rsidP="00443E61">
      <w:pPr>
        <w:keepNext/>
        <w:jc w:val="center"/>
      </w:pPr>
      <w:r>
        <w:rPr>
          <w:noProof/>
        </w:rPr>
        <w:drawing>
          <wp:inline distT="0" distB="0" distL="0" distR="0" wp14:anchorId="69C464DE" wp14:editId="606E818D">
            <wp:extent cx="4859828" cy="3200400"/>
            <wp:effectExtent l="0" t="0" r="0" b="0"/>
            <wp:docPr id="499526514"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7"/>
                    <pic:cNvPicPr/>
                  </pic:nvPicPr>
                  <pic:blipFill>
                    <a:blip r:embed="rId36">
                      <a:extLst>
                        <a:ext uri="{96DAC541-7B7A-43D3-8B79-37D633B846F1}">
                          <asvg:svgBlip xmlns:asvg="http://schemas.microsoft.com/office/drawing/2016/SVG/main" r:embed="rId37"/>
                        </a:ext>
                      </a:extLst>
                    </a:blip>
                    <a:srcRect/>
                    <a:stretch>
                      <a:fillRect/>
                    </a:stretch>
                  </pic:blipFill>
                  <pic:spPr>
                    <a:xfrm>
                      <a:off x="0" y="0"/>
                      <a:ext cx="4859828" cy="3200400"/>
                    </a:xfrm>
                    <a:prstGeom prst="rect">
                      <a:avLst/>
                    </a:prstGeom>
                  </pic:spPr>
                </pic:pic>
              </a:graphicData>
            </a:graphic>
          </wp:inline>
        </w:drawing>
      </w:r>
    </w:p>
    <w:p w14:paraId="32AE2B58" w14:textId="12EC1629" w:rsidR="00AD0E3D" w:rsidRDefault="24AB8DA4" w:rsidP="00443E61">
      <w:pPr>
        <w:keepNext/>
        <w:jc w:val="center"/>
      </w:pPr>
      <w:r>
        <w:rPr>
          <w:noProof/>
        </w:rPr>
        <w:drawing>
          <wp:inline distT="0" distB="0" distL="0" distR="0" wp14:anchorId="10D13664" wp14:editId="4AEAB997">
            <wp:extent cx="4940678" cy="2834640"/>
            <wp:effectExtent l="0" t="0" r="0" b="3810"/>
            <wp:docPr id="1990481664"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6"/>
                    <pic:cNvPicPr/>
                  </pic:nvPicPr>
                  <pic:blipFill>
                    <a:blip r:embed="rId38">
                      <a:extLst>
                        <a:ext uri="{96DAC541-7B7A-43D3-8B79-37D633B846F1}">
                          <asvg:svgBlip xmlns:asvg="http://schemas.microsoft.com/office/drawing/2016/SVG/main" r:embed="rId39"/>
                        </a:ext>
                      </a:extLst>
                    </a:blip>
                    <a:srcRect t="12878"/>
                    <a:stretch>
                      <a:fillRect/>
                    </a:stretch>
                  </pic:blipFill>
                  <pic:spPr>
                    <a:xfrm>
                      <a:off x="0" y="0"/>
                      <a:ext cx="4940678" cy="2834640"/>
                    </a:xfrm>
                    <a:prstGeom prst="rect">
                      <a:avLst/>
                    </a:prstGeom>
                  </pic:spPr>
                </pic:pic>
              </a:graphicData>
            </a:graphic>
          </wp:inline>
        </w:drawing>
      </w:r>
    </w:p>
    <w:p w14:paraId="2422E6B0" w14:textId="4BD7AFCF" w:rsidR="008B36EB" w:rsidRPr="000F49F1" w:rsidRDefault="00AD0E3D" w:rsidP="002B0DEA">
      <w:pPr>
        <w:pStyle w:val="Caption"/>
        <w:jc w:val="both"/>
        <w:rPr>
          <w:rFonts w:ascii="Aptos" w:hAnsi="Aptos"/>
        </w:rPr>
      </w:pPr>
      <w:r>
        <w:t xml:space="preserve">Figure </w:t>
      </w:r>
      <w:fldSimple w:instr=" SEQ Figure \* ARABIC ">
        <w:r w:rsidR="008B36EB">
          <w:rPr>
            <w:noProof/>
          </w:rPr>
          <w:t>9</w:t>
        </w:r>
      </w:fldSimple>
      <w:r>
        <w:t xml:space="preserve">. </w:t>
      </w:r>
      <w:r w:rsidRPr="00AD0E3D">
        <w:t xml:space="preserve">Bar charts showing mean colonization density (individuals </w:t>
      </w:r>
      <w:r>
        <w:t>/</w:t>
      </w:r>
      <w:r w:rsidRPr="00AD0E3D">
        <w:t>c</w:t>
      </w:r>
      <w:r w:rsidRPr="00AD0E3D">
        <w:rPr>
          <w:rFonts w:cs="Cambria Math"/>
        </w:rPr>
        <w:t>m</w:t>
      </w:r>
      <w:r w:rsidRPr="00AD0E3D">
        <w:rPr>
          <w:rFonts w:cs="Aptos"/>
        </w:rPr>
        <w:t>²</w:t>
      </w:r>
      <w:r w:rsidRPr="00AD0E3D">
        <w:t>) of six major taxa</w:t>
      </w:r>
      <w:r w:rsidRPr="00AD0E3D">
        <w:rPr>
          <w:rFonts w:ascii="Aptos" w:hAnsi="Aptos" w:cs="Aptos"/>
        </w:rPr>
        <w:t>—</w:t>
      </w:r>
      <w:r w:rsidRPr="00AD0E3D">
        <w:t xml:space="preserve">Amphipoda (red), </w:t>
      </w:r>
      <w:proofErr w:type="spellStart"/>
      <w:r w:rsidRPr="00AD0E3D">
        <w:t>Copepoda</w:t>
      </w:r>
      <w:proofErr w:type="spellEnd"/>
      <w:r w:rsidRPr="00AD0E3D">
        <w:t xml:space="preserve"> (green), Isopoda (blue), Bivalvia (gold), </w:t>
      </w:r>
      <w:proofErr w:type="spellStart"/>
      <w:r w:rsidRPr="00AD0E3D">
        <w:t>Gastropoda</w:t>
      </w:r>
      <w:proofErr w:type="spellEnd"/>
      <w:r w:rsidRPr="00AD0E3D">
        <w:t xml:space="preserve"> (teal), and Nemertea (magenta)</w:t>
      </w:r>
      <w:r w:rsidRPr="00AD0E3D">
        <w:rPr>
          <w:rFonts w:ascii="Aptos" w:hAnsi="Aptos" w:cs="Aptos"/>
        </w:rPr>
        <w:t>—</w:t>
      </w:r>
      <w:r w:rsidRPr="00AD0E3D">
        <w:t xml:space="preserve">on Alaria </w:t>
      </w:r>
      <w:r>
        <w:t xml:space="preserve">(top) </w:t>
      </w:r>
      <w:r w:rsidRPr="00AD0E3D">
        <w:t>and Saccharina</w:t>
      </w:r>
      <w:r>
        <w:t xml:space="preserve"> (bottom)</w:t>
      </w:r>
      <w:r w:rsidRPr="00AD0E3D">
        <w:t xml:space="preserve"> blades from January</w:t>
      </w:r>
      <w:r w:rsidR="008B36EB">
        <w:t xml:space="preserve"> to</w:t>
      </w:r>
      <w:r w:rsidRPr="00AD0E3D">
        <w:t xml:space="preserve"> July</w:t>
      </w:r>
      <w:r w:rsidR="008B36EB">
        <w:t xml:space="preserve"> 2022</w:t>
      </w:r>
      <w:r w:rsidRPr="00AD0E3D">
        <w:t xml:space="preserve">. Error bars span the minimum to maximum values among replicate blades. On Alaria, peak copepod and isopod settlement occurs in March, with negligible densities before and after; on Saccharina, low-level settlement from January–June is followed by </w:t>
      </w:r>
      <w:r>
        <w:t xml:space="preserve">more </w:t>
      </w:r>
      <w:r w:rsidRPr="00AD0E3D">
        <w:t>pronounced amphipod and bivalve colonization in July.</w:t>
      </w:r>
    </w:p>
    <w:p w14:paraId="5379C679" w14:textId="4EA1F049" w:rsidR="003124CE" w:rsidRPr="003124CE" w:rsidRDefault="003124CE" w:rsidP="003124CE">
      <w:pPr>
        <w:jc w:val="both"/>
      </w:pPr>
      <w:r w:rsidRPr="003124CE">
        <w:t>In Alaria, colonisation densities were generally low throughout the sampling period, with a distinct peak in March driven by elevated copepod (~0.42 ind</w:t>
      </w:r>
      <w:r>
        <w:t>.</w:t>
      </w:r>
      <w:r w:rsidRPr="003124CE">
        <w:t>/cm²) and isopod (~0.18 ind./cm²) settlement. All other taxa occurred at negligible densities (&lt;0.02 ind./cm²) across the season, and no further increases were observed after March.</w:t>
      </w:r>
    </w:p>
    <w:p w14:paraId="002C55FC" w14:textId="2C965A31" w:rsidR="4FDD748D" w:rsidRPr="00443E61" w:rsidRDefault="003124CE" w:rsidP="4FDD748D">
      <w:pPr>
        <w:jc w:val="both"/>
      </w:pPr>
      <w:r w:rsidRPr="003124CE">
        <w:t xml:space="preserve">In Saccharina, colonisation was initially low from January through June, with densities for most taxa remaining below 0.2 ind./cm². From late June into July, settlement intensity increased </w:t>
      </w:r>
      <w:r w:rsidRPr="003124CE">
        <w:lastRenderedPageBreak/>
        <w:t xml:space="preserve">sharply, dominated by amphipods (~3.5 ind./cm²) and bivalves (~2.8 ind./cm²), alongside smaller contributions from gastropods, copepods, and isopods. </w:t>
      </w:r>
      <w:proofErr w:type="spellStart"/>
      <w:r w:rsidRPr="003124CE">
        <w:t>Nemerteans</w:t>
      </w:r>
      <w:proofErr w:type="spellEnd"/>
      <w:r w:rsidRPr="003124CE">
        <w:t xml:space="preserve"> were detected sporadically at very low densities (&lt;0.05 ind./cm²) throughout the sampling window.</w:t>
      </w:r>
    </w:p>
    <w:p w14:paraId="59F2F9F6" w14:textId="77777777" w:rsidR="003124CE" w:rsidRDefault="003124CE" w:rsidP="002B0DEA">
      <w:pPr>
        <w:jc w:val="both"/>
        <w:rPr>
          <w:i/>
          <w:iCs/>
        </w:rPr>
      </w:pPr>
    </w:p>
    <w:p w14:paraId="4B46F9A0" w14:textId="2D9C22E2" w:rsidR="00622AB8" w:rsidRDefault="00622AB8" w:rsidP="002B0DEA">
      <w:pPr>
        <w:jc w:val="both"/>
        <w:rPr>
          <w:i/>
          <w:iCs/>
          <w:noProof/>
        </w:rPr>
      </w:pPr>
      <w:r w:rsidRPr="00871F80">
        <w:rPr>
          <w:i/>
          <w:iCs/>
        </w:rPr>
        <w:t>Depth effect on epibiont distribution on seaweed blades</w:t>
      </w:r>
    </w:p>
    <w:p w14:paraId="12CCF592" w14:textId="77777777" w:rsidR="008B36EB" w:rsidRDefault="008B36EB" w:rsidP="00443E61">
      <w:pPr>
        <w:keepNext/>
        <w:jc w:val="center"/>
      </w:pPr>
      <w:r>
        <w:rPr>
          <w:i/>
          <w:iCs/>
          <w:noProof/>
        </w:rPr>
        <w:drawing>
          <wp:inline distT="0" distB="0" distL="0" distR="0" wp14:anchorId="45DF5181" wp14:editId="72EDF476">
            <wp:extent cx="5459376" cy="3816000"/>
            <wp:effectExtent l="0" t="0" r="8255" b="0"/>
            <wp:docPr id="355388292"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88292" name="Graphic 355388292"/>
                    <pic:cNvPicPr/>
                  </pic:nvPicPr>
                  <pic:blipFill>
                    <a:blip r:embed="rId40">
                      <a:extLst>
                        <a:ext uri="{96DAC541-7B7A-43D3-8B79-37D633B846F1}">
                          <asvg:svgBlip xmlns:asvg="http://schemas.microsoft.com/office/drawing/2016/SVG/main" r:embed="rId41"/>
                        </a:ext>
                      </a:extLst>
                    </a:blip>
                    <a:stretch>
                      <a:fillRect/>
                    </a:stretch>
                  </pic:blipFill>
                  <pic:spPr>
                    <a:xfrm>
                      <a:off x="0" y="0"/>
                      <a:ext cx="5459376" cy="3816000"/>
                    </a:xfrm>
                    <a:prstGeom prst="rect">
                      <a:avLst/>
                    </a:prstGeom>
                  </pic:spPr>
                </pic:pic>
              </a:graphicData>
            </a:graphic>
          </wp:inline>
        </w:drawing>
      </w:r>
    </w:p>
    <w:p w14:paraId="09CC64ED" w14:textId="7FFBD6B5" w:rsidR="008B36EB" w:rsidRPr="008B36EB" w:rsidRDefault="008B36EB" w:rsidP="002B0DEA">
      <w:pPr>
        <w:pStyle w:val="Caption"/>
        <w:jc w:val="both"/>
      </w:pPr>
      <w:r w:rsidRPr="008B36EB">
        <w:rPr>
          <w:b/>
          <w:bCs/>
        </w:rPr>
        <w:t xml:space="preserve">Figure </w:t>
      </w:r>
      <w:r w:rsidRPr="008B36EB">
        <w:rPr>
          <w:b/>
          <w:bCs/>
        </w:rPr>
        <w:fldChar w:fldCharType="begin"/>
      </w:r>
      <w:r w:rsidRPr="008B36EB">
        <w:rPr>
          <w:b/>
          <w:bCs/>
        </w:rPr>
        <w:instrText xml:space="preserve"> SEQ Figure \* ARABIC </w:instrText>
      </w:r>
      <w:r w:rsidRPr="008B36EB">
        <w:rPr>
          <w:b/>
          <w:bCs/>
        </w:rPr>
        <w:fldChar w:fldCharType="separate"/>
      </w:r>
      <w:r w:rsidRPr="008B36EB">
        <w:rPr>
          <w:b/>
          <w:bCs/>
          <w:noProof/>
        </w:rPr>
        <w:t>10</w:t>
      </w:r>
      <w:r w:rsidRPr="008B36EB">
        <w:rPr>
          <w:b/>
          <w:bCs/>
        </w:rPr>
        <w:fldChar w:fldCharType="end"/>
      </w:r>
      <w:r w:rsidRPr="008B36EB">
        <w:rPr>
          <w:b/>
          <w:bCs/>
        </w:rPr>
        <w:t>.</w:t>
      </w:r>
      <w:r w:rsidRPr="008B36EB">
        <w:t xml:space="preserve"> Boxplots of the percentage of blade area covered by Obelia spp. (</w:t>
      </w:r>
      <w:proofErr w:type="spellStart"/>
      <w:r w:rsidRPr="008B36EB">
        <w:t>Hydrozoa</w:t>
      </w:r>
      <w:proofErr w:type="spellEnd"/>
      <w:r w:rsidRPr="008B36EB">
        <w:t xml:space="preserve">) on three blade segments—base (light green), middle (green), and tip (dark green)—sampled on 7 May, 22 May, 29 June and 15 July 2022. </w:t>
      </w:r>
      <w:r>
        <w:t xml:space="preserve"> C</w:t>
      </w:r>
      <w:r w:rsidRPr="008B36EB">
        <w:t>olonization was essentially zero on the basal segment throughout the season, appeared first and most moderately on the mid</w:t>
      </w:r>
      <w:r w:rsidRPr="008B36EB">
        <w:rPr>
          <w:rFonts w:ascii="Cambria Math" w:hAnsi="Cambria Math" w:cs="Cambria Math"/>
        </w:rPr>
        <w:t>‐</w:t>
      </w:r>
      <w:r w:rsidRPr="008B36EB">
        <w:t xml:space="preserve">blade by late May (median ~12 %), and </w:t>
      </w:r>
      <w:r>
        <w:t xml:space="preserve">quickly </w:t>
      </w:r>
      <w:r w:rsidRPr="008B36EB">
        <w:t>surged on the tip segment, rising from ~30 % coverage in late May to &gt;85 % by late June and nearly complete (&gt;90 %) by mid</w:t>
      </w:r>
      <w:r w:rsidRPr="008B36EB">
        <w:rPr>
          <w:rFonts w:ascii="Cambria Math" w:hAnsi="Cambria Math" w:cs="Cambria Math"/>
        </w:rPr>
        <w:t>‐</w:t>
      </w:r>
      <w:r w:rsidRPr="008B36EB">
        <w:t>July. This pattern highlights both the rapid seasonal increase in hydrozoan fouling and the strong depth</w:t>
      </w:r>
      <w:r w:rsidRPr="008B36EB">
        <w:rPr>
          <w:rFonts w:ascii="Cambria Math" w:hAnsi="Cambria Math" w:cs="Cambria Math"/>
        </w:rPr>
        <w:t>‐</w:t>
      </w:r>
      <w:r w:rsidRPr="008B36EB">
        <w:t>related gradient of epibiont settlement along the kelp blade.</w:t>
      </w:r>
    </w:p>
    <w:p w14:paraId="22722A9B" w14:textId="70D292DF" w:rsidR="4FDD748D" w:rsidRPr="00405159" w:rsidRDefault="00622AB8" w:rsidP="4FDD748D">
      <w:pPr>
        <w:jc w:val="both"/>
      </w:pPr>
      <w:r>
        <w:t>Two-way ANOVA showed that hydrozoan coverage was significantly influenced by blade segment depth (F</w:t>
      </w:r>
      <w:proofErr w:type="gramStart"/>
      <w:r>
        <w:t>₂,₁</w:t>
      </w:r>
      <w:proofErr w:type="gramEnd"/>
      <w:r>
        <w:t xml:space="preserve">₉ = 12.93, </w:t>
      </w:r>
      <w:r w:rsidRPr="6434679C">
        <w:rPr>
          <w:i/>
          <w:iCs/>
        </w:rPr>
        <w:t>p</w:t>
      </w:r>
      <w:r>
        <w:t xml:space="preserve"> &lt; 0.001) </w:t>
      </w:r>
      <w:r w:rsidR="71B24B26">
        <w:t>and</w:t>
      </w:r>
      <w:r>
        <w:t xml:space="preserve"> varied significantly across sampling dates (F</w:t>
      </w:r>
      <w:proofErr w:type="gramStart"/>
      <w:r>
        <w:t>₃,₁</w:t>
      </w:r>
      <w:proofErr w:type="gramEnd"/>
      <w:r>
        <w:t xml:space="preserve">₉ = 3.44, </w:t>
      </w:r>
      <w:r w:rsidRPr="6434679C">
        <w:rPr>
          <w:i/>
          <w:iCs/>
        </w:rPr>
        <w:t>p</w:t>
      </w:r>
      <w:r>
        <w:t xml:space="preserve"> &lt; 0.05).</w:t>
      </w:r>
      <w:r w:rsidR="00405159">
        <w:t xml:space="preserve"> </w:t>
      </w:r>
      <w:r w:rsidR="00443E61" w:rsidRPr="00443E61">
        <w:t>Across all sampling dates, hydrozoan coverage on the basal blade segment remained negligible (&lt;2%), indicating minimal settlement in this zone. The mid-blade segment showed low but detectable colonisation in early May (~10–15%), which increased steadily to median values around 40% by mid-July.</w:t>
      </w:r>
      <w:r w:rsidR="00405159">
        <w:t xml:space="preserve"> </w:t>
      </w:r>
      <w:r w:rsidR="00443E61" w:rsidRPr="00443E61">
        <w:t>In contrast, the tip segment displayed both earlier and more intense fouling. By late May, coverage already exceeded 30%, rising sharply to &gt;85% by late June and reaching near-complete encrustation (&gt;90%) by mid-July. This consistently higher colonisation at the blade tip compared to mid and basal segments reflects a strong depth</w:t>
      </w:r>
      <w:r w:rsidR="00443E61" w:rsidRPr="00443E61">
        <w:rPr>
          <w:rFonts w:ascii="Cambria Math" w:hAnsi="Cambria Math" w:cs="Cambria Math"/>
        </w:rPr>
        <w:t>‐</w:t>
      </w:r>
      <w:r w:rsidR="00443E61" w:rsidRPr="00443E61">
        <w:t>related gradient in settlement intensity.</w:t>
      </w:r>
      <w:r w:rsidR="00405159">
        <w:t xml:space="preserve"> </w:t>
      </w:r>
      <w:r w:rsidR="00443E61">
        <w:t>Overall, these data show that hydrozoan colonisation of Saccharina blades follows a distinct vertical pattern, with the oldest, most distal tissue supporting the earliest and densest settlement, and younger basal tissue remaining largely un</w:t>
      </w:r>
      <w:r w:rsidR="66171419">
        <w:t xml:space="preserve">afflicted </w:t>
      </w:r>
      <w:r w:rsidR="00443E61">
        <w:t>throughout the season.</w:t>
      </w:r>
    </w:p>
    <w:p w14:paraId="4836A5C3" w14:textId="52ABB7C3" w:rsidR="4FDD748D" w:rsidRDefault="4FDD748D" w:rsidP="4FDD748D">
      <w:pPr>
        <w:jc w:val="both"/>
        <w:rPr>
          <w:b/>
          <w:bCs/>
        </w:rPr>
      </w:pPr>
    </w:p>
    <w:p w14:paraId="716B4653" w14:textId="0371EFB9" w:rsidR="000F49F1" w:rsidRDefault="000F49F1" w:rsidP="4FDD748D">
      <w:pPr>
        <w:jc w:val="both"/>
        <w:rPr>
          <w:b/>
          <w:bCs/>
        </w:rPr>
      </w:pPr>
      <w:r w:rsidRPr="4FDD748D">
        <w:rPr>
          <w:b/>
          <w:bCs/>
        </w:rPr>
        <w:lastRenderedPageBreak/>
        <w:t>Discussion</w:t>
      </w:r>
    </w:p>
    <w:p w14:paraId="7900B9C9" w14:textId="6B44D15A" w:rsidR="00B60FEA" w:rsidRDefault="00DF2643" w:rsidP="4FDD748D">
      <w:pPr>
        <w:jc w:val="both"/>
      </w:pPr>
      <w:r>
        <w:t>As the first of its kind study, we aligned eDNA metabarcoding, DNA barcoding, plankton microscopy and blade surveys across a full kelp production cycle to directly compare detection capacities and temporal resolutions. eDNA was demonstrated to be a powerful early-warning tool in detecting key epibionts weeks before observation</w:t>
      </w:r>
      <w:r w:rsidR="00720329">
        <w:t xml:space="preserve"> by plankton microscopy, and up to two months before colonisation on kelp blades. This pattern was most evident in </w:t>
      </w:r>
      <w:r w:rsidR="00390B8F">
        <w:t>Hydrozoans</w:t>
      </w:r>
      <w:r w:rsidR="00720329">
        <w:t>, where eDNA signals peaked in March and April, followed by elevated plankton counts in May and June and subsequent blade coverage maximums in July (F</w:t>
      </w:r>
      <w:r w:rsidR="00720329" w:rsidRPr="00720329">
        <w:t>ig. 3</w:t>
      </w:r>
      <w:r w:rsidR="00390B8F">
        <w:t xml:space="preserve">). These detection lags indicate a predictable seasonal window of infestation risk, with </w:t>
      </w:r>
      <w:r w:rsidR="00390B8F">
        <w:rPr>
          <w:i/>
          <w:iCs/>
        </w:rPr>
        <w:t xml:space="preserve">Saccharina latissima </w:t>
      </w:r>
      <w:r w:rsidR="00390B8F">
        <w:t xml:space="preserve">proving greater susceptibility to blade colonisation relative to </w:t>
      </w:r>
      <w:r w:rsidR="00390B8F">
        <w:rPr>
          <w:i/>
          <w:iCs/>
        </w:rPr>
        <w:t xml:space="preserve">Alaria esculenta </w:t>
      </w:r>
      <w:r w:rsidR="00390B8F">
        <w:t>(Fig. 8 and 9)</w:t>
      </w:r>
      <w:r w:rsidR="00390B8F">
        <w:rPr>
          <w:i/>
          <w:iCs/>
        </w:rPr>
        <w:t xml:space="preserve">. </w:t>
      </w:r>
      <w:r w:rsidR="00B1288D">
        <w:t>Relative to light microscopy survey</w:t>
      </w:r>
      <w:r w:rsidR="0098525C">
        <w:t>s</w:t>
      </w:r>
      <w:r w:rsidR="00B1288D">
        <w:t xml:space="preserve">, </w:t>
      </w:r>
      <w:r w:rsidR="00720329">
        <w:t xml:space="preserve">DNA barcoding (COI) and eDNA metabarcoding provided far higher taxonomic resolution </w:t>
      </w:r>
      <w:r w:rsidR="00B1288D">
        <w:t xml:space="preserve">of cryptic and early-stage species, notably </w:t>
      </w:r>
      <w:proofErr w:type="spellStart"/>
      <w:r w:rsidR="00B1288D" w:rsidRPr="00B1288D">
        <w:rPr>
          <w:i/>
          <w:iCs/>
        </w:rPr>
        <w:t>Bougainvillia</w:t>
      </w:r>
      <w:proofErr w:type="spellEnd"/>
      <w:r w:rsidR="00B1288D" w:rsidRPr="00B1288D">
        <w:rPr>
          <w:i/>
          <w:iCs/>
        </w:rPr>
        <w:t xml:space="preserve"> </w:t>
      </w:r>
      <w:proofErr w:type="spellStart"/>
      <w:r w:rsidR="00B1288D" w:rsidRPr="00B1288D">
        <w:rPr>
          <w:i/>
          <w:iCs/>
        </w:rPr>
        <w:t>muscus</w:t>
      </w:r>
      <w:proofErr w:type="spellEnd"/>
      <w:r w:rsidR="00B1288D" w:rsidRPr="00B1288D">
        <w:t xml:space="preserve">, </w:t>
      </w:r>
      <w:r w:rsidR="00B1288D" w:rsidRPr="00B1288D">
        <w:rPr>
          <w:i/>
          <w:iCs/>
        </w:rPr>
        <w:t xml:space="preserve">Clytia </w:t>
      </w:r>
      <w:proofErr w:type="spellStart"/>
      <w:r w:rsidR="00B1288D" w:rsidRPr="00B1288D">
        <w:rPr>
          <w:i/>
          <w:iCs/>
        </w:rPr>
        <w:t>hemisphaerica</w:t>
      </w:r>
      <w:proofErr w:type="spellEnd"/>
      <w:r w:rsidR="00B1288D" w:rsidRPr="00B1288D">
        <w:t xml:space="preserve">, </w:t>
      </w:r>
      <w:proofErr w:type="spellStart"/>
      <w:r w:rsidR="00B1288D" w:rsidRPr="00B1288D">
        <w:rPr>
          <w:i/>
          <w:iCs/>
        </w:rPr>
        <w:t>Jassa</w:t>
      </w:r>
      <w:proofErr w:type="spellEnd"/>
      <w:r w:rsidR="00B1288D" w:rsidRPr="00B1288D">
        <w:rPr>
          <w:i/>
          <w:iCs/>
        </w:rPr>
        <w:t xml:space="preserve"> </w:t>
      </w:r>
      <w:proofErr w:type="spellStart"/>
      <w:r w:rsidR="00B1288D" w:rsidRPr="00B1288D">
        <w:rPr>
          <w:i/>
          <w:iCs/>
        </w:rPr>
        <w:t>herdmani</w:t>
      </w:r>
      <w:proofErr w:type="spellEnd"/>
      <w:r w:rsidR="00B1288D">
        <w:t xml:space="preserve"> and </w:t>
      </w:r>
      <w:proofErr w:type="spellStart"/>
      <w:r w:rsidR="00B1288D" w:rsidRPr="00B1288D">
        <w:rPr>
          <w:i/>
          <w:iCs/>
        </w:rPr>
        <w:t>Hiatella</w:t>
      </w:r>
      <w:proofErr w:type="spellEnd"/>
      <w:r w:rsidR="00B1288D" w:rsidRPr="00B1288D">
        <w:rPr>
          <w:i/>
          <w:iCs/>
        </w:rPr>
        <w:t xml:space="preserve"> </w:t>
      </w:r>
      <w:proofErr w:type="spellStart"/>
      <w:r w:rsidR="00B1288D" w:rsidRPr="00B1288D">
        <w:rPr>
          <w:i/>
          <w:iCs/>
        </w:rPr>
        <w:t>arctica</w:t>
      </w:r>
      <w:proofErr w:type="spellEnd"/>
      <w:r w:rsidR="00B1288D">
        <w:rPr>
          <w:i/>
          <w:iCs/>
        </w:rPr>
        <w:t xml:space="preserve"> </w:t>
      </w:r>
      <w:r w:rsidR="00B1288D">
        <w:t xml:space="preserve">(Table. 1). Overall, </w:t>
      </w:r>
      <w:r w:rsidR="00636D6C">
        <w:t xml:space="preserve">plankton </w:t>
      </w:r>
      <w:r w:rsidR="00B1288D">
        <w:t>microscopy was only able to allocate taxa to the level of class or order while molecular tools identified to the species level (Table. 1).</w:t>
      </w:r>
      <w:r w:rsidR="00390B8F">
        <w:t xml:space="preserve"> Rope scrubs confirmed </w:t>
      </w:r>
      <w:r w:rsidR="0098525C">
        <w:t>presence of epibionts on farm infrastructure suggesting potential reservoirs/vectors for fouling activity (Table. 1). Comparisons of depth-related settlement patterns showed hydrozoan (</w:t>
      </w:r>
      <w:r w:rsidR="0098525C">
        <w:rPr>
          <w:i/>
          <w:iCs/>
        </w:rPr>
        <w:t>Obelia spp.</w:t>
      </w:r>
      <w:r w:rsidR="0098525C">
        <w:t xml:space="preserve">) fouling intensity to be significantly greater on blade tips which is positioned deepest in the water column, while basal regions remained largely free from fouling (Fig. 10). </w:t>
      </w:r>
    </w:p>
    <w:p w14:paraId="3E4C2B5A" w14:textId="7A24A5AA" w:rsidR="00885FB7" w:rsidRPr="00885FB7" w:rsidRDefault="00885FB7" w:rsidP="4FDD748D">
      <w:pPr>
        <w:jc w:val="both"/>
        <w:rPr>
          <w:i/>
          <w:iCs/>
        </w:rPr>
      </w:pPr>
      <w:r w:rsidRPr="00885FB7">
        <w:rPr>
          <w:i/>
          <w:iCs/>
        </w:rPr>
        <w:t>Enhanced taxonomic resolution via barcoding</w:t>
      </w:r>
    </w:p>
    <w:p w14:paraId="7573405F" w14:textId="4F773CB0" w:rsidR="00D31F6A" w:rsidRPr="00D31F6A" w:rsidRDefault="005F5104" w:rsidP="002B0DEA">
      <w:pPr>
        <w:jc w:val="both"/>
      </w:pPr>
      <w:r w:rsidRPr="005F5104">
        <w:t xml:space="preserve">Barcoding provided improved accuracy in epibiont identification relative to conventional morphological microscopy, generating species-level resolution for groups that were otherwise indistinguishable. </w:t>
      </w:r>
      <w:r w:rsidR="008C533B" w:rsidRPr="008C533B">
        <w:t>For example, several specimens were microscopically identified simply as “hydroids,” which would have grouped them collectively</w:t>
      </w:r>
      <w:r w:rsidR="008C533B">
        <w:t xml:space="preserve">. However, </w:t>
      </w:r>
      <w:r w:rsidR="008C533B" w:rsidRPr="008C533B">
        <w:t xml:space="preserve">COI barcoding confidently resolved them into distinct species including </w:t>
      </w:r>
      <w:proofErr w:type="spellStart"/>
      <w:r w:rsidR="008C533B" w:rsidRPr="008C533B">
        <w:rPr>
          <w:i/>
          <w:iCs/>
        </w:rPr>
        <w:t>Ectopleura</w:t>
      </w:r>
      <w:proofErr w:type="spellEnd"/>
      <w:r w:rsidR="008C533B" w:rsidRPr="008C533B">
        <w:rPr>
          <w:i/>
          <w:iCs/>
        </w:rPr>
        <w:t xml:space="preserve"> larynx</w:t>
      </w:r>
      <w:r w:rsidR="008C533B" w:rsidRPr="008C533B">
        <w:t xml:space="preserve">, </w:t>
      </w:r>
      <w:proofErr w:type="spellStart"/>
      <w:r w:rsidR="008C533B" w:rsidRPr="008C533B">
        <w:rPr>
          <w:i/>
          <w:iCs/>
        </w:rPr>
        <w:t>Bougainvillia</w:t>
      </w:r>
      <w:proofErr w:type="spellEnd"/>
      <w:r w:rsidR="008C533B" w:rsidRPr="008C533B">
        <w:rPr>
          <w:i/>
          <w:iCs/>
        </w:rPr>
        <w:t xml:space="preserve"> </w:t>
      </w:r>
      <w:proofErr w:type="spellStart"/>
      <w:r w:rsidR="008C533B" w:rsidRPr="008C533B">
        <w:rPr>
          <w:i/>
          <w:iCs/>
        </w:rPr>
        <w:t>muscus</w:t>
      </w:r>
      <w:proofErr w:type="spellEnd"/>
      <w:r w:rsidR="008C533B" w:rsidRPr="008C533B">
        <w:t xml:space="preserve">, and </w:t>
      </w:r>
      <w:r w:rsidR="008C533B" w:rsidRPr="008C533B">
        <w:rPr>
          <w:i/>
          <w:iCs/>
        </w:rPr>
        <w:t xml:space="preserve">Clytia </w:t>
      </w:r>
      <w:proofErr w:type="spellStart"/>
      <w:r w:rsidR="008C533B" w:rsidRPr="008C533B">
        <w:rPr>
          <w:i/>
          <w:iCs/>
        </w:rPr>
        <w:t>hemisphaerica</w:t>
      </w:r>
      <w:proofErr w:type="spellEnd"/>
      <w:r w:rsidR="008C533B" w:rsidRPr="008C533B">
        <w:t xml:space="preserve"> (Table 1). Conversely, there were cases where microscopy classified multiple specimens as separate taxa, but barcoding revealed them to be the same species, </w:t>
      </w:r>
      <w:r w:rsidR="008C533B">
        <w:t>e.g.</w:t>
      </w:r>
      <w:r w:rsidR="008C533B" w:rsidRPr="008C533B">
        <w:t xml:space="preserve"> </w:t>
      </w:r>
      <w:r w:rsidR="008C533B" w:rsidRPr="008C533B">
        <w:rPr>
          <w:i/>
          <w:iCs/>
        </w:rPr>
        <w:t xml:space="preserve">B. </w:t>
      </w:r>
      <w:proofErr w:type="spellStart"/>
      <w:r w:rsidR="008C533B" w:rsidRPr="008C533B">
        <w:rPr>
          <w:i/>
          <w:iCs/>
        </w:rPr>
        <w:t>muscus</w:t>
      </w:r>
      <w:proofErr w:type="spellEnd"/>
      <w:r w:rsidR="008C533B" w:rsidRPr="008C533B">
        <w:t xml:space="preserve"> (Table 1). These findings highlight the inherent challenges of morphology-based identification</w:t>
      </w:r>
      <w:r w:rsidR="0051521A">
        <w:t xml:space="preserve"> that DNA barcoding overcomes</w:t>
      </w:r>
      <w:r w:rsidR="008C533B">
        <w:t>. In particular, hydroid</w:t>
      </w:r>
      <w:r w:rsidR="0051521A">
        <w:t xml:space="preserve">s and bryozoan </w:t>
      </w:r>
      <w:r w:rsidR="008C533B">
        <w:t xml:space="preserve">stages are often small, cryptic or morphologically similar making them notoriously difficult </w:t>
      </w:r>
      <w:r w:rsidR="0051521A">
        <w:t xml:space="preserve">to identify to species level microscopically </w:t>
      </w:r>
      <w:r w:rsidR="0051521A">
        <w:fldChar w:fldCharType="begin"/>
      </w:r>
      <w:r w:rsidR="007A4AD1">
        <w:instrText xml:space="preserve"> ADDIN EN.CITE &lt;EndNote&gt;&lt;Cite&gt;&lt;Author&gt;Lee&lt;/Author&gt;&lt;Year&gt;2011&lt;/Year&gt;&lt;RecNum&gt;204&lt;/RecNum&gt;&lt;DisplayText&gt;(Lee et al., 2011, Schuchert, 2020)&lt;/DisplayText&gt;&lt;record&gt;&lt;rec-number&gt;204&lt;/rec-number&gt;&lt;foreign-keys&gt;&lt;key app="EN" db-id="sx0sxtzakvvzdwexr2k5a5s6fr2dv9dsvdf0" timestamp="1756384505" guid="fcaed5b8-88b2-469a-b239-990bb883d15d"&gt;204&lt;/key&gt;&lt;/foreign-keys&gt;&lt;ref-type name="Journal Article"&gt;17&lt;/ref-type&gt;&lt;contributors&gt;&lt;authors&gt;&lt;author&gt;Lee, Hyun-Jung&lt;/author&gt;&lt;author&gt;Kwan, Ye-Seul&lt;/author&gt;&lt;author&gt;Kong, So-Ra&lt;/author&gt;&lt;author&gt;Min, Bum-Sik&lt;/author&gt;&lt;author&gt;Seo, Ji-Eun&lt;/author&gt;&lt;author&gt;Won, Yong-Jin&lt;/author&gt;&lt;/authors&gt;&lt;/contributors&gt;&lt;titles&gt;&lt;title&gt;DNA Barcode Examination of Bryozoa (Class: Gymnolaemata) in Korean Seawater&lt;/title&gt;&lt;secondary-title&gt;Animal Systematics, Evolution and Diversity&lt;/secondary-title&gt;&lt;/titles&gt;&lt;periodical&gt;&lt;full-title&gt;Animal Systematics, Evolution and Diversity&lt;/full-title&gt;&lt;/periodical&gt;&lt;pages&gt;159-163&lt;/pages&gt;&lt;volume&gt;27&lt;/volume&gt;&lt;number&gt;2&lt;/number&gt;&lt;section&gt;159&lt;/section&gt;&lt;dates&gt;&lt;year&gt;2011&lt;/year&gt;&lt;/dates&gt;&lt;isbn&gt;2234-6953&lt;/isbn&gt;&lt;urls&gt;&lt;/urls&gt;&lt;electronic-resource-num&gt;10.5635/kjsz.2011.27.2.159&lt;/electronic-resource-num&gt;&lt;/record&gt;&lt;/Cite&gt;&lt;Cite&gt;&lt;Author&gt;Schuchert&lt;/Author&gt;&lt;Year&gt;2020&lt;/Year&gt;&lt;RecNum&gt;203&lt;/RecNum&gt;&lt;record&gt;&lt;rec-number&gt;203&lt;/rec-number&gt;&lt;foreign-keys&gt;&lt;key app="EN" db-id="sx0sxtzakvvzdwexr2k5a5s6fr2dv9dsvdf0" timestamp="1756384226" guid="84f7b4f0-9800-4f4c-ad0b-2d9f02b9e9f1"&gt;203&lt;/key&gt;&lt;/foreign-keys&gt;&lt;ref-type name="Journal Article"&gt;17&lt;/ref-type&gt;&lt;contributors&gt;&lt;authors&gt;&lt;author&gt;Schuchert, Peter&lt;/author&gt;&lt;/authors&gt;&lt;/contributors&gt;&lt;titles&gt;&lt;title&gt;DNA barcoding of some Pandeidae species (Cnidaria, Hydrozoa, Anthoathecata)&lt;/title&gt;&lt;secondary-title&gt;Revue suisse de Zoologie&lt;/secondary-title&gt;&lt;/titles&gt;&lt;periodical&gt;&lt;full-title&gt;Revue suisse de Zoologie&lt;/full-title&gt;&lt;/periodical&gt;&lt;pages&gt;101-127, 27&lt;/pages&gt;&lt;volume&gt;125&lt;/volume&gt;&lt;number&gt;1&lt;/number&gt;&lt;dates&gt;&lt;year&gt;2020&lt;/year&gt;&lt;/dates&gt;&lt;urls&gt;&lt;related-urls&gt;&lt;url&gt;https://doi.org/10.5281/zenodo.1196029&lt;/url&gt;&lt;/related-urls&gt;&lt;/urls&gt;&lt;/record&gt;&lt;/Cite&gt;&lt;/EndNote&gt;</w:instrText>
      </w:r>
      <w:r w:rsidR="0051521A">
        <w:fldChar w:fldCharType="separate"/>
      </w:r>
      <w:r w:rsidR="0051521A">
        <w:rPr>
          <w:noProof/>
        </w:rPr>
        <w:t>(Lee et al., 2011, Schuchert, 2020)</w:t>
      </w:r>
      <w:r w:rsidR="0051521A">
        <w:fldChar w:fldCharType="end"/>
      </w:r>
      <w:r w:rsidR="0051521A">
        <w:t>.</w:t>
      </w:r>
    </w:p>
    <w:p w14:paraId="17B1C5F4" w14:textId="3AA5CBBE" w:rsidR="00332DBE" w:rsidRDefault="005F5104" w:rsidP="002B0DEA">
      <w:pPr>
        <w:jc w:val="both"/>
      </w:pPr>
      <w:r w:rsidRPr="005F5104">
        <w:t>The</w:t>
      </w:r>
      <w:r>
        <w:t xml:space="preserve"> barcode</w:t>
      </w:r>
      <w:r w:rsidRPr="005F5104">
        <w:t xml:space="preserve"> identification of epibionts on rope infrastructure followed by their</w:t>
      </w:r>
      <w:r>
        <w:t xml:space="preserve"> observed</w:t>
      </w:r>
      <w:r w:rsidRPr="005F5104">
        <w:t xml:space="preserve"> colonisation o</w:t>
      </w:r>
      <w:r>
        <w:t>n</w:t>
      </w:r>
      <w:r w:rsidRPr="005F5104">
        <w:t xml:space="preserve"> kelp blades is significant, as it indicates that ropes may serve as reservoirs until blades reach a suitable size for settlement. </w:t>
      </w:r>
      <w:r w:rsidR="00A65EC7">
        <w:t>As</w:t>
      </w:r>
      <w:r w:rsidR="00A65EC7" w:rsidRPr="00A65EC7">
        <w:t xml:space="preserve"> ropes often remain submerged year-round, they may serve as persistent sources of larvae, facilitating colonisation once blade</w:t>
      </w:r>
      <w:r w:rsidR="00A65EC7">
        <w:t xml:space="preserve"> surfaces reach surface suitability</w:t>
      </w:r>
      <w:r w:rsidR="00A65EC7" w:rsidRPr="00A65EC7">
        <w:t xml:space="preserve">. This vector role of infrastructure in biofouling dynamics </w:t>
      </w:r>
      <w:r w:rsidR="00A65EC7">
        <w:t xml:space="preserve">is previously reported in shellfish and salmon operations and </w:t>
      </w:r>
      <w:r w:rsidR="00A65EC7" w:rsidRPr="00A65EC7">
        <w:t>suggests that farm</w:t>
      </w:r>
      <w:r w:rsidR="00A65EC7">
        <w:t>s</w:t>
      </w:r>
      <w:r w:rsidR="00A65EC7" w:rsidRPr="00A65EC7">
        <w:t xml:space="preserve"> could benefit from proactive rope management, such as cleaning</w:t>
      </w:r>
      <w:r w:rsidR="00A65EC7">
        <w:t>, air exposure or</w:t>
      </w:r>
      <w:r w:rsidR="00A65EC7" w:rsidRPr="00A65EC7">
        <w:t xml:space="preserve"> </w:t>
      </w:r>
      <w:r w:rsidR="0089497B">
        <w:t>chemical/heat treatment</w:t>
      </w:r>
      <w:r w:rsidR="00A65EC7" w:rsidRPr="00A65EC7">
        <w:t xml:space="preserve"> </w:t>
      </w:r>
      <w:r w:rsidR="0089497B">
        <w:t xml:space="preserve">prior to seeding </w:t>
      </w:r>
      <w:r w:rsidR="00A65EC7" w:rsidRPr="00A65EC7">
        <w:t xml:space="preserve">to mitigate </w:t>
      </w:r>
      <w:r w:rsidR="0089497B">
        <w:t>latter</w:t>
      </w:r>
      <w:r w:rsidR="00A65EC7" w:rsidRPr="00A65EC7">
        <w:t xml:space="preserve"> infestation</w:t>
      </w:r>
      <w:r w:rsidR="00A65EC7">
        <w:t xml:space="preserve"> </w:t>
      </w:r>
      <w:r w:rsidR="00A65EC7">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 </w:instrText>
      </w:r>
      <w:r w:rsidR="0051521A">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EN.CITE.DATA </w:instrText>
      </w:r>
      <w:r w:rsidR="0051521A">
        <w:fldChar w:fldCharType="end"/>
      </w:r>
      <w:r w:rsidR="00A65EC7">
        <w:fldChar w:fldCharType="separate"/>
      </w:r>
      <w:r w:rsidR="0089497B">
        <w:rPr>
          <w:noProof/>
        </w:rPr>
        <w:t>(Sievers et al., 2019, Hopkins et al., 2021)</w:t>
      </w:r>
      <w:r w:rsidR="00A65EC7">
        <w:fldChar w:fldCharType="end"/>
      </w:r>
      <w:r w:rsidR="00A65EC7">
        <w:t xml:space="preserve"> </w:t>
      </w:r>
      <w:r w:rsidR="00A65EC7" w:rsidRPr="00A65EC7">
        <w:t>.</w:t>
      </w:r>
    </w:p>
    <w:p w14:paraId="6CFCDE8F" w14:textId="65EF133C" w:rsidR="00332DBE" w:rsidRDefault="00885FB7" w:rsidP="00332DBE">
      <w:pPr>
        <w:pStyle w:val="EndNoteBibliography"/>
        <w:spacing w:after="0"/>
        <w:jc w:val="both"/>
        <w:rPr>
          <w:i/>
          <w:iCs/>
          <w:lang w:val="en-GB"/>
        </w:rPr>
      </w:pPr>
      <w:r w:rsidRPr="00885FB7">
        <w:rPr>
          <w:i/>
          <w:iCs/>
          <w:lang w:val="en-GB"/>
        </w:rPr>
        <w:t>Temporal lags between eDNA, plankton, and blade settlement</w:t>
      </w:r>
    </w:p>
    <w:p w14:paraId="405B9E92" w14:textId="77777777" w:rsidR="00885FB7" w:rsidRPr="005A1A91" w:rsidRDefault="00885FB7" w:rsidP="00332DBE">
      <w:pPr>
        <w:pStyle w:val="EndNoteBibliography"/>
        <w:spacing w:after="0"/>
        <w:jc w:val="both"/>
        <w:rPr>
          <w:lang w:val="en-GB"/>
        </w:rPr>
      </w:pPr>
    </w:p>
    <w:p w14:paraId="26D840EA" w14:textId="5B5C5FE0" w:rsidR="004F1D8E" w:rsidRDefault="00B01F31" w:rsidP="00332DBE">
      <w:pPr>
        <w:pStyle w:val="EndNoteBibliography"/>
        <w:spacing w:after="0"/>
        <w:jc w:val="both"/>
        <w:rPr>
          <w:lang w:val="en-GB"/>
        </w:rPr>
      </w:pPr>
      <w:r>
        <w:rPr>
          <w:lang w:val="en-GB"/>
        </w:rPr>
        <w:t>T</w:t>
      </w:r>
      <w:r w:rsidR="000563CE">
        <w:rPr>
          <w:lang w:val="en-GB"/>
        </w:rPr>
        <w:t xml:space="preserve">emporal lag strucutres between sampling methods did emerge with eDNA signals </w:t>
      </w:r>
      <w:r w:rsidR="0015199D">
        <w:rPr>
          <w:lang w:val="en-GB"/>
        </w:rPr>
        <w:t xml:space="preserve">being detected first, followed by plankton counts and finally blade settlement survey. </w:t>
      </w:r>
      <w:r w:rsidR="00426C69">
        <w:rPr>
          <w:lang w:val="en-GB"/>
        </w:rPr>
        <w:t>Of the taxa examined</w:t>
      </w:r>
      <w:r w:rsidR="00C9144D">
        <w:rPr>
          <w:lang w:val="en-GB"/>
        </w:rPr>
        <w:t xml:space="preserve">, </w:t>
      </w:r>
      <w:r w:rsidR="0067319E">
        <w:rPr>
          <w:lang w:val="en-GB"/>
        </w:rPr>
        <w:t>hydrozo</w:t>
      </w:r>
      <w:r w:rsidR="007D2401">
        <w:rPr>
          <w:lang w:val="en-GB"/>
        </w:rPr>
        <w:t>a</w:t>
      </w:r>
      <w:r w:rsidR="0067319E">
        <w:rPr>
          <w:lang w:val="en-GB"/>
        </w:rPr>
        <w:t>n</w:t>
      </w:r>
      <w:r w:rsidR="002731FA">
        <w:rPr>
          <w:lang w:val="en-GB"/>
        </w:rPr>
        <w:t>s</w:t>
      </w:r>
      <w:r w:rsidR="0067319E">
        <w:rPr>
          <w:lang w:val="en-GB"/>
        </w:rPr>
        <w:t xml:space="preserve"> sho</w:t>
      </w:r>
      <w:r w:rsidR="002731FA">
        <w:rPr>
          <w:lang w:val="en-GB"/>
        </w:rPr>
        <w:t>we</w:t>
      </w:r>
      <w:r w:rsidR="00426C69">
        <w:rPr>
          <w:lang w:val="en-GB"/>
        </w:rPr>
        <w:t>d</w:t>
      </w:r>
      <w:r w:rsidR="00BB48A5">
        <w:rPr>
          <w:lang w:val="en-GB"/>
        </w:rPr>
        <w:t xml:space="preserve"> the most pronounced</w:t>
      </w:r>
      <w:r w:rsidR="00426C69">
        <w:rPr>
          <w:lang w:val="en-GB"/>
        </w:rPr>
        <w:t xml:space="preserve"> eDNA peaks between March and April largely attributed to </w:t>
      </w:r>
      <w:r w:rsidR="00426C69">
        <w:rPr>
          <w:i/>
          <w:iCs/>
          <w:lang w:val="en-GB"/>
        </w:rPr>
        <w:t xml:space="preserve">Clytia </w:t>
      </w:r>
      <w:r w:rsidR="00426C69" w:rsidRPr="00426C69">
        <w:rPr>
          <w:i/>
          <w:iCs/>
          <w:lang w:val="en-GB"/>
        </w:rPr>
        <w:t xml:space="preserve">sp. </w:t>
      </w:r>
      <w:r w:rsidR="00426C69">
        <w:rPr>
          <w:i/>
          <w:iCs/>
          <w:lang w:val="en-GB"/>
        </w:rPr>
        <w:t xml:space="preserve">2 </w:t>
      </w:r>
      <w:r w:rsidR="00426C69">
        <w:rPr>
          <w:lang w:val="en-GB"/>
        </w:rPr>
        <w:t>and</w:t>
      </w:r>
      <w:r w:rsidR="00426C69">
        <w:rPr>
          <w:i/>
          <w:iCs/>
          <w:lang w:val="en-GB"/>
        </w:rPr>
        <w:t xml:space="preserve"> Bougainvillia muscus </w:t>
      </w:r>
      <w:r w:rsidR="00426C69">
        <w:rPr>
          <w:lang w:val="en-GB"/>
        </w:rPr>
        <w:t xml:space="preserve">(Fig. 3). This was followed by </w:t>
      </w:r>
      <w:r w:rsidR="00426C69">
        <w:rPr>
          <w:lang w:val="en-GB"/>
        </w:rPr>
        <w:lastRenderedPageBreak/>
        <w:t xml:space="preserve">microscopy maxima in May/June, followed by extensive colonisation </w:t>
      </w:r>
      <w:r w:rsidR="00426C69">
        <w:rPr>
          <w:i/>
          <w:iCs/>
          <w:lang w:val="en-GB"/>
        </w:rPr>
        <w:t xml:space="preserve">Saccharina </w:t>
      </w:r>
      <w:r w:rsidR="00426C69">
        <w:rPr>
          <w:lang w:val="en-GB"/>
        </w:rPr>
        <w:t xml:space="preserve">blades in July, with some blades exceeding 85% coverage (Fig. 3). </w:t>
      </w:r>
      <w:r w:rsidR="00BB48A5" w:rsidRPr="00BB48A5">
        <w:rPr>
          <w:lang w:val="en-GB"/>
        </w:rPr>
        <w:t xml:space="preserve">Bryozoans showed a similar though slightly less pronounced lag, with eDNA signals of </w:t>
      </w:r>
      <w:r w:rsidR="00BB48A5" w:rsidRPr="00BB48A5">
        <w:rPr>
          <w:i/>
          <w:iCs/>
          <w:lang w:val="en-GB"/>
        </w:rPr>
        <w:t>Celleporella hyalina</w:t>
      </w:r>
      <w:r w:rsidR="00BB48A5" w:rsidRPr="00BB48A5">
        <w:rPr>
          <w:lang w:val="en-GB"/>
        </w:rPr>
        <w:t xml:space="preserve"> appearing concurrently with elevated cyphonautes counts, which then rose sharply only a few weeks before blade coverage reached its peak.</w:t>
      </w:r>
      <w:r w:rsidR="00BB48A5">
        <w:rPr>
          <w:lang w:val="en-GB"/>
        </w:rPr>
        <w:t xml:space="preserve"> </w:t>
      </w:r>
      <w:r w:rsidR="00DB53E7">
        <w:rPr>
          <w:lang w:val="en-GB"/>
        </w:rPr>
        <w:t xml:space="preserve">Temporal offsets were most evident in hydrozoans and bryozoans which are known to exhbit strong seasonal recruitment pulses within temperate climates suggested to be driven by seasonal temperature and photoperiodic cues </w:t>
      </w:r>
      <w:r w:rsidR="00DB53E7">
        <w:rPr>
          <w:lang w:val="en-GB"/>
        </w:rPr>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DB53E7">
        <w:rPr>
          <w:lang w:val="en-GB"/>
        </w:rPr>
        <w:instrText xml:space="preserve"> ADDIN EN.CITE </w:instrText>
      </w:r>
      <w:r w:rsidR="00DB53E7">
        <w:rPr>
          <w:lang w:val="en-GB"/>
        </w:rPr>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DB53E7">
        <w:rPr>
          <w:lang w:val="en-GB"/>
        </w:rPr>
        <w:instrText xml:space="preserve"> ADDIN EN.CITE.DATA </w:instrText>
      </w:r>
      <w:r w:rsidR="00DB53E7">
        <w:rPr>
          <w:lang w:val="en-GB"/>
        </w:rPr>
      </w:r>
      <w:r w:rsidR="00DB53E7">
        <w:rPr>
          <w:lang w:val="en-GB"/>
        </w:rPr>
        <w:fldChar w:fldCharType="end"/>
      </w:r>
      <w:r w:rsidR="00DB53E7">
        <w:rPr>
          <w:lang w:val="en-GB"/>
        </w:rPr>
      </w:r>
      <w:r w:rsidR="00DB53E7">
        <w:rPr>
          <w:lang w:val="en-GB"/>
        </w:rPr>
        <w:fldChar w:fldCharType="separate"/>
      </w:r>
      <w:r w:rsidR="00DB53E7">
        <w:rPr>
          <w:lang w:val="en-GB"/>
        </w:rPr>
        <w:t>(Saunders and Metaxas, 2009, Forbord et al., 2020)</w:t>
      </w:r>
      <w:r w:rsidR="00DB53E7">
        <w:rPr>
          <w:lang w:val="en-GB"/>
        </w:rPr>
        <w:fldChar w:fldCharType="end"/>
      </w:r>
      <w:r w:rsidR="00DB53E7">
        <w:rPr>
          <w:lang w:val="en-GB"/>
        </w:rPr>
        <w:t xml:space="preserve">. </w:t>
      </w:r>
      <w:r w:rsidR="00426C69">
        <w:rPr>
          <w:lang w:val="en-GB"/>
        </w:rPr>
        <w:t>This illustrates the applicability of molecular tools for early-warning of infestation onset. In this case, providing</w:t>
      </w:r>
      <w:r w:rsidR="004F1D8E">
        <w:rPr>
          <w:lang w:val="en-GB"/>
        </w:rPr>
        <w:t xml:space="preserve"> a window of opportunity lasting</w:t>
      </w:r>
      <w:r w:rsidR="00426C69">
        <w:rPr>
          <w:lang w:val="en-GB"/>
        </w:rPr>
        <w:t xml:space="preserve"> several weeks to months</w:t>
      </w:r>
      <w:r w:rsidR="004F1D8E">
        <w:rPr>
          <w:lang w:val="en-GB"/>
        </w:rPr>
        <w:t xml:space="preserve"> where intervention management strategies such as selective harveting could be implemented to fully avoid fouling onset </w:t>
      </w:r>
      <w:r w:rsidR="004F1D8E">
        <w:rPr>
          <w:lang w:val="en-GB"/>
        </w:rPr>
        <w:fldChar w:fldCharType="begin"/>
      </w:r>
      <w:r w:rsidR="004F1D8E">
        <w:rPr>
          <w:lang w:val="en-GB"/>
        </w:rPr>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4F1D8E">
        <w:rPr>
          <w:lang w:val="en-GB"/>
        </w:rPr>
        <w:fldChar w:fldCharType="separate"/>
      </w:r>
      <w:r w:rsidR="004F1D8E">
        <w:rPr>
          <w:lang w:val="en-GB"/>
        </w:rPr>
        <w:t>(Bannister et al., 2019)</w:t>
      </w:r>
      <w:r w:rsidR="004F1D8E">
        <w:rPr>
          <w:lang w:val="en-GB"/>
        </w:rPr>
        <w:fldChar w:fldCharType="end"/>
      </w:r>
      <w:r w:rsidR="004F1D8E">
        <w:rPr>
          <w:lang w:val="en-GB"/>
        </w:rPr>
        <w:t>.</w:t>
      </w:r>
    </w:p>
    <w:p w14:paraId="463A0A6A" w14:textId="77777777" w:rsidR="00DB53E7" w:rsidRDefault="00DB53E7" w:rsidP="00332DBE">
      <w:pPr>
        <w:pStyle w:val="EndNoteBibliography"/>
        <w:spacing w:after="0"/>
        <w:jc w:val="both"/>
        <w:rPr>
          <w:lang w:val="en-GB"/>
        </w:rPr>
      </w:pPr>
    </w:p>
    <w:p w14:paraId="5238AA3D" w14:textId="76D27194" w:rsidR="0079001F" w:rsidRPr="0079001F" w:rsidRDefault="00DB53E7" w:rsidP="0079001F">
      <w:pPr>
        <w:pStyle w:val="EndNoteBibliography"/>
        <w:spacing w:after="0"/>
        <w:jc w:val="both"/>
      </w:pPr>
      <w:r>
        <w:rPr>
          <w:lang w:val="en-GB"/>
        </w:rPr>
        <w:t>T</w:t>
      </w:r>
      <w:r w:rsidR="004F1D8E">
        <w:rPr>
          <w:lang w:val="en-GB"/>
        </w:rPr>
        <w:t>h</w:t>
      </w:r>
      <w:r w:rsidR="00BB48A5">
        <w:rPr>
          <w:lang w:val="en-GB"/>
        </w:rPr>
        <w:t>e strength of seasonal lags between methods</w:t>
      </w:r>
      <w:r>
        <w:rPr>
          <w:lang w:val="en-GB"/>
        </w:rPr>
        <w:t xml:space="preserve"> differed</w:t>
      </w:r>
      <w:r w:rsidR="00BB48A5">
        <w:rPr>
          <w:lang w:val="en-GB"/>
        </w:rPr>
        <w:t xml:space="preserve"> among taxonomic groups</w:t>
      </w:r>
      <w:r>
        <w:rPr>
          <w:lang w:val="en-GB"/>
        </w:rPr>
        <w:t>. Overall, gastropods</w:t>
      </w:r>
      <w:r w:rsidR="005045BE">
        <w:rPr>
          <w:lang w:val="en-GB"/>
        </w:rPr>
        <w:t xml:space="preserve"> and</w:t>
      </w:r>
      <w:r>
        <w:rPr>
          <w:lang w:val="en-GB"/>
        </w:rPr>
        <w:t xml:space="preserve"> bivalves</w:t>
      </w:r>
      <w:r w:rsidR="005045BE">
        <w:rPr>
          <w:lang w:val="en-GB"/>
        </w:rPr>
        <w:t xml:space="preserve"> </w:t>
      </w:r>
      <w:r>
        <w:rPr>
          <w:lang w:val="en-GB"/>
        </w:rPr>
        <w:t>showed weaker o</w:t>
      </w:r>
      <w:r w:rsidR="004D3BAE">
        <w:rPr>
          <w:lang w:val="en-GB"/>
        </w:rPr>
        <w:t>r</w:t>
      </w:r>
      <w:r>
        <w:rPr>
          <w:lang w:val="en-GB"/>
        </w:rPr>
        <w:t xml:space="preserve"> less consistent</w:t>
      </w:r>
      <w:r w:rsidR="005045BE">
        <w:rPr>
          <w:lang w:val="en-GB"/>
        </w:rPr>
        <w:t xml:space="preserve"> temporal lags between method types and instead showed synchrony between eDNA, plankton and blade signals, particulalry for </w:t>
      </w:r>
      <w:r w:rsidR="005045BE">
        <w:rPr>
          <w:i/>
          <w:iCs/>
          <w:lang w:val="en-GB"/>
        </w:rPr>
        <w:t>Alaria</w:t>
      </w:r>
      <w:r w:rsidR="005045BE">
        <w:rPr>
          <w:lang w:val="en-GB"/>
        </w:rPr>
        <w:t xml:space="preserve"> samples (Figs. 4 and 6).</w:t>
      </w:r>
      <w:r w:rsidR="007E3E5A">
        <w:rPr>
          <w:lang w:val="en-GB"/>
        </w:rPr>
        <w:t xml:space="preserve"> This may be result of the more prolonged or opportunistic r</w:t>
      </w:r>
      <w:r w:rsidR="002D6EDD">
        <w:rPr>
          <w:lang w:val="en-GB"/>
        </w:rPr>
        <w:t>e</w:t>
      </w:r>
      <w:r w:rsidR="007E3E5A">
        <w:rPr>
          <w:lang w:val="en-GB"/>
        </w:rPr>
        <w:t>cruitem</w:t>
      </w:r>
      <w:r w:rsidR="002D6EDD">
        <w:rPr>
          <w:lang w:val="en-GB"/>
        </w:rPr>
        <w:t>e</w:t>
      </w:r>
      <w:r w:rsidR="007E3E5A">
        <w:rPr>
          <w:lang w:val="en-GB"/>
        </w:rPr>
        <w:t>nt dyn</w:t>
      </w:r>
      <w:r w:rsidR="002D6EDD">
        <w:rPr>
          <w:lang w:val="en-GB"/>
        </w:rPr>
        <w:t>a</w:t>
      </w:r>
      <w:r w:rsidR="007E3E5A">
        <w:rPr>
          <w:lang w:val="en-GB"/>
        </w:rPr>
        <w:t xml:space="preserve">mics </w:t>
      </w:r>
      <w:r w:rsidR="00F93C57">
        <w:rPr>
          <w:lang w:val="en-GB"/>
        </w:rPr>
        <w:t xml:space="preserve">that these taxa employ </w:t>
      </w:r>
      <w:r w:rsidR="002D6EDD">
        <w:rPr>
          <w:lang w:val="en-GB"/>
        </w:rPr>
        <w:t xml:space="preserve">as opposed to </w:t>
      </w:r>
      <w:r w:rsidR="00F93C57">
        <w:rPr>
          <w:lang w:val="en-GB"/>
        </w:rPr>
        <w:t>defined seasonal pulses.</w:t>
      </w:r>
      <w:r w:rsidR="0079001F" w:rsidRPr="0079001F">
        <w:rPr>
          <w:rFonts w:ascii="Times New Roman" w:eastAsia="Times New Roman" w:hAnsi="Times New Roman" w:cs="Times New Roman"/>
          <w:kern w:val="0"/>
          <w:sz w:val="24"/>
          <w:szCs w:val="24"/>
          <w:lang w:eastAsia="en-GB"/>
          <w14:ligatures w14:val="none"/>
        </w:rPr>
        <w:t xml:space="preserve"> </w:t>
      </w:r>
      <w:r w:rsidR="0079001F" w:rsidRPr="0079001F">
        <w:t xml:space="preserve">Settlement studies have shown that bivalves such as </w:t>
      </w:r>
      <w:r w:rsidR="0079001F" w:rsidRPr="0079001F">
        <w:rPr>
          <w:i/>
          <w:iCs/>
        </w:rPr>
        <w:t>Mytilus edulis</w:t>
      </w:r>
      <w:r w:rsidR="0079001F" w:rsidRPr="0079001F">
        <w:t xml:space="preserve"> can spawn repeatedly over extended periods, with settlement occurring continuously throughout the year (Garcia et al., 2003). Consistent with this</w:t>
      </w:r>
      <w:r w:rsidR="003D6918">
        <w:t xml:space="preserve"> study</w:t>
      </w:r>
      <w:r w:rsidR="0079001F" w:rsidRPr="0079001F">
        <w:t>, plankton microscopy</w:t>
      </w:r>
      <w:r w:rsidR="003D6918">
        <w:t xml:space="preserve"> </w:t>
      </w:r>
      <w:r w:rsidR="0079001F" w:rsidRPr="0079001F">
        <w:t>indicated that bivalve larvae were present during much of the study period</w:t>
      </w:r>
      <w:r w:rsidR="003D6918">
        <w:t xml:space="preserve">, </w:t>
      </w:r>
      <w:r w:rsidR="0079001F" w:rsidRPr="0079001F">
        <w:t>although this was n</w:t>
      </w:r>
      <w:r w:rsidR="003D6918">
        <w:t xml:space="preserve">ot </w:t>
      </w:r>
      <w:r w:rsidR="0079001F" w:rsidRPr="0079001F">
        <w:t>reflected in the eDNA dataset</w:t>
      </w:r>
      <w:r w:rsidR="003D6918">
        <w:t xml:space="preserve"> </w:t>
      </w:r>
      <w:r w:rsidR="003D6918" w:rsidRPr="0079001F">
        <w:t>(Fig. 4)</w:t>
      </w:r>
      <w:r w:rsidR="0079001F" w:rsidRPr="0079001F">
        <w:t>.</w:t>
      </w:r>
      <w:r w:rsidR="003D6918">
        <w:t xml:space="preserve"> This</w:t>
      </w:r>
      <w:r w:rsidR="0079001F" w:rsidRPr="0079001F">
        <w:t xml:space="preserve"> life-history traits help explain the lack of clear sequential phases across methods for </w:t>
      </w:r>
      <w:r w:rsidR="003D6918">
        <w:t>bivla\ves</w:t>
      </w:r>
      <w:r w:rsidR="0079001F" w:rsidRPr="0079001F">
        <w:t>, in contrast to the more seasonally pulsed recruitment observed in hydrozoans and bryozoans.</w:t>
      </w:r>
    </w:p>
    <w:p w14:paraId="62E7BCDA" w14:textId="5984165E" w:rsidR="0079001F" w:rsidRPr="0079001F" w:rsidRDefault="003D6918" w:rsidP="0079001F">
      <w:pPr>
        <w:pStyle w:val="EndNoteBibliography"/>
        <w:spacing w:after="0"/>
        <w:jc w:val="both"/>
      </w:pPr>
      <w:r>
        <w:t>Overall, t</w:t>
      </w:r>
      <w:r w:rsidR="0079001F" w:rsidRPr="0079001F">
        <w:t>his suggests that the strength of eDNA as an early-warning tool is greatest for taxa with distinct, seasonally synchronised recruitment events</w:t>
      </w:r>
      <w:r>
        <w:t xml:space="preserve"> relative to </w:t>
      </w:r>
      <w:r w:rsidR="0079001F" w:rsidRPr="0079001F">
        <w:t>groups with extended or continuous reproduction</w:t>
      </w:r>
      <w:r>
        <w:t>.</w:t>
      </w:r>
      <w:r w:rsidR="0079001F" w:rsidRPr="0079001F">
        <w:t xml:space="preserve"> </w:t>
      </w:r>
      <w:r>
        <w:t xml:space="preserve">Metabarcoding does </w:t>
      </w:r>
      <w:r w:rsidR="0079001F" w:rsidRPr="0079001F">
        <w:t>provides a valuable complementary perspective but does not necessarily extend the temporal resolution offered by microscopy and blade monitoring</w:t>
      </w:r>
      <w:r>
        <w:t xml:space="preserve"> for all biofouling taxa problematic to seaweed aquaculture. </w:t>
      </w:r>
    </w:p>
    <w:p w14:paraId="2DB15A64" w14:textId="6F44D71A" w:rsidR="00332DBE" w:rsidRDefault="00332DBE" w:rsidP="0079001F">
      <w:pPr>
        <w:pStyle w:val="EndNoteBibliography"/>
        <w:spacing w:after="0"/>
        <w:jc w:val="both"/>
        <w:rPr>
          <w:lang w:val="en-GB"/>
        </w:rPr>
      </w:pPr>
    </w:p>
    <w:p w14:paraId="208A5E37" w14:textId="58F769F6" w:rsidR="00885FB7" w:rsidRDefault="00410827" w:rsidP="00332DBE">
      <w:pPr>
        <w:jc w:val="both"/>
      </w:pPr>
      <w:r w:rsidRPr="00410827">
        <w:rPr>
          <w:rFonts w:ascii="Aptos" w:hAnsi="Aptos"/>
          <w:noProof/>
        </w:rPr>
        <w:t xml:space="preserve">Among amphipods, </w:t>
      </w:r>
      <w:r w:rsidRPr="00410827">
        <w:rPr>
          <w:rFonts w:ascii="Aptos" w:hAnsi="Aptos"/>
          <w:i/>
          <w:iCs/>
          <w:noProof/>
        </w:rPr>
        <w:t>Jassa herdmani</w:t>
      </w:r>
      <w:r w:rsidRPr="00410827">
        <w:rPr>
          <w:rFonts w:ascii="Aptos" w:hAnsi="Aptos"/>
          <w:noProof/>
        </w:rPr>
        <w:t xml:space="preserve"> provided one of the clearest examples of a temporal lag structure across methods. eDNA first detected the species in March, followed by a pronounced peak in April. This preceded a distinct rise in planktonic amphipod abundance recorded in microscopy samples in May, and ultimately culminated in substantial blade colonisation on </w:t>
      </w:r>
      <w:r w:rsidRPr="00410827">
        <w:rPr>
          <w:rFonts w:ascii="Aptos" w:hAnsi="Aptos"/>
          <w:i/>
          <w:iCs/>
          <w:noProof/>
        </w:rPr>
        <w:t>Saccharina</w:t>
      </w:r>
      <w:r w:rsidRPr="00410827">
        <w:rPr>
          <w:rFonts w:ascii="Aptos" w:hAnsi="Aptos"/>
          <w:noProof/>
        </w:rPr>
        <w:t xml:space="preserve"> in late July</w:t>
      </w:r>
      <w:r w:rsidR="007C37B1">
        <w:rPr>
          <w:rFonts w:ascii="Aptos" w:hAnsi="Aptos"/>
          <w:noProof/>
        </w:rPr>
        <w:t xml:space="preserve"> which was confirmed cia COI barcoding (Table 1)</w:t>
      </w:r>
      <w:r w:rsidRPr="00410827">
        <w:rPr>
          <w:rFonts w:ascii="Aptos" w:hAnsi="Aptos"/>
          <w:noProof/>
        </w:rPr>
        <w:t xml:space="preserve">. This stepwise progression highlights the capacity of molecular approaches to identify </w:t>
      </w:r>
      <w:r w:rsidRPr="00410827">
        <w:rPr>
          <w:rFonts w:ascii="Aptos" w:hAnsi="Aptos"/>
          <w:i/>
          <w:iCs/>
          <w:noProof/>
        </w:rPr>
        <w:t>J. herdmani</w:t>
      </w:r>
      <w:r w:rsidRPr="00410827">
        <w:rPr>
          <w:rFonts w:ascii="Aptos" w:hAnsi="Aptos"/>
          <w:noProof/>
        </w:rPr>
        <w:t xml:space="preserve"> several months before visible fouling occurs on blades. Furthermore, </w:t>
      </w:r>
      <w:r w:rsidRPr="00410827">
        <w:rPr>
          <w:rFonts w:ascii="Aptos" w:hAnsi="Aptos"/>
          <w:i/>
          <w:iCs/>
          <w:noProof/>
        </w:rPr>
        <w:t>Alaria</w:t>
      </w:r>
      <w:r w:rsidRPr="00410827">
        <w:rPr>
          <w:rFonts w:ascii="Aptos" w:hAnsi="Aptos"/>
          <w:noProof/>
        </w:rPr>
        <w:t xml:space="preserve"> blades exhibited earlier but lower-intensity colonisation in May, whereas </w:t>
      </w:r>
      <w:r w:rsidRPr="00410827">
        <w:rPr>
          <w:rFonts w:ascii="Aptos" w:hAnsi="Aptos"/>
          <w:i/>
          <w:iCs/>
          <w:noProof/>
        </w:rPr>
        <w:t>Saccharina</w:t>
      </w:r>
      <w:r w:rsidRPr="00410827">
        <w:rPr>
          <w:rFonts w:ascii="Aptos" w:hAnsi="Aptos"/>
          <w:noProof/>
        </w:rPr>
        <w:t xml:space="preserve"> supported a later yet considerably denser infestation, suggesting differences in host-specific susceptibility and timing of amphipod settlement.</w:t>
      </w:r>
      <w:r w:rsidR="007C37B1" w:rsidRPr="007C37B1">
        <w:rPr>
          <w:rFonts w:ascii="Aptos" w:eastAsia="Aptos" w:hAnsi="Aptos" w:cs="Arial"/>
        </w:rPr>
        <w:t xml:space="preserve"> </w:t>
      </w:r>
      <w:r w:rsidR="007C37B1" w:rsidRPr="4FDD748D">
        <w:rPr>
          <w:rFonts w:ascii="Aptos" w:eastAsia="Aptos" w:hAnsi="Aptos" w:cs="Arial"/>
        </w:rPr>
        <w:t xml:space="preserve">Other amphipod detections, including </w:t>
      </w:r>
      <w:proofErr w:type="spellStart"/>
      <w:r w:rsidR="007C37B1" w:rsidRPr="4FDD748D">
        <w:rPr>
          <w:rFonts w:ascii="Aptos" w:eastAsia="Aptos" w:hAnsi="Aptos" w:cs="Arial"/>
        </w:rPr>
        <w:t>Caprellidae</w:t>
      </w:r>
      <w:proofErr w:type="spellEnd"/>
      <w:r w:rsidR="007C37B1" w:rsidRPr="4FDD748D">
        <w:rPr>
          <w:rFonts w:ascii="Aptos" w:eastAsia="Aptos" w:hAnsi="Aptos" w:cs="Arial"/>
        </w:rPr>
        <w:t xml:space="preserve"> and Gammaridae, were observed on blades but not identified </w:t>
      </w:r>
      <w:r w:rsidR="007C37B1">
        <w:rPr>
          <w:rFonts w:ascii="Aptos" w:eastAsia="Aptos" w:hAnsi="Aptos" w:cs="Arial"/>
        </w:rPr>
        <w:t>through</w:t>
      </w:r>
      <w:r w:rsidR="007C37B1" w:rsidRPr="4FDD748D">
        <w:rPr>
          <w:rFonts w:ascii="Aptos" w:eastAsia="Aptos" w:hAnsi="Aptos" w:cs="Arial"/>
        </w:rPr>
        <w:t xml:space="preserve"> eDNA</w:t>
      </w:r>
      <w:r w:rsidR="007C37B1">
        <w:rPr>
          <w:rFonts w:ascii="Aptos" w:eastAsia="Aptos" w:hAnsi="Aptos" w:cs="Arial"/>
        </w:rPr>
        <w:t xml:space="preserve"> which </w:t>
      </w:r>
      <w:r w:rsidR="007C37B1" w:rsidRPr="4FDD748D">
        <w:rPr>
          <w:rFonts w:ascii="Aptos" w:eastAsia="Aptos" w:hAnsi="Aptos" w:cs="Arial"/>
        </w:rPr>
        <w:t>sugges</w:t>
      </w:r>
      <w:r w:rsidR="007C37B1">
        <w:rPr>
          <w:rFonts w:ascii="Aptos" w:eastAsia="Aptos" w:hAnsi="Aptos" w:cs="Arial"/>
        </w:rPr>
        <w:t xml:space="preserve">ts </w:t>
      </w:r>
      <w:r w:rsidR="007C37B1" w:rsidRPr="4FDD748D">
        <w:rPr>
          <w:rFonts w:ascii="Aptos" w:eastAsia="Aptos" w:hAnsi="Aptos" w:cs="Arial"/>
        </w:rPr>
        <w:t xml:space="preserve">either low eDNA shedding or database limitations. </w:t>
      </w:r>
    </w:p>
    <w:p w14:paraId="1F1467A3" w14:textId="617E87AF" w:rsidR="00410827" w:rsidRDefault="009A7513" w:rsidP="009A7513">
      <w:pPr>
        <w:jc w:val="both"/>
      </w:pPr>
      <w:r>
        <w:t>Although not distinctly identified by plankton microscopy, the eDNA dataset revealed presence of larvae or free-</w:t>
      </w:r>
      <w:r w:rsidR="00CF40FE">
        <w:t>floating</w:t>
      </w:r>
      <w:r>
        <w:t xml:space="preserve"> DNA from the gastropod nudibranch </w:t>
      </w:r>
      <w:r>
        <w:rPr>
          <w:i/>
          <w:iCs/>
        </w:rPr>
        <w:t>Doto coronata</w:t>
      </w:r>
      <w:r>
        <w:t xml:space="preserve">, a known predator of hydroids, including those of the genus </w:t>
      </w:r>
      <w:r>
        <w:rPr>
          <w:i/>
          <w:iCs/>
        </w:rPr>
        <w:t xml:space="preserve">Clytia </w:t>
      </w:r>
      <w:r>
        <w:rPr>
          <w:i/>
          <w:iCs/>
        </w:rPr>
        <w:fldChar w:fldCharType="begin"/>
      </w:r>
      <w:r w:rsidR="005B3A22">
        <w:rPr>
          <w:i/>
          <w:iCs/>
        </w:rPr>
        <w:instrText xml:space="preserve"> ADDIN EN.CITE &lt;EndNote&gt;&lt;Cite&gt;&lt;Author&gt;Martinsson&lt;/Author&gt;&lt;Year&gt;2021&lt;/Year&gt;&lt;RecNum&gt;214&lt;/RecNum&gt;&lt;DisplayText&gt;(Martinsson et al., 2021)&lt;/DisplayText&gt;&lt;record&gt;&lt;rec-number&gt;214&lt;/rec-number&gt;&lt;foreign-keys&gt;&lt;key app="EN" db-id="sx0sxtzakvvzdwexr2k5a5s6fr2dv9dsvdf0" timestamp="1756477379" guid="cb61b78c-527c-4ca5-b481-955e19af0dfe"&gt;214&lt;/key&gt;&lt;/foreign-keys&gt;&lt;ref-type name="Journal Article"&gt;17&lt;/ref-type&gt;&lt;contributors&gt;&lt;authors&gt;&lt;author&gt;Martinsson, Svante&lt;/author&gt;&lt;author&gt;Malmberg, Klas&lt;/author&gt;&lt;author&gt;Bakken, Torkild&lt;/author&gt;&lt;author&gt;Korshunova, Tatiana&lt;/author&gt;&lt;author&gt;Martynov, Alexander&lt;/author&gt;&lt;author&gt;Lundin, Kennet&lt;/author&gt;&lt;/authors&gt;&lt;/contributors&gt;&lt;titles&gt;&lt;title&gt;Species delimitation and phylogeny of&amp;#xD; Doto (Nudibranchia: Dotidae) from the Northeast Atlantic, with a discussion on food specialization&lt;/title&gt;&lt;secondary-title&gt;Journal of Zoological Systematics and Evolutionary Research&lt;/secondary-title&gt;&lt;/titles&gt;&lt;periodical&gt;&lt;full-title&gt;Journal of Zoological Systematics and Evolutionary Research&lt;/full-title&gt;&lt;/periodical&gt;&lt;pages&gt;1754-1774&lt;/pages&gt;&lt;volume&gt;59&lt;/volume&gt;&lt;number&gt;8&lt;/number&gt;&lt;section&gt;1754&lt;/section&gt;&lt;dates&gt;&lt;year&gt;2021&lt;/year&gt;&lt;/dates&gt;&lt;isbn&gt;0947-5745&amp;#xD;1439-0469&lt;/isbn&gt;&lt;urls&gt;&lt;/urls&gt;&lt;electronic-resource-num&gt;10.1111/jzs.12561&lt;/electronic-resource-num&gt;&lt;/record&gt;&lt;/Cite&gt;&lt;/EndNote&gt;</w:instrText>
      </w:r>
      <w:r>
        <w:rPr>
          <w:i/>
          <w:iCs/>
        </w:rPr>
        <w:fldChar w:fldCharType="separate"/>
      </w:r>
      <w:r>
        <w:rPr>
          <w:i/>
          <w:iCs/>
          <w:noProof/>
        </w:rPr>
        <w:t>(Martinsson et al., 2021)</w:t>
      </w:r>
      <w:r>
        <w:rPr>
          <w:i/>
          <w:iCs/>
        </w:rPr>
        <w:fldChar w:fldCharType="end"/>
      </w:r>
      <w:r>
        <w:rPr>
          <w:i/>
          <w:iCs/>
        </w:rPr>
        <w:t xml:space="preserve">. </w:t>
      </w:r>
      <w:r>
        <w:t xml:space="preserve">Here, </w:t>
      </w:r>
      <w:r>
        <w:rPr>
          <w:i/>
          <w:iCs/>
        </w:rPr>
        <w:t xml:space="preserve">D. coronata, </w:t>
      </w:r>
      <w:r>
        <w:t xml:space="preserve">was detected in in March eDNA samples concurrent with </w:t>
      </w:r>
      <w:r>
        <w:rPr>
          <w:i/>
          <w:iCs/>
        </w:rPr>
        <w:t xml:space="preserve">Clytia sp. </w:t>
      </w:r>
      <w:r>
        <w:t xml:space="preserve">signals (Fig. 3 and 5). This co-occurrence implies that predator-prey interactions may already be shaping </w:t>
      </w:r>
      <w:r w:rsidR="007C37B1">
        <w:t>early-stage</w:t>
      </w:r>
      <w:r>
        <w:t xml:space="preserve"> biofouling communities. Trophic dynamics such as these are difficult to capture though visual techniques but can be inferred from molecular approaches, </w:t>
      </w:r>
      <w:r w:rsidR="007C37B1">
        <w:t>highlighting</w:t>
      </w:r>
      <w:r>
        <w:t xml:space="preserve"> their potential in not only revealing fouling taxa diversity but also </w:t>
      </w:r>
      <w:r w:rsidR="007C37B1">
        <w:t xml:space="preserve">their ecological relationships. </w:t>
      </w:r>
      <w:r>
        <w:t xml:space="preserve">  </w:t>
      </w:r>
    </w:p>
    <w:p w14:paraId="35623D25" w14:textId="77777777" w:rsidR="00CF40FE" w:rsidRDefault="00CF40FE" w:rsidP="009A7513">
      <w:pPr>
        <w:jc w:val="both"/>
      </w:pPr>
    </w:p>
    <w:p w14:paraId="4AD87272" w14:textId="482E937D" w:rsidR="00410827" w:rsidRDefault="007C37B1" w:rsidP="4FDD748D">
      <w:pPr>
        <w:rPr>
          <w:rFonts w:ascii="Aptos" w:eastAsia="Aptos" w:hAnsi="Aptos" w:cs="Arial"/>
        </w:rPr>
      </w:pPr>
      <w:r w:rsidRPr="4FDD748D">
        <w:rPr>
          <w:rFonts w:ascii="Aptos" w:eastAsia="Aptos" w:hAnsi="Aptos" w:cs="Arial"/>
        </w:rPr>
        <w:t xml:space="preserve">Overall, the integration of methods revealed both </w:t>
      </w:r>
      <w:r>
        <w:rPr>
          <w:rFonts w:ascii="Aptos" w:eastAsia="Aptos" w:hAnsi="Aptos" w:cs="Arial"/>
        </w:rPr>
        <w:t>clear alignment</w:t>
      </w:r>
      <w:r w:rsidRPr="4FDD748D">
        <w:rPr>
          <w:rFonts w:ascii="Aptos" w:eastAsia="Aptos" w:hAnsi="Aptos" w:cs="Arial"/>
        </w:rPr>
        <w:t xml:space="preserve"> and important mismatches, underscoring the strengths of eDNA for early detection and taxonomic specificity</w:t>
      </w:r>
      <w:r>
        <w:rPr>
          <w:rFonts w:ascii="Aptos" w:eastAsia="Aptos" w:hAnsi="Aptos" w:cs="Arial"/>
        </w:rPr>
        <w:t xml:space="preserve"> as well as highlight the complementary </w:t>
      </w:r>
      <w:r w:rsidRPr="4FDD748D">
        <w:rPr>
          <w:rFonts w:ascii="Aptos" w:eastAsia="Aptos" w:hAnsi="Aptos" w:cs="Arial"/>
        </w:rPr>
        <w:t xml:space="preserve">value of microscopy and blade surveys </w:t>
      </w:r>
      <w:r>
        <w:rPr>
          <w:rFonts w:ascii="Aptos" w:eastAsia="Aptos" w:hAnsi="Aptos" w:cs="Arial"/>
        </w:rPr>
        <w:t>in</w:t>
      </w:r>
      <w:r w:rsidRPr="4FDD748D">
        <w:rPr>
          <w:rFonts w:ascii="Aptos" w:eastAsia="Aptos" w:hAnsi="Aptos" w:cs="Arial"/>
        </w:rPr>
        <w:t xml:space="preserve"> confirming physical presence and quantifying settlement intensity.</w:t>
      </w:r>
    </w:p>
    <w:p w14:paraId="601B9058" w14:textId="77777777" w:rsidR="005B3A22" w:rsidRPr="00885FB7" w:rsidRDefault="005B3A22" w:rsidP="005B3A22">
      <w:pPr>
        <w:jc w:val="both"/>
        <w:rPr>
          <w:i/>
          <w:iCs/>
        </w:rPr>
      </w:pPr>
      <w:r w:rsidRPr="00885FB7">
        <w:rPr>
          <w:i/>
          <w:iCs/>
        </w:rPr>
        <w:t>eDNA vs microscopy – detection efficiency and mismatches</w:t>
      </w:r>
    </w:p>
    <w:p w14:paraId="1C7D64AD" w14:textId="77777777" w:rsidR="005B3A22" w:rsidRDefault="005B3A22" w:rsidP="005B3A22">
      <w:pPr>
        <w:jc w:val="both"/>
      </w:pPr>
      <w:r w:rsidRPr="005F5104">
        <w:t xml:space="preserve">This mirrors findings from a comparable study of fouling communities on settlement plates in a Portuguese port where metabarcoding consistently outperformed morphological identification, </w:t>
      </w:r>
      <w:r>
        <w:t>providing</w:t>
      </w:r>
      <w:r w:rsidRPr="005F5104">
        <w:t xml:space="preserve"> a far greater diversity of taxa and highlighting cryptic species that microscopy overlooked</w:t>
      </w:r>
      <w:r>
        <w:t xml:space="preserve"> </w:t>
      </w:r>
      <w:r>
        <w:fldChar w:fldCharType="begin"/>
      </w:r>
      <w:r>
        <w:instrText xml:space="preserve"> ADDIN EN.CITE &lt;EndNote&gt;&lt;Cite&gt;&lt;Author&gt;Azevedo&lt;/Author&gt;&lt;Year&gt;2020&lt;/Year&gt;&lt;RecNum&gt;199&lt;/RecNum&gt;&lt;DisplayText&gt;(Azevedo et al., 2020)&lt;/DisplayText&gt;&lt;record&gt;&lt;rec-number&gt;199&lt;/rec-number&gt;&lt;foreign-keys&gt;&lt;key app="EN" db-id="sx0sxtzakvvzdwexr2k5a5s6fr2dv9dsvdf0" timestamp="1756379533" guid="db737671-81ab-4b16-b5da-960c1c480c2f"&gt;199&lt;/key&gt;&lt;/foreign-keys&gt;&lt;ref-type name="Journal Article"&gt;17&lt;/ref-type&gt;&lt;contributors&gt;&lt;authors&gt;&lt;author&gt;Azevedo, J.&lt;/author&gt;&lt;author&gt;Antunes, J. T.&lt;/author&gt;&lt;author&gt;Machado, A. M.&lt;/author&gt;&lt;author&gt;Vasconcelos, V.&lt;/author&gt;&lt;author&gt;Leao, P. N.&lt;/author&gt;&lt;author&gt;Froufe, E.&lt;/author&gt;&lt;/authors&gt;&lt;/contributors&gt;&lt;auth-address&gt;Interdisciplinary Centre of Marine and Environmental Research, CIIMAR/CIMAR, Matosinhos, Portugal.&amp;#xD;Faculty of Sciences, University of Porto, Porto, Portugal.&amp;#xD;Interdisciplinary Centre of Marine and Environmental Research, CIIMAR/CIMAR, Matosinhos, Portugal. pleao@ciimar.up.pt.&amp;#xD;Interdisciplinary Centre of Marine and Environmental Research, CIIMAR/CIMAR, Matosinhos, Portugal. elsafroufe@gmail.com.&lt;/auth-address&gt;&lt;titles&gt;&lt;title&gt;Monitoring of biofouling communities in a Portuguese port using a combined morphological and metabarcoding approach&lt;/title&gt;&lt;secondary-title&gt;Sci Rep&lt;/secondary-title&gt;&lt;/titles&gt;&lt;periodical&gt;&lt;full-title&gt;Sci Rep&lt;/full-title&gt;&lt;/periodical&gt;&lt;pages&gt;13461&lt;/pages&gt;&lt;volume&gt;10&lt;/volume&gt;&lt;number&gt;1&lt;/number&gt;&lt;edition&gt;20200810&lt;/edition&gt;&lt;dates&gt;&lt;year&gt;2020&lt;/year&gt;&lt;pub-dates&gt;&lt;date&gt;Aug 10&lt;/date&gt;&lt;/pub-dates&gt;&lt;/dates&gt;&lt;isbn&gt;2045-2322 (Electronic)&amp;#xD;2045-2322 (Linking)&lt;/isbn&gt;&lt;accession-num&gt;32778680&lt;/accession-num&gt;&lt;urls&gt;&lt;related-urls&gt;&lt;url&gt;https://www.ncbi.nlm.nih.gov/pubmed/32778680&lt;/url&gt;&lt;/related-urls&gt;&lt;/urls&gt;&lt;custom1&gt;The authors declare no competing interests.&lt;/custom1&gt;&lt;custom2&gt;PMC7417558&lt;/custom2&gt;&lt;electronic-resource-num&gt;10.1038/s41598-020-70307-4&lt;/electronic-resource-num&gt;&lt;remote-database-name&gt;PubMed-not-MEDLINE&lt;/remote-database-name&gt;&lt;remote-database-provider&gt;NLM&lt;/remote-database-provider&gt;&lt;/record&gt;&lt;/Cite&gt;&lt;/EndNote&gt;</w:instrText>
      </w:r>
      <w:r>
        <w:fldChar w:fldCharType="separate"/>
      </w:r>
      <w:r>
        <w:rPr>
          <w:noProof/>
        </w:rPr>
        <w:t>(Azevedo et al., 2020)</w:t>
      </w:r>
      <w:r>
        <w:fldChar w:fldCharType="end"/>
      </w:r>
      <w:r w:rsidRPr="005F5104">
        <w:t xml:space="preserve">. </w:t>
      </w:r>
      <w:r w:rsidRPr="003A263E">
        <w:t>Although the degree of improvement varied across groups, metabarcoding consistently provided substantially higher taxonomic resolution than microscopy. For hydrozoans, eDNA resolved 25 distinct taxa, whereas microscopy identified only the broad class “</w:t>
      </w:r>
      <w:proofErr w:type="spellStart"/>
      <w:r w:rsidRPr="003A263E">
        <w:t>Hydrozoa</w:t>
      </w:r>
      <w:proofErr w:type="spellEnd"/>
      <w:r w:rsidRPr="003A263E">
        <w:t>.</w:t>
      </w:r>
      <w:r>
        <w:t xml:space="preserve"> (Fig. 3).</w:t>
      </w:r>
      <w:r w:rsidRPr="003A263E">
        <w:t xml:space="preserve"> A similar contrast was seen for gastropods, with microscopy limited to class-level larvae while eDNA detected 22 individual species</w:t>
      </w:r>
      <w:r>
        <w:t xml:space="preserve"> (Fig. 6)</w:t>
      </w:r>
      <w:r w:rsidRPr="003A263E">
        <w:t xml:space="preserve">. In comparison, bryozoans, bivalves, and amphipods yielded more modest </w:t>
      </w:r>
      <w:r>
        <w:t>results</w:t>
      </w:r>
      <w:r w:rsidRPr="003A263E">
        <w:t>, with eDNA detecting only 3–4 species per group beyond the broad</w:t>
      </w:r>
      <w:r>
        <w:t>er microscopic findings (Figs. 2,4 and 5)</w:t>
      </w:r>
      <w:r w:rsidRPr="003A263E">
        <w:t xml:space="preserve">. These differences </w:t>
      </w:r>
      <w:r>
        <w:t>may</w:t>
      </w:r>
      <w:r w:rsidRPr="003A263E">
        <w:t xml:space="preserve"> reflect</w:t>
      </w:r>
      <w:r>
        <w:t xml:space="preserve"> </w:t>
      </w:r>
      <w:r w:rsidRPr="003A263E">
        <w:t xml:space="preserve">the true diversity of the sampled communities </w:t>
      </w:r>
      <w:r>
        <w:t xml:space="preserve">however more likely illustrate the </w:t>
      </w:r>
      <w:r w:rsidRPr="003A263E">
        <w:t>relative completeness of available barcode reference databases</w:t>
      </w:r>
      <w:r>
        <w:t xml:space="preserve"> utilised for COI which </w:t>
      </w:r>
      <w:r w:rsidRPr="003A263E">
        <w:t>appear more comprehensive for hydrozoans and gastropods than for the other tax</w:t>
      </w:r>
      <w:r>
        <w:t xml:space="preserve">a. </w:t>
      </w:r>
      <w:r w:rsidRPr="007A4AD1">
        <w:t>This underscores the urgent need for a more taxonomically comprehensive COI reference database for global zooplankton, which would greatly enhance the accuracy of eDNA and barcoding approaches and strengthen their value across fisheries management, climate change monitoring, and broader ecological research</w:t>
      </w:r>
      <w:r>
        <w:t xml:space="preserve"> </w: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 </w:instrTex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EN.CITE.DATA </w:instrText>
      </w:r>
      <w:r>
        <w:fldChar w:fldCharType="end"/>
      </w:r>
      <w:r>
        <w:fldChar w:fldCharType="separate"/>
      </w:r>
      <w:r>
        <w:rPr>
          <w:noProof/>
        </w:rPr>
        <w:t>(Bucklin et al., 2021, Keck et al., 2022)</w:t>
      </w:r>
      <w:r>
        <w:fldChar w:fldCharType="end"/>
      </w:r>
      <w:r>
        <w:t xml:space="preserve">. </w:t>
      </w:r>
    </w:p>
    <w:p w14:paraId="118BF91F" w14:textId="77777777" w:rsidR="005B3A22" w:rsidRDefault="005B3A22" w:rsidP="005B3A22">
      <w:pPr>
        <w:jc w:val="both"/>
      </w:pPr>
      <w:r w:rsidRPr="002514D1">
        <w:t>A recurring feature within the molecular dataset was the presence of dropouts</w:t>
      </w:r>
      <w:r>
        <w:t xml:space="preserve">, </w:t>
      </w:r>
      <w:r w:rsidRPr="002514D1">
        <w:t>instances where a species produced a strong eDNA signal in one sampling month but then failed to be detected in subsequent months</w:t>
      </w:r>
      <w:r>
        <w:t xml:space="preserve"> </w:t>
      </w:r>
      <w:r w:rsidRPr="002514D1">
        <w:t xml:space="preserve">despite </w:t>
      </w:r>
      <w:r>
        <w:t xml:space="preserve">its continued </w:t>
      </w:r>
      <w:r w:rsidRPr="002514D1">
        <w:t xml:space="preserve">observation </w:t>
      </w:r>
      <w:r>
        <w:t>via</w:t>
      </w:r>
      <w:r w:rsidRPr="002514D1">
        <w:t xml:space="preserve"> microscopy. For example, bryozoan </w:t>
      </w:r>
      <w:proofErr w:type="spellStart"/>
      <w:r w:rsidRPr="002514D1">
        <w:t>cyphonautes</w:t>
      </w:r>
      <w:proofErr w:type="spellEnd"/>
      <w:r w:rsidRPr="002514D1">
        <w:t xml:space="preserve"> were consistently recorded microscopically between September and March and again from midsummer onwards</w:t>
      </w:r>
      <w:r>
        <w:t xml:space="preserve"> (Fig. 2)</w:t>
      </w:r>
      <w:r w:rsidRPr="002514D1">
        <w:t xml:space="preserve">. In contrast, eDNA signals for key bryozoans such as </w:t>
      </w:r>
      <w:r w:rsidRPr="000A36EA">
        <w:rPr>
          <w:i/>
          <w:iCs/>
        </w:rPr>
        <w:t>Electra pilosa</w:t>
      </w:r>
      <w:r w:rsidRPr="002514D1">
        <w:t xml:space="preserve"> </w:t>
      </w:r>
      <w:r w:rsidRPr="00367008">
        <w:rPr>
          <w:i/>
          <w:iCs/>
        </w:rPr>
        <w:t>and Membranipora membranacea</w:t>
      </w:r>
      <w:r w:rsidRPr="002514D1">
        <w:t xml:space="preserve"> peaked in autumn and spring but were intermittently absent at other times, including periods when plankton counts remained high and blade coverage </w:t>
      </w:r>
      <w:r w:rsidRPr="000A36EA">
        <w:t>reached its maximum in late July</w:t>
      </w:r>
      <w:r>
        <w:t xml:space="preserve"> (Fig.2)</w:t>
      </w:r>
      <w:r w:rsidRPr="000A36EA">
        <w:t>. At the point when colonies reached their</w:t>
      </w:r>
      <w:r>
        <w:t xml:space="preserve"> highest </w:t>
      </w:r>
      <w:r w:rsidRPr="000A36EA">
        <w:t>coverage, it would be expected that processes such as shedding, tissue decay, and DNA release from sloughing would generate abundant genetic material in the surrounding water, making these taxa readily detectable by eDN</w:t>
      </w:r>
      <w:r>
        <w:t>A</w:t>
      </w:r>
      <w:r w:rsidRPr="000A36EA">
        <w:t>. The absence of a molecular signal during this period, despite high levels of visible fouling</w:t>
      </w:r>
      <w:r>
        <w:t xml:space="preserve"> </w:t>
      </w:r>
      <w:r w:rsidRPr="000A36EA">
        <w:t xml:space="preserve">underscores the problem of dropouts and </w:t>
      </w:r>
      <w:r>
        <w:t>infers m</w:t>
      </w:r>
      <w:r w:rsidRPr="000A36EA">
        <w:t>ethodological limitations</w:t>
      </w:r>
      <w:r>
        <w:t xml:space="preserve">. For example, the </w:t>
      </w:r>
      <w:r w:rsidRPr="002514D1">
        <w:t xml:space="preserve">lack of </w:t>
      </w:r>
      <w:r>
        <w:t xml:space="preserve">and effective </w:t>
      </w:r>
      <w:r w:rsidRPr="002514D1">
        <w:t>universal primer across</w:t>
      </w:r>
      <w:r>
        <w:t xml:space="preserve"> a</w:t>
      </w:r>
      <w:r w:rsidRPr="002514D1">
        <w:t xml:space="preserve"> diverse phyla</w:t>
      </w:r>
      <w:r>
        <w:t xml:space="preserve"> range</w:t>
      </w:r>
      <w:r w:rsidRPr="002514D1">
        <w:t xml:space="preserve"> can </w:t>
      </w:r>
      <w:r>
        <w:t>cause</w:t>
      </w:r>
      <w:r w:rsidRPr="002514D1">
        <w:t xml:space="preserve"> amplification biases </w:t>
      </w:r>
      <w:r>
        <w:t>leading to these</w:t>
      </w:r>
      <w:r w:rsidRPr="002514D1">
        <w:t xml:space="preserve"> detection</w:t>
      </w:r>
      <w:r>
        <w:t xml:space="preserve"> inconsistencies</w:t>
      </w:r>
      <w:r w:rsidRPr="002514D1">
        <w:t xml:space="preserve"> (Borrell et al., 2017).</w:t>
      </w:r>
      <w:r>
        <w:t xml:space="preserve">  </w:t>
      </w:r>
      <w:r w:rsidRPr="00367008">
        <w:t>A recent study on planktonic threats in salmon aquaculture reported comparable discrepancies between microscopic and molecular approaches, with metabarcoding showing limited predictive capacity for organismal abundance and considerable variation in detection sensitivity</w:t>
      </w:r>
      <w:r>
        <w:t xml:space="preserve">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 xml:space="preserve">. </w:t>
      </w:r>
      <w:r>
        <w:t xml:space="preserve">The authors also reported that </w:t>
      </w:r>
      <w:r w:rsidRPr="00367008">
        <w:t xml:space="preserve">each method identified species that the other failed to detect, underscoring the limitations and complementarity of both visual and molecular diagnostics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w:t>
      </w:r>
      <w:r>
        <w:t xml:space="preserve"> Robustness of molecular data can be improved by employing multiple genetic markers simultaneously which has proven effective in minimising primer-driven taxonomic bias and </w:t>
      </w:r>
      <w:r>
        <w:lastRenderedPageBreak/>
        <w:t xml:space="preserve">improving detection sensitivity of small or cryptic organisms, a recognised limitation in metabarcoding studies </w: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 </w:instrTex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EN.CITE.DATA </w:instrText>
      </w:r>
      <w:r>
        <w:fldChar w:fldCharType="end"/>
      </w:r>
      <w:r>
        <w:fldChar w:fldCharType="separate"/>
      </w:r>
      <w:r>
        <w:rPr>
          <w:noProof/>
        </w:rPr>
        <w:t>(Azevedo et al., 2020, 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t>.</w:t>
      </w:r>
    </w:p>
    <w:p w14:paraId="41E0DD8C" w14:textId="77777777" w:rsidR="005B3A22" w:rsidRPr="00885FB7" w:rsidRDefault="005B3A22" w:rsidP="005B3A22">
      <w:pPr>
        <w:jc w:val="both"/>
        <w:rPr>
          <w:i/>
          <w:iCs/>
        </w:rPr>
      </w:pPr>
      <w:r w:rsidRPr="00885FB7">
        <w:rPr>
          <w:i/>
          <w:iCs/>
        </w:rPr>
        <w:t>Host-specific susceptibility</w:t>
      </w:r>
    </w:p>
    <w:p w14:paraId="6AA0220B" w14:textId="77777777" w:rsidR="005B3A22" w:rsidRDefault="005B3A22" w:rsidP="005B3A22">
      <w:pPr>
        <w:jc w:val="both"/>
      </w:pPr>
      <w:r>
        <w:t xml:space="preserve">It is well established that the bryozoans cause major issues for the northeast Atlantic seaweed industry with encrusting colonies causing tissue necrosis and reducing harvestable biomass </w: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 </w:instrTex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EN.CITE.DATA </w:instrText>
      </w:r>
      <w:r>
        <w:fldChar w:fldCharType="end"/>
      </w:r>
      <w:r>
        <w:fldChar w:fldCharType="separate"/>
      </w:r>
      <w:r>
        <w:rPr>
          <w:noProof/>
        </w:rPr>
        <w:t>(Forbord et al., 2020, Førde et al., 2015)</w:t>
      </w:r>
      <w:r>
        <w:fldChar w:fldCharType="end"/>
      </w:r>
      <w:r>
        <w:t xml:space="preserve">. </w:t>
      </w:r>
      <w:r>
        <w:rPr>
          <w:i/>
          <w:iCs/>
        </w:rPr>
        <w:t>Saccharina</w:t>
      </w:r>
      <w:r>
        <w:t xml:space="preserve"> </w:t>
      </w:r>
      <w:r>
        <w:rPr>
          <w:i/>
          <w:iCs/>
        </w:rPr>
        <w:t xml:space="preserve">latissima </w:t>
      </w:r>
      <w:r>
        <w:t xml:space="preserve">infestation showed an explosive increase in coverage, rising from negligible levels in June to approximately 90% coverage on some blades by July (Fig.8). The rapid increase in coverage highlights a clear tipping point in colonisation dynamics between initial observable settlement and severe infestation. Known environmental drivers of bryozoan growth include rising summer temperature and hydrodynamic conditions </w:t>
      </w:r>
      <w:r>
        <w:fldChar w:fldCharType="begin"/>
      </w:r>
      <w:r>
        <w:instrText xml:space="preserve"> ADDIN EN.CITE &lt;EndNote&gt;&lt;Cite&gt;&lt;Author&gt;Saunders&lt;/Author&gt;&lt;Year&gt;2007&lt;/Year&gt;&lt;RecNum&gt;140&lt;/RecNum&gt;&lt;DisplayText&gt;(Saunders and Metaxas, 2007)&lt;/DisplayText&gt;&lt;record&gt;&lt;rec-number&gt;140&lt;/rec-number&gt;&lt;foreign-keys&gt;&lt;key app="EN" db-id="sx0sxtzakvvzdwexr2k5a5s6fr2dv9dsvdf0" timestamp="1738685150" guid="f639f255-7989-4b37-92bf-af9792eb6623"&gt;140&lt;/key&gt;&lt;/foreign-keys&gt;&lt;ref-type name="Journal Article"&gt;17&lt;/ref-type&gt;&lt;contributors&gt;&lt;authors&gt;&lt;author&gt;Saunders, M.&lt;/author&gt;&lt;author&gt;Metaxas, A.&lt;/author&gt;&lt;/authors&gt;&lt;/contributors&gt;&lt;titles&gt;&lt;title&gt;Temperature explains settlement patterns of the introduced bryozoan Membranipora membranacea in Nova Scotia, Canada&lt;/title&gt;&lt;secondary-title&gt;Marine Ecology Progress Series&lt;/secondary-title&gt;&lt;/titles&gt;&lt;periodical&gt;&lt;full-title&gt;Marine ecology progress series&lt;/full-title&gt;&lt;/periodical&gt;&lt;pages&gt;95-106&lt;/pages&gt;&lt;volume&gt;344&lt;/volume&gt;&lt;section&gt;95&lt;/section&gt;&lt;dates&gt;&lt;year&gt;2007&lt;/year&gt;&lt;/dates&gt;&lt;isbn&gt;0171-8630&amp;#xD;1616-1599&lt;/isbn&gt;&lt;urls&gt;&lt;/urls&gt;&lt;electronic-resource-num&gt;10.3354/meps06924&lt;/electronic-resource-num&gt;&lt;/record&gt;&lt;/Cite&gt;&lt;/EndNote&gt;</w:instrText>
      </w:r>
      <w:r>
        <w:fldChar w:fldCharType="separate"/>
      </w:r>
      <w:r>
        <w:rPr>
          <w:noProof/>
        </w:rPr>
        <w:t>(Saunders and Metaxas, 2007)</w:t>
      </w:r>
      <w:r>
        <w:fldChar w:fldCharType="end"/>
      </w:r>
      <w:r>
        <w:t xml:space="preserve">. Although environmental data were beyond the scope of this study, it is likely that seasonal temperature increases contributed to the observed fouling maxima. These results are consistent within findings from Norwegian cultivation sites, where </w:t>
      </w:r>
      <w:r>
        <w:rPr>
          <w:i/>
          <w:iCs/>
        </w:rPr>
        <w:t xml:space="preserve">Saccharina </w:t>
      </w:r>
      <w:r>
        <w:t>also exhibited sharp increases in bryozoan cover in late June and July. The authors reported</w:t>
      </w:r>
      <w:r w:rsidRPr="008C1772">
        <w:t xml:space="preserve"> colony densities var</w:t>
      </w:r>
      <w:r>
        <w:t>ying between sites with different</w:t>
      </w:r>
      <w:r w:rsidRPr="008C1772">
        <w:t xml:space="preserve"> farm stocking density,</w:t>
      </w:r>
      <w:r>
        <w:t xml:space="preserve"> with higher seaweed densities</w:t>
      </w:r>
      <w:r w:rsidRPr="008C1772">
        <w:t xml:space="preserve"> likely driv</w:t>
      </w:r>
      <w:r>
        <w:t>ing</w:t>
      </w:r>
      <w:r w:rsidRPr="008C1772">
        <w:t xml:space="preserve"> local spawning and recruitment from pre-existing colonies</w:t>
      </w:r>
      <w:r>
        <w:t xml:space="preserve"> </w:t>
      </w:r>
      <w:r>
        <w:fldChar w:fldCharType="begin"/>
      </w:r>
      <w:r>
        <w:instrText xml:space="preserve"> ADDIN EN.CITE &lt;EndNote&gt;&lt;Cite&gt;&lt;Author&gt;Yoshioka&lt;/Author&gt;&lt;Year&gt;1982&lt;/Year&gt;&lt;RecNum&gt;206&lt;/RecNum&gt;&lt;DisplayText&gt;(Yoshioka, 1982, Førde et al., 2015)&lt;/DisplayText&gt;&lt;record&gt;&lt;rec-number&gt;206&lt;/rec-number&gt;&lt;foreign-keys&gt;&lt;key app="EN" db-id="sx0sxtzakvvzdwexr2k5a5s6fr2dv9dsvdf0" timestamp="1756464108" guid="56fa3b02-9d82-4a41-8c99-d8d078280aaf"&gt;206&lt;/key&gt;&lt;/foreign-keys&gt;&lt;ref-type name="Journal Article"&gt;17&lt;/ref-type&gt;&lt;contributors&gt;&lt;authors&gt;&lt;author&gt;Yoshioka, Paul M&lt;/author&gt;&lt;/authors&gt;&lt;/contributors&gt;&lt;titles&gt;&lt;title&gt;Predator-induced polymorphism in the bryozoan Membranipora membranacea (L.)&lt;/title&gt;&lt;secondary-title&gt;Journal of Experimental Marine Biology and Ecology&lt;/secondary-title&gt;&lt;/titles&gt;&lt;periodical&gt;&lt;full-title&gt;Journal of Experimental Marine Biology and Ecology&lt;/full-title&gt;&lt;/periodical&gt;&lt;pages&gt;233-242&lt;/pages&gt;&lt;volume&gt;61&lt;/volume&gt;&lt;number&gt;3&lt;/number&gt;&lt;dates&gt;&lt;year&gt;1982&lt;/year&gt;&lt;/dates&gt;&lt;isbn&gt;0022-0981&lt;/isbn&gt;&lt;urls&gt;&lt;/urls&gt;&lt;/record&gt;&lt;/Cite&gt;&lt;Cite&gt;&lt;Author&gt;Førde&lt;/Author&gt;&lt;Year&gt;2015&lt;/Year&gt;&lt;RecNum&gt;68&lt;/RecNum&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fldChar w:fldCharType="separate"/>
      </w:r>
      <w:r>
        <w:rPr>
          <w:noProof/>
        </w:rPr>
        <w:t>(Yoshioka, 1982, Førde et al., 2015)</w:t>
      </w:r>
      <w:r>
        <w:fldChar w:fldCharType="end"/>
      </w:r>
      <w:r>
        <w:t xml:space="preserve">. </w:t>
      </w:r>
      <w:r w:rsidRPr="000A29F8">
        <w:t xml:space="preserve">At the Skye </w:t>
      </w:r>
      <w:r>
        <w:t xml:space="preserve">study </w:t>
      </w:r>
      <w:r w:rsidRPr="000A29F8">
        <w:t xml:space="preserve">site, peak seaweed biomass in July may similarly have facilitated rapid bryozoan settlement. While microscopy did not resolve species identity on blades, the detection of </w:t>
      </w:r>
      <w:r w:rsidRPr="000A29F8">
        <w:rPr>
          <w:i/>
          <w:iCs/>
        </w:rPr>
        <w:t>Membranipora membranacea</w:t>
      </w:r>
      <w:r w:rsidRPr="000A29F8">
        <w:t xml:space="preserve">, </w:t>
      </w:r>
      <w:r w:rsidRPr="000A29F8">
        <w:rPr>
          <w:i/>
          <w:iCs/>
        </w:rPr>
        <w:t>Electra pilosa</w:t>
      </w:r>
      <w:r w:rsidRPr="000A29F8">
        <w:t xml:space="preserve">, and </w:t>
      </w:r>
      <w:proofErr w:type="spellStart"/>
      <w:r w:rsidRPr="000A29F8">
        <w:rPr>
          <w:i/>
          <w:iCs/>
        </w:rPr>
        <w:t>Celleporella</w:t>
      </w:r>
      <w:proofErr w:type="spellEnd"/>
      <w:r w:rsidRPr="000A29F8">
        <w:rPr>
          <w:i/>
          <w:iCs/>
        </w:rPr>
        <w:t xml:space="preserve"> </w:t>
      </w:r>
      <w:proofErr w:type="spellStart"/>
      <w:r w:rsidRPr="000A29F8">
        <w:rPr>
          <w:i/>
          <w:iCs/>
        </w:rPr>
        <w:t>hyalina</w:t>
      </w:r>
      <w:proofErr w:type="spellEnd"/>
      <w:r w:rsidRPr="000A29F8">
        <w:t xml:space="preserve"> through eDNA and COI barcoding aligns with expectations, as these are well-established biofouling taxa </w:t>
      </w:r>
      <w:r>
        <w:t>for</w:t>
      </w:r>
      <w:r w:rsidRPr="000A29F8">
        <w:t xml:space="preserve"> the region</w:t>
      </w:r>
      <w:r>
        <w:t xml:space="preserve"> </w:t>
      </w:r>
      <w:r>
        <w:fldChar w:fldCharType="begin"/>
      </w:r>
      <w:r>
        <w:instrText xml:space="preserve"> ADDIN EN.CITE &lt;EndNote&gt;&lt;Cite&gt;&lt;Author&gt;Hermansen&lt;/Author&gt;&lt;Year&gt;2001&lt;/Year&gt;&lt;RecNum&gt;210&lt;/RecNum&gt;&lt;DisplayText&gt;(Hermansen et al., 2001, Rouse et al., 2013)&lt;/DisplayText&gt;&lt;record&gt;&lt;rec-number&gt;210&lt;/rec-number&gt;&lt;foreign-keys&gt;&lt;key app="EN" db-id="sx0sxtzakvvzdwexr2k5a5s6fr2dv9dsvdf0" timestamp="1756465215" guid="9ef3d11e-eaf4-419f-95fa-bf1388670f57"&gt;210&lt;/key&gt;&lt;/foreign-keys&gt;&lt;ref-type name="Journal Article"&gt;17&lt;/ref-type&gt;&lt;contributors&gt;&lt;authors&gt;&lt;author&gt;Hermansen, Pernille&lt;/author&gt;&lt;author&gt;Larsen, Poul S&lt;/author&gt;&lt;author&gt;Riisgård, Hans Ulrik&lt;/author&gt;&lt;/authors&gt;&lt;/contributors&gt;&lt;titles&gt;&lt;title&gt;Colony growth rate of encrusting marine bryozoans (Electra pilosa and Celleporella hyalina)&lt;/title&gt;&lt;secondary-title&gt;Journal of Experimental Marine Biology and Ecology&lt;/secondary-title&gt;&lt;/titles&gt;&lt;periodical&gt;&lt;full-title&gt;Journal of Experimental Marine Biology and Ecology&lt;/full-title&gt;&lt;/periodical&gt;&lt;pages&gt;1-23&lt;/pages&gt;&lt;volume&gt;263&lt;/volume&gt;&lt;number&gt;1&lt;/number&gt;&lt;dates&gt;&lt;year&gt;2001&lt;/year&gt;&lt;/dates&gt;&lt;isbn&gt;0022-0981&lt;/isbn&gt;&lt;urls&gt;&lt;/urls&gt;&lt;/record&gt;&lt;/Cite&gt;&lt;Cite&gt;&lt;Author&gt;Rouse&lt;/Author&gt;&lt;Year&gt;2013&lt;/Year&gt;&lt;RecNum&gt;208&lt;/RecNum&gt;&lt;record&gt;&lt;rec-number&gt;208&lt;/rec-number&gt;&lt;foreign-keys&gt;&lt;key app="EN" db-id="sx0sxtzakvvzdwexr2k5a5s6fr2dv9dsvdf0" timestamp="1756465008" guid="ea90d8af-dd17-4f89-aa55-69ce287df262"&gt;208&lt;/key&gt;&lt;/foreign-keys&gt;&lt;ref-type name="Journal Article"&gt;17&lt;/ref-type&gt;&lt;contributors&gt;&lt;authors&gt;&lt;author&gt;Rouse, Sally&lt;/author&gt;&lt;author&gt;Spencer Jones, Mary E.&lt;/author&gt;&lt;author&gt;Porter, Joanne S.&lt;/author&gt;&lt;/authors&gt;&lt;/contributors&gt;&lt;titles&gt;&lt;title&gt;Spatial and temporal patterns of bryozoan distribution and diversity in the Scottish sea regions&lt;/title&gt;&lt;secondary-title&gt;Marine Ecology&lt;/secondary-title&gt;&lt;/titles&gt;&lt;periodical&gt;&lt;full-title&gt;Marine Ecology&lt;/full-title&gt;&lt;/periodical&gt;&lt;pages&gt;85-102&lt;/pages&gt;&lt;volume&gt;35&lt;/volume&gt;&lt;number&gt;s1&lt;/number&gt;&lt;section&gt;85&lt;/section&gt;&lt;dates&gt;&lt;year&gt;2013&lt;/year&gt;&lt;/dates&gt;&lt;isbn&gt;0173-9565&amp;#xD;1439-0485&lt;/isbn&gt;&lt;urls&gt;&lt;/urls&gt;&lt;electronic-resource-num&gt;10.1111/maec.12088&lt;/electronic-resource-num&gt;&lt;/record&gt;&lt;/Cite&gt;&lt;/EndNote&gt;</w:instrText>
      </w:r>
      <w:r>
        <w:fldChar w:fldCharType="separate"/>
      </w:r>
      <w:r>
        <w:rPr>
          <w:noProof/>
        </w:rPr>
        <w:t>(Hermansen et al., 2001, Rouse et al., 2013)</w:t>
      </w:r>
      <w:r>
        <w:fldChar w:fldCharType="end"/>
      </w:r>
      <w:r w:rsidRPr="000A29F8">
        <w:t>.</w:t>
      </w:r>
      <w:r>
        <w:t xml:space="preserve"> </w:t>
      </w:r>
    </w:p>
    <w:p w14:paraId="1C46E633" w14:textId="77777777" w:rsidR="005B3A22" w:rsidRDefault="005B3A22" w:rsidP="005B3A22">
      <w:pPr>
        <w:jc w:val="both"/>
      </w:pPr>
      <w:r w:rsidRPr="00640EA6">
        <w:t xml:space="preserve">Interestingly, between the two cultivated kelp species examined, only </w:t>
      </w:r>
      <w:r w:rsidRPr="00640EA6">
        <w:rPr>
          <w:i/>
          <w:iCs/>
        </w:rPr>
        <w:t>Saccharina latissima</w:t>
      </w:r>
      <w:r w:rsidRPr="00640EA6">
        <w:t xml:space="preserve"> showed signs of bryozoan colonisation (Fig. 2). This may suggest a degree of host-specific susceptibility, with </w:t>
      </w:r>
      <w:r w:rsidRPr="00640EA6">
        <w:rPr>
          <w:i/>
          <w:iCs/>
        </w:rPr>
        <w:t>Saccharina</w:t>
      </w:r>
      <w:r w:rsidRPr="00640EA6">
        <w:t xml:space="preserve"> providing a more favourable substrate than </w:t>
      </w:r>
      <w:r w:rsidRPr="00640EA6">
        <w:rPr>
          <w:i/>
          <w:iCs/>
        </w:rPr>
        <w:t>Alaria esculenta</w:t>
      </w:r>
      <w:r w:rsidRPr="00640EA6">
        <w:t xml:space="preserve">. </w:t>
      </w:r>
      <w:r>
        <w:t xml:space="preserve">This </w:t>
      </w:r>
      <w:r w:rsidRPr="00640EA6">
        <w:t xml:space="preserve">pattern is consistent with earlier observations by </w:t>
      </w:r>
      <w:r>
        <w:fldChar w:fldCharType="begin"/>
      </w:r>
      <w:r>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fldChar w:fldCharType="separate"/>
      </w:r>
      <w:r>
        <w:rPr>
          <w:noProof/>
        </w:rPr>
        <w:t>(Ryland, 1962)</w:t>
      </w:r>
      <w:r>
        <w:fldChar w:fldCharType="end"/>
      </w:r>
      <w:r>
        <w:t xml:space="preserve"> </w:t>
      </w:r>
      <w:r w:rsidRPr="00640EA6">
        <w:t xml:space="preserve">who reported </w:t>
      </w:r>
      <w:r w:rsidRPr="00640EA6">
        <w:rPr>
          <w:i/>
          <w:iCs/>
        </w:rPr>
        <w:t>M. membranacea</w:t>
      </w:r>
      <w:r w:rsidRPr="00640EA6">
        <w:t xml:space="preserve"> exhibit</w:t>
      </w:r>
      <w:r>
        <w:t>ing</w:t>
      </w:r>
      <w:r w:rsidRPr="00640EA6">
        <w:t xml:space="preserve"> preference for laminarian hosts</w:t>
      </w:r>
      <w:r>
        <w:t xml:space="preserve"> (e.g. </w:t>
      </w:r>
      <w:r>
        <w:rPr>
          <w:i/>
          <w:iCs/>
        </w:rPr>
        <w:t>S. latissima</w:t>
      </w:r>
      <w:r>
        <w:t>)</w:t>
      </w:r>
      <w:r w:rsidRPr="00640EA6">
        <w:t xml:space="preserve">, whereas </w:t>
      </w:r>
      <w:r w:rsidRPr="00640EA6">
        <w:rPr>
          <w:i/>
          <w:iCs/>
        </w:rPr>
        <w:t>E. pilosa</w:t>
      </w:r>
      <w:r w:rsidRPr="00640EA6">
        <w:t xml:space="preserve"> is less selective and frequently colonises hard substrates such as rocks and shells. However, in this study </w:t>
      </w:r>
      <w:r w:rsidRPr="00640EA6">
        <w:rPr>
          <w:i/>
          <w:iCs/>
        </w:rPr>
        <w:t>Alaria</w:t>
      </w:r>
      <w:r w:rsidRPr="00640EA6">
        <w:t xml:space="preserve"> was only sampled until May</w:t>
      </w:r>
      <w:r>
        <w:t xml:space="preserve">, </w:t>
      </w:r>
      <w:r w:rsidRPr="00640EA6">
        <w:t xml:space="preserve">before bryozoan colonies </w:t>
      </w:r>
      <w:r>
        <w:t xml:space="preserve">typically </w:t>
      </w:r>
      <w:r w:rsidRPr="00640EA6">
        <w:t>appear on blades</w:t>
      </w:r>
      <w:r>
        <w:t xml:space="preserve"> </w:t>
      </w:r>
      <w:r w:rsidRPr="00640EA6">
        <w:t xml:space="preserve">and </w:t>
      </w:r>
      <w:r>
        <w:t>any</w:t>
      </w:r>
      <w:r w:rsidRPr="00640EA6">
        <w:t xml:space="preserve"> apparent resistance </w:t>
      </w:r>
      <w:r>
        <w:t xml:space="preserve">may </w:t>
      </w:r>
      <w:r w:rsidRPr="00640EA6">
        <w:t>therefore</w:t>
      </w:r>
      <w:r>
        <w:t xml:space="preserve"> be</w:t>
      </w:r>
      <w:r w:rsidRPr="00640EA6">
        <w:t xml:space="preserve"> likely an artefact of sampling constraints</w:t>
      </w:r>
      <w:r>
        <w:t>.</w:t>
      </w:r>
    </w:p>
    <w:p w14:paraId="68A01391" w14:textId="77777777" w:rsidR="005B3A22" w:rsidRDefault="005B3A22" w:rsidP="4FDD748D"/>
    <w:p w14:paraId="039BE0F9" w14:textId="13EED680" w:rsidR="004D0BBA" w:rsidRPr="004D0BBA" w:rsidRDefault="004D0BBA" w:rsidP="002B0DEA">
      <w:pPr>
        <w:jc w:val="both"/>
        <w:rPr>
          <w:i/>
          <w:iCs/>
          <w:noProof/>
        </w:rPr>
      </w:pPr>
      <w:r w:rsidRPr="00871F80">
        <w:rPr>
          <w:i/>
          <w:iCs/>
        </w:rPr>
        <w:t>Depth effect on epibiont distribution on seaweed blades</w:t>
      </w:r>
    </w:p>
    <w:p w14:paraId="4A2F1151" w14:textId="77777777" w:rsidR="004D0BBA" w:rsidRPr="00871F80" w:rsidRDefault="004D0BBA" w:rsidP="004D0BBA">
      <w:pPr>
        <w:jc w:val="both"/>
      </w:pPr>
      <w:r w:rsidRPr="00871F80">
        <w:t xml:space="preserve">This suggests that sugar kelp biofouling activity by </w:t>
      </w:r>
      <w:r w:rsidRPr="00871F80">
        <w:rPr>
          <w:i/>
          <w:iCs/>
        </w:rPr>
        <w:t xml:space="preserve">Obelia sp. </w:t>
      </w:r>
      <w:r w:rsidRPr="00871F80">
        <w:t xml:space="preserve">is driven by depth and time. This may be due to colonisation being favoured by a more stable water column microenvironment. For example, reduced light penetration, turbulence and potentially higher nutrient availability may contribute to hydrozoan proliferation. Segments deeper in the water column would have less mechanical disturbance from wave action further enabling sustained polyp growth. </w:t>
      </w:r>
    </w:p>
    <w:p w14:paraId="0AB83F8C" w14:textId="36A975A1" w:rsidR="004D0BBA" w:rsidRDefault="004D0BBA" w:rsidP="004D0BBA">
      <w:pPr>
        <w:jc w:val="both"/>
      </w:pPr>
      <w:r w:rsidRPr="00871F80">
        <w:t xml:space="preserve">Furthermore, seaweed growth occurs as the base/meristem while older tissue at the tips continually sheds </w:t>
      </w:r>
      <w:r w:rsidRPr="00871F80">
        <w:fldChar w:fldCharType="begin"/>
      </w:r>
      <w:r w:rsidR="00B60FEA">
        <w:instrText xml:space="preserve"> ADDIN EN.CITE &lt;EndNote&gt;&lt;Cite&gt;&lt;Author&gt;Mann&lt;/Author&gt;&lt;Year&gt;1973&lt;/Year&gt;&lt;RecNum&gt;187&lt;/RecNum&gt;&lt;DisplayText&gt;(Mann, 1973)&lt;/DisplayText&gt;&lt;record&gt;&lt;rec-number&gt;187&lt;/rec-number&gt;&lt;foreign-keys&gt;&lt;key app="EN" db-id="sx0sxtzakvvzdwexr2k5a5s6fr2dv9dsvdf0" timestamp="1748530106" guid="26337cc2-e345-46c2-8e83-3a1400d39b42"&gt;187&lt;/key&gt;&lt;/foreign-keys&gt;&lt;ref-type name="Journal Article"&gt;17&lt;/ref-type&gt;&lt;contributors&gt;&lt;authors&gt;&lt;author&gt;Mann, KH&lt;/author&gt;&lt;/authors&gt;&lt;/contributors&gt;&lt;titles&gt;&lt;title&gt;Seaweeds: Their Productivity and Strategy for Growth: The role of large marine algae in coastal productivity is far more important than has been suspected&lt;/title&gt;&lt;secondary-title&gt;Science&lt;/secondary-title&gt;&lt;/titles&gt;&lt;periodical&gt;&lt;full-title&gt;Science&lt;/full-title&gt;&lt;/periodical&gt;&lt;pages&gt;975-981&lt;/pages&gt;&lt;volume&gt;182&lt;/volume&gt;&lt;number&gt;4116&lt;/number&gt;&lt;dates&gt;&lt;year&gt;1973&lt;/year&gt;&lt;/dates&gt;&lt;isbn&gt;0036-8075&lt;/isbn&gt;&lt;urls&gt;&lt;/urls&gt;&lt;/record&gt;&lt;/Cite&gt;&lt;/EndNote&gt;</w:instrText>
      </w:r>
      <w:r w:rsidRPr="00871F80">
        <w:fldChar w:fldCharType="separate"/>
      </w:r>
      <w:r w:rsidRPr="00871F80">
        <w:rPr>
          <w:noProof/>
        </w:rPr>
        <w:t>(Mann, 1973)</w:t>
      </w:r>
      <w:r w:rsidRPr="00871F80">
        <w:fldChar w:fldCharType="end"/>
      </w:r>
      <w:r w:rsidRPr="00871F80">
        <w:t xml:space="preserve">. The distal blade segment represents the oldest, most established surface. The increased colonisation at the tip may be resultant from the tissue being more withered or structurally compromised due to longer exposure to environmental stressors thus heightening susceptibility to infestation. More simply, the tip section of the frond has existed the longest and therefore has had the greatest exposure time, providing more opportunities for settlement events and colony expansion. These combined physical and biological factors offer a plausible explanation for the consistently higher levels of biofouling observed at the blade tips. </w:t>
      </w:r>
      <w:r w:rsidRPr="00871F80">
        <w:lastRenderedPageBreak/>
        <w:t>However, further targeted investigation is needed to disentangle the relative contribution of each factor and determine whether a single dominant driver or a synergistic combination is primarily responsible for hydrozoan colonisation patterns.</w:t>
      </w:r>
    </w:p>
    <w:p w14:paraId="59998A93" w14:textId="72660CAE" w:rsidR="00DF2643" w:rsidRDefault="00DF2643" w:rsidP="004D0BBA">
      <w:pPr>
        <w:jc w:val="both"/>
      </w:pPr>
      <w:r>
        <w:t xml:space="preserve">Biofouling represents a major bottleneck within kelp aquaculture; limiting yields, compromising sustainability and ultimately limiting long-term viability of farms operations </w: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 </w:instrTex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EN.CITE.DATA </w:instrText>
      </w:r>
      <w:r>
        <w:fldChar w:fldCharType="end"/>
      </w:r>
      <w:r>
        <w:fldChar w:fldCharType="separate"/>
      </w:r>
      <w:r>
        <w:rPr>
          <w:noProof/>
        </w:rPr>
        <w:t>(Bannister et al., 2019, Walls et al., 2017)</w:t>
      </w:r>
      <w:r>
        <w:fldChar w:fldCharType="end"/>
      </w:r>
      <w:r>
        <w:t>. Advancing methods of early detection of problem epibionts within farm-management strategies will provide farmers with an opportunity to incorporate pro-active measures to mitigate infestation before infestation reaches economically damaging levels</w:t>
      </w:r>
    </w:p>
    <w:p w14:paraId="413191F4" w14:textId="77777777" w:rsidR="00B60FEA" w:rsidRDefault="00B60FEA" w:rsidP="002B0DEA">
      <w:pPr>
        <w:jc w:val="both"/>
        <w:rPr>
          <w:b/>
          <w:bCs/>
        </w:rPr>
      </w:pPr>
    </w:p>
    <w:p w14:paraId="333C104B" w14:textId="77777777" w:rsidR="005B3A22" w:rsidRPr="005B3A22" w:rsidRDefault="00B60FEA" w:rsidP="005B3A22">
      <w:pPr>
        <w:pStyle w:val="EndNoteBibliography"/>
        <w:spacing w:after="0"/>
        <w:ind w:left="720" w:hanging="720"/>
      </w:pPr>
      <w:r>
        <w:rPr>
          <w:b/>
          <w:bCs/>
        </w:rPr>
        <w:fldChar w:fldCharType="begin"/>
      </w:r>
      <w:r>
        <w:rPr>
          <w:b/>
          <w:bCs/>
        </w:rPr>
        <w:instrText xml:space="preserve"> ADDIN EN.REFLIST </w:instrText>
      </w:r>
      <w:r>
        <w:rPr>
          <w:b/>
          <w:bCs/>
        </w:rPr>
        <w:fldChar w:fldCharType="separate"/>
      </w:r>
      <w:r w:rsidR="005B3A22" w:rsidRPr="005B3A22">
        <w:t>ALGUERÓ</w:t>
      </w:r>
      <w:r w:rsidR="005B3A22" w:rsidRPr="005B3A22">
        <w:rPr>
          <w:rFonts w:ascii="Cambria Math" w:hAnsi="Cambria Math" w:cs="Cambria Math"/>
        </w:rPr>
        <w:t>‐</w:t>
      </w:r>
      <w:r w:rsidR="005B3A22" w:rsidRPr="005B3A22">
        <w:t>MU</w:t>
      </w:r>
      <w:r w:rsidR="005B3A22" w:rsidRPr="005B3A22">
        <w:rPr>
          <w:rFonts w:cs="Aptos"/>
        </w:rPr>
        <w:t>Ñ</w:t>
      </w:r>
      <w:r w:rsidR="005B3A22" w:rsidRPr="005B3A22">
        <w:t>IZ, M., SPATHARIS, S., DWYER, T., DE NOIA, M., CHEAIB, B., LIU, YEE</w:t>
      </w:r>
      <w:r w:rsidR="005B3A22" w:rsidRPr="005B3A22">
        <w:rPr>
          <w:rFonts w:cs="Aptos"/>
        </w:rPr>
        <w:t> </w:t>
      </w:r>
      <w:r w:rsidR="005B3A22" w:rsidRPr="005B3A22">
        <w:t>W., ROBERTSON, BRENDAN</w:t>
      </w:r>
      <w:r w:rsidR="005B3A22" w:rsidRPr="005B3A22">
        <w:rPr>
          <w:rFonts w:cs="Aptos"/>
        </w:rPr>
        <w:t> </w:t>
      </w:r>
      <w:r w:rsidR="005B3A22" w:rsidRPr="005B3A22">
        <w:t>A., JOHNSTONE, C., WELSH, J., MACPHEE, A., MAZURKIEWICZ, M., BICKERDIKE, R., MIGAUD, H., MCGHEE, C., PR</w:t>
      </w:r>
      <w:r w:rsidR="005B3A22" w:rsidRPr="005B3A22">
        <w:rPr>
          <w:rFonts w:cs="Aptos"/>
        </w:rPr>
        <w:t>Æ</w:t>
      </w:r>
      <w:r w:rsidR="005B3A22" w:rsidRPr="005B3A22">
        <w:t>BEL, K. &amp; LLEWELLYN, M. 2024. High</w:t>
      </w:r>
      <w:r w:rsidR="005B3A22" w:rsidRPr="005B3A22">
        <w:rPr>
          <w:rFonts w:ascii="Cambria Math" w:hAnsi="Cambria Math" w:cs="Cambria Math"/>
        </w:rPr>
        <w:t>‐</w:t>
      </w:r>
      <w:r w:rsidR="005B3A22" w:rsidRPr="005B3A22">
        <w:t>Resolution Longitudinal eDNA Metabarcoding and Morphological Tracking of Planktonic Threats to Salmon</w:t>
      </w:r>
      <w:r w:rsidR="005B3A22" w:rsidRPr="005B3A22">
        <w:rPr>
          <w:rFonts w:cs="Aptos"/>
        </w:rPr>
        <w:t> </w:t>
      </w:r>
      <w:r w:rsidR="005B3A22" w:rsidRPr="005B3A22">
        <w:t xml:space="preserve">Aquaculture. </w:t>
      </w:r>
      <w:r w:rsidR="005B3A22" w:rsidRPr="005B3A22">
        <w:rPr>
          <w:i/>
        </w:rPr>
        <w:t>Environmental DNA,</w:t>
      </w:r>
      <w:r w:rsidR="005B3A22" w:rsidRPr="005B3A22">
        <w:t xml:space="preserve"> 6.</w:t>
      </w:r>
    </w:p>
    <w:p w14:paraId="1B138A46" w14:textId="77777777" w:rsidR="005B3A22" w:rsidRPr="005B3A22" w:rsidRDefault="005B3A22" w:rsidP="005B3A22">
      <w:pPr>
        <w:pStyle w:val="EndNoteBibliography"/>
        <w:spacing w:after="0"/>
        <w:ind w:left="720" w:hanging="720"/>
      </w:pPr>
      <w:r w:rsidRPr="005B3A22">
        <w:t xml:space="preserve">AZEVEDO, J., ANTUNES, J. T., MACHADO, A. M., VASCONCELOS, V., LEAO, P. N. &amp; FROUFE, E. 2020. Monitoring of biofouling communities in a Portuguese port using a combined morphological and metabarcoding approach. </w:t>
      </w:r>
      <w:r w:rsidRPr="005B3A22">
        <w:rPr>
          <w:i/>
        </w:rPr>
        <w:t>Sci Rep,</w:t>
      </w:r>
      <w:r w:rsidRPr="005B3A22">
        <w:t xml:space="preserve"> 10</w:t>
      </w:r>
      <w:r w:rsidRPr="005B3A22">
        <w:rPr>
          <w:b/>
        </w:rPr>
        <w:t>,</w:t>
      </w:r>
      <w:r w:rsidRPr="005B3A22">
        <w:t xml:space="preserve"> 13461.</w:t>
      </w:r>
    </w:p>
    <w:p w14:paraId="4BA1239F" w14:textId="77777777" w:rsidR="005B3A22" w:rsidRPr="005B3A22" w:rsidRDefault="005B3A22" w:rsidP="005B3A22">
      <w:pPr>
        <w:pStyle w:val="EndNoteBibliography"/>
        <w:spacing w:after="0"/>
        <w:ind w:left="720" w:hanging="720"/>
      </w:pPr>
      <w:r w:rsidRPr="005B3A22">
        <w:t xml:space="preserve">BANNISTER, J., SIEVERS, M., BUSH, F. &amp; BLOECHER, N. 2019. Biofouling in marine aquaculture: a review of recent research and developments. </w:t>
      </w:r>
      <w:r w:rsidRPr="005B3A22">
        <w:rPr>
          <w:i/>
        </w:rPr>
        <w:t>Biofouling,</w:t>
      </w:r>
      <w:r w:rsidRPr="005B3A22">
        <w:t xml:space="preserve"> 35</w:t>
      </w:r>
      <w:r w:rsidRPr="005B3A22">
        <w:rPr>
          <w:b/>
        </w:rPr>
        <w:t>,</w:t>
      </w:r>
      <w:r w:rsidRPr="005B3A22">
        <w:t xml:space="preserve"> 631-648.</w:t>
      </w:r>
    </w:p>
    <w:p w14:paraId="1D0CD7A5" w14:textId="77777777" w:rsidR="005B3A22" w:rsidRPr="005B3A22" w:rsidRDefault="005B3A22" w:rsidP="005B3A22">
      <w:pPr>
        <w:pStyle w:val="EndNoteBibliography"/>
        <w:spacing w:after="0"/>
        <w:ind w:left="720" w:hanging="720"/>
      </w:pPr>
      <w:r w:rsidRPr="005B3A22">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5B3A22">
        <w:rPr>
          <w:i/>
        </w:rPr>
        <w:t>Marine Biology,</w:t>
      </w:r>
      <w:r w:rsidRPr="005B3A22">
        <w:t xml:space="preserve"> 168.</w:t>
      </w:r>
    </w:p>
    <w:p w14:paraId="2A170612" w14:textId="77777777" w:rsidR="005B3A22" w:rsidRPr="005B3A22" w:rsidRDefault="005B3A22" w:rsidP="005B3A22">
      <w:pPr>
        <w:pStyle w:val="EndNoteBibliography"/>
        <w:spacing w:after="0"/>
        <w:ind w:left="720" w:hanging="720"/>
      </w:pPr>
      <w:r w:rsidRPr="005B3A22">
        <w:t xml:space="preserve">FORBORD, S., MATSSON, S., BRODAHL, G. E., BLUHM, B. A., BROCH, O. J., HANDÅ, A., METAXAS, A., SKJERMO, J., STEINHOVDEN, K. B. &amp; OLSEN, Y. 2020. Latitudinal, seasonal and depth-dependent variation in growth, chemical composition and biofouling of cultivated Saccharina latissima (Phaeophyceae) along the Norwegian coast. </w:t>
      </w:r>
      <w:r w:rsidRPr="005B3A22">
        <w:rPr>
          <w:i/>
        </w:rPr>
        <w:t>Journal of Applied Phycology,</w:t>
      </w:r>
      <w:r w:rsidRPr="005B3A22">
        <w:t xml:space="preserve"> 32</w:t>
      </w:r>
      <w:r w:rsidRPr="005B3A22">
        <w:rPr>
          <w:b/>
        </w:rPr>
        <w:t>,</w:t>
      </w:r>
      <w:r w:rsidRPr="005B3A22">
        <w:t xml:space="preserve"> 2215-2232.</w:t>
      </w:r>
    </w:p>
    <w:p w14:paraId="4945E1D6" w14:textId="77777777" w:rsidR="005B3A22" w:rsidRPr="005B3A22" w:rsidRDefault="005B3A22" w:rsidP="005B3A22">
      <w:pPr>
        <w:pStyle w:val="EndNoteBibliography"/>
        <w:spacing w:after="0"/>
        <w:ind w:left="720" w:hanging="720"/>
      </w:pPr>
      <w:r w:rsidRPr="005B3A22">
        <w:t xml:space="preserve">FØRDE, H., FORBORD, S., HANDÅ, A., FOSSBERG, J., ARFF, J., JOHNSEN, G. &amp; REITAN, K. I. 2015. Development of bryozoan fouling on cultivated kelp (Saccharina latissima) in Norway. </w:t>
      </w:r>
      <w:r w:rsidRPr="005B3A22">
        <w:rPr>
          <w:i/>
        </w:rPr>
        <w:t>Journal of Applied Phycology,</w:t>
      </w:r>
      <w:r w:rsidRPr="005B3A22">
        <w:t xml:space="preserve"> 28</w:t>
      </w:r>
      <w:r w:rsidRPr="005B3A22">
        <w:rPr>
          <w:b/>
        </w:rPr>
        <w:t>,</w:t>
      </w:r>
      <w:r w:rsidRPr="005B3A22">
        <w:t xml:space="preserve"> 1225-1234.</w:t>
      </w:r>
    </w:p>
    <w:p w14:paraId="11A00EE3" w14:textId="77777777" w:rsidR="005B3A22" w:rsidRPr="005B3A22" w:rsidRDefault="005B3A22" w:rsidP="005B3A22">
      <w:pPr>
        <w:pStyle w:val="EndNoteBibliography"/>
        <w:spacing w:after="0"/>
        <w:ind w:left="720" w:hanging="720"/>
      </w:pPr>
      <w:r w:rsidRPr="005B3A22">
        <w:t xml:space="preserve">HERMANSEN, P., LARSEN, P. S. &amp; RIISGÅRD, H. U. 2001. Colony growth rate of encrusting marine bryozoans (Electra pilosa and Celleporella hyalina). </w:t>
      </w:r>
      <w:r w:rsidRPr="005B3A22">
        <w:rPr>
          <w:i/>
        </w:rPr>
        <w:t>Journal of Experimental Marine Biology and Ecology,</w:t>
      </w:r>
      <w:r w:rsidRPr="005B3A22">
        <w:t xml:space="preserve"> 263</w:t>
      </w:r>
      <w:r w:rsidRPr="005B3A22">
        <w:rPr>
          <w:b/>
        </w:rPr>
        <w:t>,</w:t>
      </w:r>
      <w:r w:rsidRPr="005B3A22">
        <w:t xml:space="preserve"> 1-23.</w:t>
      </w:r>
    </w:p>
    <w:p w14:paraId="2326FB25" w14:textId="77777777" w:rsidR="005B3A22" w:rsidRPr="005B3A22" w:rsidRDefault="005B3A22" w:rsidP="005B3A22">
      <w:pPr>
        <w:pStyle w:val="EndNoteBibliography"/>
        <w:spacing w:after="0"/>
        <w:ind w:left="720" w:hanging="720"/>
      </w:pPr>
      <w:r w:rsidRPr="005B3A22">
        <w:t xml:space="preserve">HOPKINS, G., DAVIDSON, I., GEORGIADES, E., FLOERL, O., MORRISEY, D. &amp; CAHILL, P. 2021. Managing Biofouling on Submerged Static Artificial Structures in the Marine Environment – Assessment of Current and Emerging Approaches. </w:t>
      </w:r>
      <w:r w:rsidRPr="005B3A22">
        <w:rPr>
          <w:i/>
        </w:rPr>
        <w:t>Frontiers in Marine Science,</w:t>
      </w:r>
      <w:r w:rsidRPr="005B3A22">
        <w:t xml:space="preserve"> 8.</w:t>
      </w:r>
    </w:p>
    <w:p w14:paraId="2E84EF7F" w14:textId="77777777" w:rsidR="005B3A22" w:rsidRPr="005B3A22" w:rsidRDefault="005B3A22" w:rsidP="005B3A22">
      <w:pPr>
        <w:pStyle w:val="EndNoteBibliography"/>
        <w:spacing w:after="0"/>
        <w:ind w:left="720" w:hanging="720"/>
      </w:pPr>
      <w:r w:rsidRPr="005B3A22">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5B3A22">
        <w:rPr>
          <w:i/>
        </w:rPr>
        <w:t>Mol Ecol,</w:t>
      </w:r>
      <w:r w:rsidRPr="005B3A22">
        <w:t xml:space="preserve"> 31</w:t>
      </w:r>
      <w:r w:rsidRPr="005B3A22">
        <w:rPr>
          <w:b/>
        </w:rPr>
        <w:t>,</w:t>
      </w:r>
      <w:r w:rsidRPr="005B3A22">
        <w:t xml:space="preserve"> 1820-1835.</w:t>
      </w:r>
    </w:p>
    <w:p w14:paraId="7B8708A7" w14:textId="77777777" w:rsidR="005B3A22" w:rsidRPr="005B3A22" w:rsidRDefault="005B3A22" w:rsidP="005B3A22">
      <w:pPr>
        <w:pStyle w:val="EndNoteBibliography"/>
        <w:spacing w:after="0"/>
        <w:ind w:left="720" w:hanging="720"/>
      </w:pPr>
      <w:r w:rsidRPr="005B3A22">
        <w:t xml:space="preserve">LEE, H.-J., KWAN, Y.-S., KONG, S.-R., MIN, B.-S., SEO, J.-E. &amp; WON, Y.-J. 2011. DNA Barcode Examination of Bryozoa (Class: Gymnolaemata) in Korean Seawater. </w:t>
      </w:r>
      <w:r w:rsidRPr="005B3A22">
        <w:rPr>
          <w:i/>
        </w:rPr>
        <w:t>Animal Systematics, Evolution and Diversity,</w:t>
      </w:r>
      <w:r w:rsidRPr="005B3A22">
        <w:t xml:space="preserve"> 27</w:t>
      </w:r>
      <w:r w:rsidRPr="005B3A22">
        <w:rPr>
          <w:b/>
        </w:rPr>
        <w:t>,</w:t>
      </w:r>
      <w:r w:rsidRPr="005B3A22">
        <w:t xml:space="preserve"> 159-163.</w:t>
      </w:r>
    </w:p>
    <w:p w14:paraId="6E01476B" w14:textId="77777777" w:rsidR="005B3A22" w:rsidRPr="005B3A22" w:rsidRDefault="005B3A22" w:rsidP="005B3A22">
      <w:pPr>
        <w:pStyle w:val="EndNoteBibliography"/>
        <w:spacing w:after="0"/>
        <w:ind w:left="720" w:hanging="720"/>
      </w:pPr>
      <w:r w:rsidRPr="005B3A22">
        <w:lastRenderedPageBreak/>
        <w:t xml:space="preserve">MANN, K. 1973. Seaweeds: Their Productivity and Strategy for Growth: The role of large marine algae in coastal productivity is far more important than has been suspected. </w:t>
      </w:r>
      <w:r w:rsidRPr="005B3A22">
        <w:rPr>
          <w:i/>
        </w:rPr>
        <w:t>Science,</w:t>
      </w:r>
      <w:r w:rsidRPr="005B3A22">
        <w:t xml:space="preserve"> 182</w:t>
      </w:r>
      <w:r w:rsidRPr="005B3A22">
        <w:rPr>
          <w:b/>
        </w:rPr>
        <w:t>,</w:t>
      </w:r>
      <w:r w:rsidRPr="005B3A22">
        <w:t xml:space="preserve"> 975-981.</w:t>
      </w:r>
    </w:p>
    <w:p w14:paraId="09C0184C" w14:textId="77777777" w:rsidR="005B3A22" w:rsidRPr="005B3A22" w:rsidRDefault="005B3A22" w:rsidP="005B3A22">
      <w:pPr>
        <w:pStyle w:val="EndNoteBibliography"/>
        <w:ind w:left="720" w:hanging="720"/>
      </w:pPr>
      <w:r w:rsidRPr="005B3A22">
        <w:t>MARTINSSON, S., MALMBERG, K., BAKKEN, T., KORSHUNOVA, T., MARTYNOV, A. &amp; LUNDIN, K. 2021. Species delimitation and phylogeny of</w:t>
      </w:r>
    </w:p>
    <w:p w14:paraId="1BDF8299" w14:textId="77777777" w:rsidR="005B3A22" w:rsidRPr="005B3A22" w:rsidRDefault="005B3A22" w:rsidP="005B3A22">
      <w:pPr>
        <w:pStyle w:val="EndNoteBibliography"/>
        <w:spacing w:after="0"/>
        <w:ind w:left="720" w:hanging="720"/>
      </w:pPr>
      <w:r w:rsidRPr="005B3A22">
        <w:t xml:space="preserve"> Doto (Nudibranchia: Dotidae) from the Northeast Atlantic, with a discussion on food specialization. </w:t>
      </w:r>
      <w:r w:rsidRPr="005B3A22">
        <w:rPr>
          <w:i/>
        </w:rPr>
        <w:t>Journal of Zoological Systematics and Evolutionary Research,</w:t>
      </w:r>
      <w:r w:rsidRPr="005B3A22">
        <w:t xml:space="preserve"> 59</w:t>
      </w:r>
      <w:r w:rsidRPr="005B3A22">
        <w:rPr>
          <w:b/>
        </w:rPr>
        <w:t>,</w:t>
      </w:r>
      <w:r w:rsidRPr="005B3A22">
        <w:t xml:space="preserve"> 1754-1774.</w:t>
      </w:r>
    </w:p>
    <w:p w14:paraId="20B1AEE2" w14:textId="77777777" w:rsidR="005B3A22" w:rsidRPr="005B3A22" w:rsidRDefault="005B3A22" w:rsidP="005B3A22">
      <w:pPr>
        <w:pStyle w:val="EndNoteBibliography"/>
        <w:spacing w:after="0"/>
        <w:ind w:left="720" w:hanging="720"/>
      </w:pPr>
      <w:r w:rsidRPr="005B3A22">
        <w:t xml:space="preserve">ROUSE, S., SPENCER JONES, M. E. &amp; PORTER, J. S. 2013. Spatial and temporal patterns of bryozoan distribution and diversity in the Scottish sea regions. </w:t>
      </w:r>
      <w:r w:rsidRPr="005B3A22">
        <w:rPr>
          <w:i/>
        </w:rPr>
        <w:t>Marine Ecology,</w:t>
      </w:r>
      <w:r w:rsidRPr="005B3A22">
        <w:t xml:space="preserve"> 35</w:t>
      </w:r>
      <w:r w:rsidRPr="005B3A22">
        <w:rPr>
          <w:b/>
        </w:rPr>
        <w:t>,</w:t>
      </w:r>
      <w:r w:rsidRPr="005B3A22">
        <w:t xml:space="preserve"> 85-102.</w:t>
      </w:r>
    </w:p>
    <w:p w14:paraId="1090DEAC" w14:textId="77777777" w:rsidR="005B3A22" w:rsidRPr="005B3A22" w:rsidRDefault="005B3A22" w:rsidP="005B3A22">
      <w:pPr>
        <w:pStyle w:val="EndNoteBibliography"/>
        <w:spacing w:after="0"/>
        <w:ind w:left="720" w:hanging="720"/>
      </w:pPr>
      <w:r w:rsidRPr="005B3A22">
        <w:t xml:space="preserve">RYLAND, J. S. 1962. The Association Between Polyzoa and Algal Substrata. </w:t>
      </w:r>
      <w:r w:rsidRPr="005B3A22">
        <w:rPr>
          <w:i/>
        </w:rPr>
        <w:t>Journal of Animal Ecology,</w:t>
      </w:r>
      <w:r w:rsidRPr="005B3A22">
        <w:t xml:space="preserve"> 31</w:t>
      </w:r>
      <w:r w:rsidRPr="005B3A22">
        <w:rPr>
          <w:b/>
        </w:rPr>
        <w:t>,</w:t>
      </w:r>
      <w:r w:rsidRPr="005B3A22">
        <w:t xml:space="preserve"> 331-338.</w:t>
      </w:r>
    </w:p>
    <w:p w14:paraId="49DE591B" w14:textId="77777777" w:rsidR="005B3A22" w:rsidRPr="005B3A22" w:rsidRDefault="005B3A22" w:rsidP="005B3A22">
      <w:pPr>
        <w:pStyle w:val="EndNoteBibliography"/>
        <w:spacing w:after="0"/>
        <w:ind w:left="720" w:hanging="720"/>
      </w:pPr>
      <w:r w:rsidRPr="005B3A22">
        <w:t xml:space="preserve">SAUNDERS, M. &amp; METAXAS, A. 2007. Temperature explains settlement patterns of the introduced bryozoan Membranipora membranacea in Nova Scotia, Canada. </w:t>
      </w:r>
      <w:r w:rsidRPr="005B3A22">
        <w:rPr>
          <w:i/>
        </w:rPr>
        <w:t>Marine Ecology Progress Series,</w:t>
      </w:r>
      <w:r w:rsidRPr="005B3A22">
        <w:t xml:space="preserve"> 344</w:t>
      </w:r>
      <w:r w:rsidRPr="005B3A22">
        <w:rPr>
          <w:b/>
        </w:rPr>
        <w:t>,</w:t>
      </w:r>
      <w:r w:rsidRPr="005B3A22">
        <w:t xml:space="preserve"> 95-106.</w:t>
      </w:r>
    </w:p>
    <w:p w14:paraId="18CFB08D" w14:textId="77777777" w:rsidR="005B3A22" w:rsidRPr="005B3A22" w:rsidRDefault="005B3A22" w:rsidP="005B3A22">
      <w:pPr>
        <w:pStyle w:val="EndNoteBibliography"/>
        <w:spacing w:after="0"/>
        <w:ind w:left="720" w:hanging="720"/>
      </w:pPr>
      <w:r w:rsidRPr="005B3A22">
        <w:t xml:space="preserve">SAUNDERS, M. I. &amp; METAXAS, A. 2009. Population dynamics of a nonindigenous epiphytic bryozoan Membranipora membranacea in the western North Atlantic: effects of kelp substrate. </w:t>
      </w:r>
      <w:r w:rsidRPr="005B3A22">
        <w:rPr>
          <w:i/>
        </w:rPr>
        <w:t>Aquatic Biology,</w:t>
      </w:r>
      <w:r w:rsidRPr="005B3A22">
        <w:t xml:space="preserve"> 8</w:t>
      </w:r>
      <w:r w:rsidRPr="005B3A22">
        <w:rPr>
          <w:b/>
        </w:rPr>
        <w:t>,</w:t>
      </w:r>
      <w:r w:rsidRPr="005B3A22">
        <w:t xml:space="preserve"> 83-94.</w:t>
      </w:r>
    </w:p>
    <w:p w14:paraId="1ED63714" w14:textId="77777777" w:rsidR="005B3A22" w:rsidRPr="005B3A22" w:rsidRDefault="005B3A22" w:rsidP="005B3A22">
      <w:pPr>
        <w:pStyle w:val="EndNoteBibliography"/>
        <w:spacing w:after="0"/>
        <w:ind w:left="720" w:hanging="720"/>
      </w:pPr>
      <w:r w:rsidRPr="005B3A22">
        <w:t xml:space="preserve">SCHUCHERT, P. 2020. DNA barcoding of some Pandeidae species (Cnidaria, Hydrozoa, Anthoathecata). </w:t>
      </w:r>
      <w:r w:rsidRPr="005B3A22">
        <w:rPr>
          <w:i/>
        </w:rPr>
        <w:t>Revue suisse de Zoologie,</w:t>
      </w:r>
      <w:r w:rsidRPr="005B3A22">
        <w:t xml:space="preserve"> 125</w:t>
      </w:r>
      <w:r w:rsidRPr="005B3A22">
        <w:rPr>
          <w:b/>
        </w:rPr>
        <w:t>,</w:t>
      </w:r>
      <w:r w:rsidRPr="005B3A22">
        <w:t xml:space="preserve"> 101-127, 27.</w:t>
      </w:r>
    </w:p>
    <w:p w14:paraId="50D4798E" w14:textId="77777777" w:rsidR="005B3A22" w:rsidRPr="005B3A22" w:rsidRDefault="005B3A22" w:rsidP="005B3A22">
      <w:pPr>
        <w:pStyle w:val="EndNoteBibliography"/>
        <w:spacing w:after="0"/>
        <w:ind w:left="720" w:hanging="720"/>
      </w:pPr>
      <w:r w:rsidRPr="005B3A22">
        <w:t xml:space="preserve">SIEVERS, M., DEMPSTER, T., KEOUGH, M. J. &amp; FITRIDGE, I. 2019. Methods to prevent and treat biofouling in shellfish aquaculture. </w:t>
      </w:r>
      <w:r w:rsidRPr="005B3A22">
        <w:rPr>
          <w:i/>
        </w:rPr>
        <w:t>Aquaculture,</w:t>
      </w:r>
      <w:r w:rsidRPr="005B3A22">
        <w:t xml:space="preserve"> 505</w:t>
      </w:r>
      <w:r w:rsidRPr="005B3A22">
        <w:rPr>
          <w:b/>
        </w:rPr>
        <w:t>,</w:t>
      </w:r>
      <w:r w:rsidRPr="005B3A22">
        <w:t xml:space="preserve"> 263-270.</w:t>
      </w:r>
    </w:p>
    <w:p w14:paraId="5CAFB2E9" w14:textId="77777777" w:rsidR="005B3A22" w:rsidRPr="005B3A22" w:rsidRDefault="005B3A22" w:rsidP="005B3A22">
      <w:pPr>
        <w:pStyle w:val="EndNoteBibliography"/>
        <w:spacing w:after="0"/>
        <w:ind w:left="720" w:hanging="720"/>
      </w:pPr>
      <w:r w:rsidRPr="005B3A22">
        <w:t xml:space="preserve">WALLS, A. M., EDWARDS, M. D., FIRTH, L. B. &amp; JOHNSON, M. P. 2017. Successional changes of epibiont fouling communities of the cultivated kelp Alaria esculenta: predictability and influences. </w:t>
      </w:r>
      <w:r w:rsidRPr="005B3A22">
        <w:rPr>
          <w:i/>
        </w:rPr>
        <w:t>Aquaculture Environment Interactions,</w:t>
      </w:r>
      <w:r w:rsidRPr="005B3A22">
        <w:t xml:space="preserve"> 9</w:t>
      </w:r>
      <w:r w:rsidRPr="005B3A22">
        <w:rPr>
          <w:b/>
        </w:rPr>
        <w:t>,</w:t>
      </w:r>
      <w:r w:rsidRPr="005B3A22">
        <w:t xml:space="preserve"> 57-71.</w:t>
      </w:r>
    </w:p>
    <w:p w14:paraId="7E170EE1" w14:textId="77777777" w:rsidR="005B3A22" w:rsidRPr="005B3A22" w:rsidRDefault="005B3A22" w:rsidP="005B3A22">
      <w:pPr>
        <w:pStyle w:val="EndNoteBibliography"/>
        <w:ind w:left="720" w:hanging="720"/>
      </w:pPr>
      <w:r w:rsidRPr="005B3A22">
        <w:t xml:space="preserve">YOSHIOKA, P. M. 1982. Predator-induced polymorphism in the bryozoan Membranipora membranacea (L.). </w:t>
      </w:r>
      <w:r w:rsidRPr="005B3A22">
        <w:rPr>
          <w:i/>
        </w:rPr>
        <w:t>Journal of Experimental Marine Biology and Ecology,</w:t>
      </w:r>
      <w:r w:rsidRPr="005B3A22">
        <w:t xml:space="preserve"> 61</w:t>
      </w:r>
      <w:r w:rsidRPr="005B3A22">
        <w:rPr>
          <w:b/>
        </w:rPr>
        <w:t>,</w:t>
      </w:r>
      <w:r w:rsidRPr="005B3A22">
        <w:t xml:space="preserve"> 233-242.</w:t>
      </w:r>
    </w:p>
    <w:p w14:paraId="714048A0" w14:textId="5EEB25D4" w:rsidR="004D0BBA" w:rsidRPr="000F49F1" w:rsidRDefault="00B60FEA" w:rsidP="002B0DEA">
      <w:pPr>
        <w:jc w:val="both"/>
        <w:rPr>
          <w:b/>
          <w:bCs/>
        </w:rPr>
      </w:pPr>
      <w:r>
        <w:rPr>
          <w:b/>
          <w:bCs/>
        </w:rPr>
        <w:fldChar w:fldCharType="end"/>
      </w:r>
    </w:p>
    <w:sectPr w:rsidR="004D0BBA" w:rsidRPr="000F49F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ofie Spatharis" w:date="2025-07-23T08:47:00Z" w:initials="SS">
    <w:p w14:paraId="17240D6A" w14:textId="77777777" w:rsidR="0049013B" w:rsidRDefault="0049013B" w:rsidP="0049013B">
      <w:pPr>
        <w:pStyle w:val="CommentText"/>
      </w:pPr>
      <w:r>
        <w:rPr>
          <w:rStyle w:val="CommentReference"/>
        </w:rPr>
        <w:annotationRef/>
      </w:r>
      <w:r>
        <w:t>Meri to add details</w:t>
      </w:r>
    </w:p>
  </w:comment>
  <w:comment w:id="2" w:author="Sofie Spatharis" w:date="2025-07-23T08:47:00Z" w:initials="SS">
    <w:p w14:paraId="45C9A73D" w14:textId="77777777" w:rsidR="0049013B" w:rsidRDefault="0049013B" w:rsidP="0049013B">
      <w:pPr>
        <w:pStyle w:val="CommentText"/>
      </w:pPr>
      <w:r>
        <w:rPr>
          <w:rStyle w:val="CommentReference"/>
        </w:rPr>
        <w:annotationRef/>
      </w:r>
      <w:r>
        <w:t>Eleni and Meri</w:t>
      </w:r>
    </w:p>
  </w:comment>
  <w:comment w:id="3" w:author="Sofie Spatharis" w:date="2025-07-23T08:48:00Z" w:initials="SS">
    <w:p w14:paraId="368A62EA" w14:textId="4E272438" w:rsidR="0049013B" w:rsidRDefault="0049013B" w:rsidP="0049013B">
      <w:pPr>
        <w:pStyle w:val="CommentText"/>
      </w:pPr>
      <w:r>
        <w:rPr>
          <w:rStyle w:val="CommentReference"/>
        </w:rPr>
        <w:annotationRef/>
      </w:r>
      <w:r>
        <w:t>Sofie</w:t>
      </w:r>
    </w:p>
  </w:comment>
  <w:comment w:id="4" w:author="Sofie Spatharis" w:date="2025-07-23T08:49:00Z" w:initials="SS">
    <w:p w14:paraId="26E15946" w14:textId="77777777" w:rsidR="0049013B" w:rsidRDefault="0049013B" w:rsidP="0049013B">
      <w:pPr>
        <w:pStyle w:val="CommentText"/>
      </w:pPr>
      <w:r>
        <w:rPr>
          <w:rStyle w:val="CommentReference"/>
        </w:rPr>
        <w:annotationRef/>
      </w:r>
      <w:r>
        <w:t>Meri and Eleni</w:t>
      </w:r>
    </w:p>
  </w:comment>
  <w:comment w:id="6" w:author="Calum Young (PGR)" w:date="2025-07-31T16:31:00Z" w:initials="C(">
    <w:p w14:paraId="21AE1BB5" w14:textId="76A85A53" w:rsidR="006117A4" w:rsidRDefault="00636D6C">
      <w:pPr>
        <w:pStyle w:val="CommentText"/>
      </w:pPr>
      <w:r>
        <w:rPr>
          <w:rStyle w:val="CommentReference"/>
        </w:rPr>
        <w:annotationRef/>
      </w:r>
      <w:r w:rsidRPr="021A8645">
        <w:t>table format better on desktop version</w:t>
      </w:r>
    </w:p>
    <w:p w14:paraId="7E1CEC12" w14:textId="6E04CBD8" w:rsidR="006117A4" w:rsidRDefault="006117A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240D6A" w15:done="0"/>
  <w15:commentEx w15:paraId="45C9A73D" w15:done="0"/>
  <w15:commentEx w15:paraId="368A62EA" w15:done="0"/>
  <w15:commentEx w15:paraId="26E15946" w15:done="0"/>
  <w15:commentEx w15:paraId="7E1CEC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FA88D" w16cex:dateUtc="2025-07-23T07:47:00Z"/>
  <w16cex:commentExtensible w16cex:durableId="08A5D11B" w16cex:dateUtc="2025-07-23T07:47:00Z"/>
  <w16cex:commentExtensible w16cex:durableId="65067983" w16cex:dateUtc="2025-07-23T07:48:00Z"/>
  <w16cex:commentExtensible w16cex:durableId="09904EFF" w16cex:dateUtc="2025-07-23T07:49:00Z"/>
  <w16cex:commentExtensible w16cex:durableId="122248FD" w16cex:dateUtc="2025-07-31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240D6A" w16cid:durableId="5D9FA88D"/>
  <w16cid:commentId w16cid:paraId="45C9A73D" w16cid:durableId="08A5D11B"/>
  <w16cid:commentId w16cid:paraId="368A62EA" w16cid:durableId="65067983"/>
  <w16cid:commentId w16cid:paraId="26E15946" w16cid:durableId="09904EFF"/>
  <w16cid:commentId w16cid:paraId="7E1CEC12" w16cid:durableId="122248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xmlns:oel="http://schemas.microsoft.com/office/2019/extlst">
  <int2:observations>
    <int2:bookmark int2:bookmarkName="_Int_i9cSh7ip" int2:invalidationBookmarkName="" int2:hashCode="f4XGnclyRtW0FS" int2:id="h2zdJyuc">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B1E79"/>
    <w:multiLevelType w:val="multilevel"/>
    <w:tmpl w:val="760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3250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e Spatharis">
    <w15:presenceInfo w15:providerId="AD" w15:userId="S::Sofie.Spatharis@glasgow.ac.uk::12561279-eb17-480a-b736-dc2945cc05d9"/>
  </w15:person>
  <w15:person w15:author="Calum Young (PGR)">
    <w15:presenceInfo w15:providerId="AD" w15:userId="S::2090242y@student.gla.ac.uk::831f7553-1d99-462a-bed7-acd9df824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6&lt;/item&gt;&lt;item&gt;24&lt;/item&gt;&lt;item&gt;30&lt;/item&gt;&lt;item&gt;42&lt;/item&gt;&lt;item&gt;68&lt;/item&gt;&lt;item&gt;84&lt;/item&gt;&lt;item&gt;86&lt;/item&gt;&lt;item&gt;140&lt;/item&gt;&lt;item&gt;187&lt;/item&gt;&lt;item&gt;198&lt;/item&gt;&lt;item&gt;199&lt;/item&gt;&lt;item&gt;200&lt;/item&gt;&lt;item&gt;201&lt;/item&gt;&lt;item&gt;203&lt;/item&gt;&lt;item&gt;204&lt;/item&gt;&lt;item&gt;206&lt;/item&gt;&lt;item&gt;208&lt;/item&gt;&lt;item&gt;210&lt;/item&gt;&lt;item&gt;212&lt;/item&gt;&lt;item&gt;214&lt;/item&gt;&lt;/record-ids&gt;&lt;/item&gt;&lt;/Libraries&gt;"/>
  </w:docVars>
  <w:rsids>
    <w:rsidRoot w:val="00AD3AB0"/>
    <w:rsid w:val="00032668"/>
    <w:rsid w:val="00052194"/>
    <w:rsid w:val="000563CE"/>
    <w:rsid w:val="0008183B"/>
    <w:rsid w:val="00093C3B"/>
    <w:rsid w:val="000A29F8"/>
    <w:rsid w:val="000A36EA"/>
    <w:rsid w:val="000B4427"/>
    <w:rsid w:val="000F49F1"/>
    <w:rsid w:val="001420A6"/>
    <w:rsid w:val="00146048"/>
    <w:rsid w:val="0015199D"/>
    <w:rsid w:val="001679F0"/>
    <w:rsid w:val="00174D3F"/>
    <w:rsid w:val="0018095A"/>
    <w:rsid w:val="001871E7"/>
    <w:rsid w:val="001A2B85"/>
    <w:rsid w:val="001F5F79"/>
    <w:rsid w:val="002345C1"/>
    <w:rsid w:val="002514D1"/>
    <w:rsid w:val="002731FA"/>
    <w:rsid w:val="002A3285"/>
    <w:rsid w:val="002B0DEA"/>
    <w:rsid w:val="002B377F"/>
    <w:rsid w:val="002C57E1"/>
    <w:rsid w:val="002D6EDD"/>
    <w:rsid w:val="00301010"/>
    <w:rsid w:val="003124CE"/>
    <w:rsid w:val="00327798"/>
    <w:rsid w:val="00332DBE"/>
    <w:rsid w:val="00337E51"/>
    <w:rsid w:val="00367008"/>
    <w:rsid w:val="00380B2F"/>
    <w:rsid w:val="00390B8F"/>
    <w:rsid w:val="00395E20"/>
    <w:rsid w:val="003A263E"/>
    <w:rsid w:val="003C68C1"/>
    <w:rsid w:val="003D6918"/>
    <w:rsid w:val="00401482"/>
    <w:rsid w:val="00405159"/>
    <w:rsid w:val="00410827"/>
    <w:rsid w:val="00426C69"/>
    <w:rsid w:val="00443E61"/>
    <w:rsid w:val="004714FA"/>
    <w:rsid w:val="004753BB"/>
    <w:rsid w:val="00476042"/>
    <w:rsid w:val="0049013B"/>
    <w:rsid w:val="00495D45"/>
    <w:rsid w:val="004C0A52"/>
    <w:rsid w:val="004D0BBA"/>
    <w:rsid w:val="004D3BAE"/>
    <w:rsid w:val="004F1D8E"/>
    <w:rsid w:val="005045BE"/>
    <w:rsid w:val="0051521A"/>
    <w:rsid w:val="00517B39"/>
    <w:rsid w:val="0053182B"/>
    <w:rsid w:val="005514F0"/>
    <w:rsid w:val="00555B3F"/>
    <w:rsid w:val="00556FEA"/>
    <w:rsid w:val="00594DCC"/>
    <w:rsid w:val="005A1A91"/>
    <w:rsid w:val="005B09D4"/>
    <w:rsid w:val="005B3818"/>
    <w:rsid w:val="005B3A22"/>
    <w:rsid w:val="005C4792"/>
    <w:rsid w:val="005C54A2"/>
    <w:rsid w:val="005D42FA"/>
    <w:rsid w:val="005F501C"/>
    <w:rsid w:val="005F5104"/>
    <w:rsid w:val="005F591C"/>
    <w:rsid w:val="006117A4"/>
    <w:rsid w:val="0061182C"/>
    <w:rsid w:val="00622AB8"/>
    <w:rsid w:val="00636D6C"/>
    <w:rsid w:val="00640EA6"/>
    <w:rsid w:val="006548B6"/>
    <w:rsid w:val="0065616C"/>
    <w:rsid w:val="00670A02"/>
    <w:rsid w:val="0067319E"/>
    <w:rsid w:val="006A25D0"/>
    <w:rsid w:val="006D68C8"/>
    <w:rsid w:val="006E2E2E"/>
    <w:rsid w:val="006F1A73"/>
    <w:rsid w:val="00717966"/>
    <w:rsid w:val="00720329"/>
    <w:rsid w:val="00730243"/>
    <w:rsid w:val="00737325"/>
    <w:rsid w:val="0074364E"/>
    <w:rsid w:val="007504AF"/>
    <w:rsid w:val="00763A91"/>
    <w:rsid w:val="00765751"/>
    <w:rsid w:val="00783846"/>
    <w:rsid w:val="0079001F"/>
    <w:rsid w:val="00797627"/>
    <w:rsid w:val="007A4AD1"/>
    <w:rsid w:val="007C02D3"/>
    <w:rsid w:val="007C37B1"/>
    <w:rsid w:val="007D2401"/>
    <w:rsid w:val="007E3E5A"/>
    <w:rsid w:val="007F7161"/>
    <w:rsid w:val="00807A07"/>
    <w:rsid w:val="00825812"/>
    <w:rsid w:val="008533EA"/>
    <w:rsid w:val="0085A364"/>
    <w:rsid w:val="00865CA5"/>
    <w:rsid w:val="0086667F"/>
    <w:rsid w:val="00871A94"/>
    <w:rsid w:val="00885FB7"/>
    <w:rsid w:val="0089497B"/>
    <w:rsid w:val="008B2428"/>
    <w:rsid w:val="008B36EB"/>
    <w:rsid w:val="008C1772"/>
    <w:rsid w:val="008C533B"/>
    <w:rsid w:val="008E3DB6"/>
    <w:rsid w:val="009148E8"/>
    <w:rsid w:val="00921E7C"/>
    <w:rsid w:val="00930443"/>
    <w:rsid w:val="00964788"/>
    <w:rsid w:val="00971685"/>
    <w:rsid w:val="009830D2"/>
    <w:rsid w:val="0098351A"/>
    <w:rsid w:val="0098525C"/>
    <w:rsid w:val="009A7513"/>
    <w:rsid w:val="009C1F32"/>
    <w:rsid w:val="009E0C6C"/>
    <w:rsid w:val="009F028F"/>
    <w:rsid w:val="009F186E"/>
    <w:rsid w:val="00A04C7E"/>
    <w:rsid w:val="00A24FD1"/>
    <w:rsid w:val="00A65EC7"/>
    <w:rsid w:val="00A92E84"/>
    <w:rsid w:val="00AB0E9D"/>
    <w:rsid w:val="00AB482F"/>
    <w:rsid w:val="00AD0E3D"/>
    <w:rsid w:val="00AD3AB0"/>
    <w:rsid w:val="00AE3ED7"/>
    <w:rsid w:val="00AE60D8"/>
    <w:rsid w:val="00B01F31"/>
    <w:rsid w:val="00B0218E"/>
    <w:rsid w:val="00B1288D"/>
    <w:rsid w:val="00B1614E"/>
    <w:rsid w:val="00B44C28"/>
    <w:rsid w:val="00B54E60"/>
    <w:rsid w:val="00B60FEA"/>
    <w:rsid w:val="00B64501"/>
    <w:rsid w:val="00BB48A5"/>
    <w:rsid w:val="00BC088C"/>
    <w:rsid w:val="00BF196D"/>
    <w:rsid w:val="00C41507"/>
    <w:rsid w:val="00C45F9C"/>
    <w:rsid w:val="00C853B6"/>
    <w:rsid w:val="00C9144D"/>
    <w:rsid w:val="00C9377B"/>
    <w:rsid w:val="00C95BC1"/>
    <w:rsid w:val="00CC02C4"/>
    <w:rsid w:val="00CD41DF"/>
    <w:rsid w:val="00CE7CC1"/>
    <w:rsid w:val="00CF40FE"/>
    <w:rsid w:val="00D11625"/>
    <w:rsid w:val="00D26399"/>
    <w:rsid w:val="00D31708"/>
    <w:rsid w:val="00D31F6A"/>
    <w:rsid w:val="00D42742"/>
    <w:rsid w:val="00D61182"/>
    <w:rsid w:val="00D71C0B"/>
    <w:rsid w:val="00D90348"/>
    <w:rsid w:val="00DA694C"/>
    <w:rsid w:val="00DB53E7"/>
    <w:rsid w:val="00DC62D7"/>
    <w:rsid w:val="00DD1BE3"/>
    <w:rsid w:val="00DD303A"/>
    <w:rsid w:val="00DF1D6A"/>
    <w:rsid w:val="00DF2643"/>
    <w:rsid w:val="00E45C5C"/>
    <w:rsid w:val="00E50797"/>
    <w:rsid w:val="00E867AE"/>
    <w:rsid w:val="00EA5CBE"/>
    <w:rsid w:val="00EB2AC2"/>
    <w:rsid w:val="00EF3522"/>
    <w:rsid w:val="00F16217"/>
    <w:rsid w:val="00F93C57"/>
    <w:rsid w:val="00FA38A4"/>
    <w:rsid w:val="00FB0957"/>
    <w:rsid w:val="00FC2B43"/>
    <w:rsid w:val="00FE4D10"/>
    <w:rsid w:val="013348DC"/>
    <w:rsid w:val="01C4B4F9"/>
    <w:rsid w:val="02353618"/>
    <w:rsid w:val="0239291B"/>
    <w:rsid w:val="025EF653"/>
    <w:rsid w:val="02775463"/>
    <w:rsid w:val="028575F5"/>
    <w:rsid w:val="02E399EF"/>
    <w:rsid w:val="02EF7DA2"/>
    <w:rsid w:val="036BEA24"/>
    <w:rsid w:val="037E37F1"/>
    <w:rsid w:val="0402FD78"/>
    <w:rsid w:val="046D46CF"/>
    <w:rsid w:val="04A838E1"/>
    <w:rsid w:val="04BC2F00"/>
    <w:rsid w:val="0501E2DB"/>
    <w:rsid w:val="05439E97"/>
    <w:rsid w:val="0549493A"/>
    <w:rsid w:val="054DFF5F"/>
    <w:rsid w:val="067EE43E"/>
    <w:rsid w:val="068539D9"/>
    <w:rsid w:val="06CA03B3"/>
    <w:rsid w:val="06E2DB5E"/>
    <w:rsid w:val="06ED049D"/>
    <w:rsid w:val="06F291D5"/>
    <w:rsid w:val="083B32A7"/>
    <w:rsid w:val="08D374AE"/>
    <w:rsid w:val="08DBAF74"/>
    <w:rsid w:val="0923CC15"/>
    <w:rsid w:val="095ABBDA"/>
    <w:rsid w:val="0983F86C"/>
    <w:rsid w:val="098E044B"/>
    <w:rsid w:val="09BB69D3"/>
    <w:rsid w:val="09ECA276"/>
    <w:rsid w:val="0A971C0C"/>
    <w:rsid w:val="0ABAE625"/>
    <w:rsid w:val="0B2F44E9"/>
    <w:rsid w:val="0B4EEE37"/>
    <w:rsid w:val="0B5BB3AE"/>
    <w:rsid w:val="0B9A89DE"/>
    <w:rsid w:val="0BC33C8F"/>
    <w:rsid w:val="0C59D14A"/>
    <w:rsid w:val="0C8BB1CB"/>
    <w:rsid w:val="0C8E991A"/>
    <w:rsid w:val="0CF299CD"/>
    <w:rsid w:val="0D5D623E"/>
    <w:rsid w:val="0D87FCD6"/>
    <w:rsid w:val="0DCD52F0"/>
    <w:rsid w:val="0E1B7A8F"/>
    <w:rsid w:val="0E476A75"/>
    <w:rsid w:val="0E954256"/>
    <w:rsid w:val="0EA599DB"/>
    <w:rsid w:val="0F647865"/>
    <w:rsid w:val="0FB4A29C"/>
    <w:rsid w:val="0FBECEAB"/>
    <w:rsid w:val="0FCDBE64"/>
    <w:rsid w:val="1064A733"/>
    <w:rsid w:val="106DDDAF"/>
    <w:rsid w:val="10AD03F9"/>
    <w:rsid w:val="10C0908A"/>
    <w:rsid w:val="10EF41F4"/>
    <w:rsid w:val="10F86724"/>
    <w:rsid w:val="11B601E5"/>
    <w:rsid w:val="11DFA702"/>
    <w:rsid w:val="1221E5C5"/>
    <w:rsid w:val="132CE2D5"/>
    <w:rsid w:val="13516D30"/>
    <w:rsid w:val="1371C781"/>
    <w:rsid w:val="13792E8F"/>
    <w:rsid w:val="13A5BE10"/>
    <w:rsid w:val="13B3A2A1"/>
    <w:rsid w:val="149A878F"/>
    <w:rsid w:val="14C2BCCF"/>
    <w:rsid w:val="1578B668"/>
    <w:rsid w:val="1589F140"/>
    <w:rsid w:val="15A50385"/>
    <w:rsid w:val="16051A2F"/>
    <w:rsid w:val="1625F5D8"/>
    <w:rsid w:val="16A9F530"/>
    <w:rsid w:val="16F4F7C8"/>
    <w:rsid w:val="178C85A2"/>
    <w:rsid w:val="17A5B0F1"/>
    <w:rsid w:val="17AD17CE"/>
    <w:rsid w:val="17FA66AE"/>
    <w:rsid w:val="184577AE"/>
    <w:rsid w:val="18A04277"/>
    <w:rsid w:val="19407F12"/>
    <w:rsid w:val="19B975DE"/>
    <w:rsid w:val="19D909C3"/>
    <w:rsid w:val="1A06B825"/>
    <w:rsid w:val="1A76E5A9"/>
    <w:rsid w:val="1B06D75C"/>
    <w:rsid w:val="1B17FFC6"/>
    <w:rsid w:val="1B76574E"/>
    <w:rsid w:val="1BA5AEC9"/>
    <w:rsid w:val="1C0CA53C"/>
    <w:rsid w:val="1C71248D"/>
    <w:rsid w:val="1C9AA424"/>
    <w:rsid w:val="1DCA9B3A"/>
    <w:rsid w:val="1DD434A4"/>
    <w:rsid w:val="1E5CF1FC"/>
    <w:rsid w:val="1ECBC682"/>
    <w:rsid w:val="1FD10338"/>
    <w:rsid w:val="200A479E"/>
    <w:rsid w:val="20193A5E"/>
    <w:rsid w:val="21316747"/>
    <w:rsid w:val="217E135A"/>
    <w:rsid w:val="21C23F0D"/>
    <w:rsid w:val="21CFB189"/>
    <w:rsid w:val="21E57515"/>
    <w:rsid w:val="21EA408B"/>
    <w:rsid w:val="22754F73"/>
    <w:rsid w:val="22CE6637"/>
    <w:rsid w:val="22D738FF"/>
    <w:rsid w:val="2392DE40"/>
    <w:rsid w:val="23DC9B6B"/>
    <w:rsid w:val="241CDE52"/>
    <w:rsid w:val="2425FBB6"/>
    <w:rsid w:val="246B2FA9"/>
    <w:rsid w:val="24AB8DA4"/>
    <w:rsid w:val="24C83F03"/>
    <w:rsid w:val="254F5EE2"/>
    <w:rsid w:val="257015F8"/>
    <w:rsid w:val="25710CBC"/>
    <w:rsid w:val="257B6DFA"/>
    <w:rsid w:val="259437EA"/>
    <w:rsid w:val="25F8A97A"/>
    <w:rsid w:val="26038AC5"/>
    <w:rsid w:val="26449FD2"/>
    <w:rsid w:val="266CF498"/>
    <w:rsid w:val="26B46EBA"/>
    <w:rsid w:val="27265ADE"/>
    <w:rsid w:val="285C822F"/>
    <w:rsid w:val="293CE659"/>
    <w:rsid w:val="2964C212"/>
    <w:rsid w:val="296A8486"/>
    <w:rsid w:val="2A1AC856"/>
    <w:rsid w:val="2A589C25"/>
    <w:rsid w:val="2A5FC83D"/>
    <w:rsid w:val="2A75C084"/>
    <w:rsid w:val="2A9E4FE1"/>
    <w:rsid w:val="2A9EEDD2"/>
    <w:rsid w:val="2B2E729A"/>
    <w:rsid w:val="2B41977A"/>
    <w:rsid w:val="2C33EBBE"/>
    <w:rsid w:val="2CB0DB8B"/>
    <w:rsid w:val="2D0DA81A"/>
    <w:rsid w:val="2DA8A67A"/>
    <w:rsid w:val="2E7445F2"/>
    <w:rsid w:val="2F2FF3BC"/>
    <w:rsid w:val="2FDAA62A"/>
    <w:rsid w:val="2FDE5245"/>
    <w:rsid w:val="3041CE6E"/>
    <w:rsid w:val="307F4575"/>
    <w:rsid w:val="30EA5B00"/>
    <w:rsid w:val="313CD67E"/>
    <w:rsid w:val="323B186D"/>
    <w:rsid w:val="32F0A557"/>
    <w:rsid w:val="3321EB6B"/>
    <w:rsid w:val="33364D9E"/>
    <w:rsid w:val="337956E8"/>
    <w:rsid w:val="337BCAAE"/>
    <w:rsid w:val="347E66E6"/>
    <w:rsid w:val="349A118C"/>
    <w:rsid w:val="3500E951"/>
    <w:rsid w:val="3510A7BA"/>
    <w:rsid w:val="35270845"/>
    <w:rsid w:val="352E09D2"/>
    <w:rsid w:val="36A19FE9"/>
    <w:rsid w:val="36B389B0"/>
    <w:rsid w:val="37164632"/>
    <w:rsid w:val="37A10D64"/>
    <w:rsid w:val="37D01D37"/>
    <w:rsid w:val="37EB020C"/>
    <w:rsid w:val="38562BEC"/>
    <w:rsid w:val="385F66DF"/>
    <w:rsid w:val="386278A1"/>
    <w:rsid w:val="3879FBF7"/>
    <w:rsid w:val="3890A033"/>
    <w:rsid w:val="38A4AAF6"/>
    <w:rsid w:val="38DB606C"/>
    <w:rsid w:val="38FEF7B5"/>
    <w:rsid w:val="39B0278B"/>
    <w:rsid w:val="39B19C04"/>
    <w:rsid w:val="39E649A3"/>
    <w:rsid w:val="3A191930"/>
    <w:rsid w:val="3A386050"/>
    <w:rsid w:val="3AF2D09C"/>
    <w:rsid w:val="3B40D09D"/>
    <w:rsid w:val="3BEC6C28"/>
    <w:rsid w:val="3C011A8B"/>
    <w:rsid w:val="3C76B72A"/>
    <w:rsid w:val="3CEDBB84"/>
    <w:rsid w:val="3D66B965"/>
    <w:rsid w:val="3D84DA28"/>
    <w:rsid w:val="3D9AAA1F"/>
    <w:rsid w:val="3DE0B8BC"/>
    <w:rsid w:val="3DFF6145"/>
    <w:rsid w:val="3EB46DF7"/>
    <w:rsid w:val="3EEE0FDA"/>
    <w:rsid w:val="3F764EFA"/>
    <w:rsid w:val="3FA4A844"/>
    <w:rsid w:val="4009E435"/>
    <w:rsid w:val="4023AC98"/>
    <w:rsid w:val="406D5C2F"/>
    <w:rsid w:val="408EA08F"/>
    <w:rsid w:val="40B3419E"/>
    <w:rsid w:val="411A528F"/>
    <w:rsid w:val="412647FF"/>
    <w:rsid w:val="419BD20E"/>
    <w:rsid w:val="41E3E81A"/>
    <w:rsid w:val="4270882B"/>
    <w:rsid w:val="42BEA29B"/>
    <w:rsid w:val="42F901E8"/>
    <w:rsid w:val="431D64CF"/>
    <w:rsid w:val="43231F73"/>
    <w:rsid w:val="44A162C1"/>
    <w:rsid w:val="44E6B183"/>
    <w:rsid w:val="44F7ED6E"/>
    <w:rsid w:val="451EBCD2"/>
    <w:rsid w:val="45BB8ACB"/>
    <w:rsid w:val="45C93D21"/>
    <w:rsid w:val="45DF9E00"/>
    <w:rsid w:val="4625CA4C"/>
    <w:rsid w:val="464E2C45"/>
    <w:rsid w:val="4678F443"/>
    <w:rsid w:val="47A78D2A"/>
    <w:rsid w:val="47F38850"/>
    <w:rsid w:val="483DBD97"/>
    <w:rsid w:val="4870E294"/>
    <w:rsid w:val="487C5214"/>
    <w:rsid w:val="48D52B60"/>
    <w:rsid w:val="492C1954"/>
    <w:rsid w:val="4A53CBAA"/>
    <w:rsid w:val="4A708801"/>
    <w:rsid w:val="4ADF5098"/>
    <w:rsid w:val="4B23A3A3"/>
    <w:rsid w:val="4B6D6672"/>
    <w:rsid w:val="4BBFE4B5"/>
    <w:rsid w:val="4BDF0C77"/>
    <w:rsid w:val="4BE72009"/>
    <w:rsid w:val="4BECBFC4"/>
    <w:rsid w:val="4BF3A67C"/>
    <w:rsid w:val="4C80FDB3"/>
    <w:rsid w:val="4C9D7BAF"/>
    <w:rsid w:val="4CEDECF3"/>
    <w:rsid w:val="4D0BD953"/>
    <w:rsid w:val="4D68F463"/>
    <w:rsid w:val="4DB4C1A9"/>
    <w:rsid w:val="4DB9B257"/>
    <w:rsid w:val="4DD37222"/>
    <w:rsid w:val="4DEDAA5A"/>
    <w:rsid w:val="4E0DCF2F"/>
    <w:rsid w:val="4E15F12A"/>
    <w:rsid w:val="4E3F2D30"/>
    <w:rsid w:val="4E404E70"/>
    <w:rsid w:val="4E4AC826"/>
    <w:rsid w:val="4E6127AB"/>
    <w:rsid w:val="4EB09FF1"/>
    <w:rsid w:val="4EBB2D8F"/>
    <w:rsid w:val="4EC8B8BC"/>
    <w:rsid w:val="4F636B4D"/>
    <w:rsid w:val="4F81E29E"/>
    <w:rsid w:val="4FDD748D"/>
    <w:rsid w:val="50120D33"/>
    <w:rsid w:val="5061926B"/>
    <w:rsid w:val="50863B16"/>
    <w:rsid w:val="50F1EDA7"/>
    <w:rsid w:val="515D8F54"/>
    <w:rsid w:val="517FD880"/>
    <w:rsid w:val="519567F5"/>
    <w:rsid w:val="519CDDDD"/>
    <w:rsid w:val="51ACB27A"/>
    <w:rsid w:val="51B86049"/>
    <w:rsid w:val="51BBE647"/>
    <w:rsid w:val="52A64B7B"/>
    <w:rsid w:val="52CBAF2D"/>
    <w:rsid w:val="52E5319A"/>
    <w:rsid w:val="53766A29"/>
    <w:rsid w:val="545AB12D"/>
    <w:rsid w:val="5466FDB3"/>
    <w:rsid w:val="548CC3A9"/>
    <w:rsid w:val="54DA2752"/>
    <w:rsid w:val="55806417"/>
    <w:rsid w:val="55CAC9E0"/>
    <w:rsid w:val="56031B38"/>
    <w:rsid w:val="5608FDF9"/>
    <w:rsid w:val="561D184E"/>
    <w:rsid w:val="56E7A49D"/>
    <w:rsid w:val="56F19B9B"/>
    <w:rsid w:val="5741618A"/>
    <w:rsid w:val="580332DE"/>
    <w:rsid w:val="5817ACF7"/>
    <w:rsid w:val="5837C064"/>
    <w:rsid w:val="585283B2"/>
    <w:rsid w:val="58DE5DBF"/>
    <w:rsid w:val="592EE857"/>
    <w:rsid w:val="5948729E"/>
    <w:rsid w:val="5980BED8"/>
    <w:rsid w:val="59DF3CE5"/>
    <w:rsid w:val="5B2D70C3"/>
    <w:rsid w:val="5B316933"/>
    <w:rsid w:val="5B8606D7"/>
    <w:rsid w:val="5BF3CDA3"/>
    <w:rsid w:val="5C0C526E"/>
    <w:rsid w:val="5C43EF60"/>
    <w:rsid w:val="5C569651"/>
    <w:rsid w:val="5C7D9761"/>
    <w:rsid w:val="5D2D6173"/>
    <w:rsid w:val="5D3443D8"/>
    <w:rsid w:val="5D872BF5"/>
    <w:rsid w:val="5DD75001"/>
    <w:rsid w:val="5DD91881"/>
    <w:rsid w:val="5DE5F32E"/>
    <w:rsid w:val="5E22092E"/>
    <w:rsid w:val="5F72ACEF"/>
    <w:rsid w:val="5FADAC58"/>
    <w:rsid w:val="5FFAC41F"/>
    <w:rsid w:val="6070AE85"/>
    <w:rsid w:val="60BC11C5"/>
    <w:rsid w:val="60BF7F86"/>
    <w:rsid w:val="60EA0969"/>
    <w:rsid w:val="60FFF812"/>
    <w:rsid w:val="614B3BEC"/>
    <w:rsid w:val="61DCC64B"/>
    <w:rsid w:val="61F230FA"/>
    <w:rsid w:val="622CC640"/>
    <w:rsid w:val="62940299"/>
    <w:rsid w:val="62D1089D"/>
    <w:rsid w:val="636F7DA7"/>
    <w:rsid w:val="63F807C1"/>
    <w:rsid w:val="640A9D1B"/>
    <w:rsid w:val="641E317D"/>
    <w:rsid w:val="6434679C"/>
    <w:rsid w:val="6453F83E"/>
    <w:rsid w:val="6499BA6B"/>
    <w:rsid w:val="64F33681"/>
    <w:rsid w:val="65142769"/>
    <w:rsid w:val="65E693AD"/>
    <w:rsid w:val="66171419"/>
    <w:rsid w:val="666ADA73"/>
    <w:rsid w:val="668FDEA0"/>
    <w:rsid w:val="6712077D"/>
    <w:rsid w:val="675464BE"/>
    <w:rsid w:val="67B8D386"/>
    <w:rsid w:val="67E7F0F4"/>
    <w:rsid w:val="67ED04BC"/>
    <w:rsid w:val="682427BF"/>
    <w:rsid w:val="6917FCD9"/>
    <w:rsid w:val="6924A194"/>
    <w:rsid w:val="69B8DB97"/>
    <w:rsid w:val="6A0FF09F"/>
    <w:rsid w:val="6A284E49"/>
    <w:rsid w:val="6AB66064"/>
    <w:rsid w:val="6B07B17B"/>
    <w:rsid w:val="6B1852FE"/>
    <w:rsid w:val="6B293CA8"/>
    <w:rsid w:val="6B4C7A7B"/>
    <w:rsid w:val="6C1B0F6A"/>
    <w:rsid w:val="6C5D199B"/>
    <w:rsid w:val="6DE80951"/>
    <w:rsid w:val="6E07070D"/>
    <w:rsid w:val="6E4ED025"/>
    <w:rsid w:val="6E7F3720"/>
    <w:rsid w:val="6EBC5AD7"/>
    <w:rsid w:val="6F2465B5"/>
    <w:rsid w:val="6F90F780"/>
    <w:rsid w:val="6F9795D9"/>
    <w:rsid w:val="6FC2A907"/>
    <w:rsid w:val="708CB239"/>
    <w:rsid w:val="70A8C9D6"/>
    <w:rsid w:val="70C14D79"/>
    <w:rsid w:val="7129B5AA"/>
    <w:rsid w:val="718E90AD"/>
    <w:rsid w:val="71B24B26"/>
    <w:rsid w:val="71D74FCD"/>
    <w:rsid w:val="71DB10E8"/>
    <w:rsid w:val="71FD3B94"/>
    <w:rsid w:val="72021607"/>
    <w:rsid w:val="7360AEB3"/>
    <w:rsid w:val="739650FC"/>
    <w:rsid w:val="73E50B2D"/>
    <w:rsid w:val="74F765CA"/>
    <w:rsid w:val="7587D2B9"/>
    <w:rsid w:val="75C68404"/>
    <w:rsid w:val="75D9DC11"/>
    <w:rsid w:val="764E9090"/>
    <w:rsid w:val="768AC0E7"/>
    <w:rsid w:val="76A7BD10"/>
    <w:rsid w:val="775A77C3"/>
    <w:rsid w:val="7792CCF1"/>
    <w:rsid w:val="779FA59F"/>
    <w:rsid w:val="77DC75BB"/>
    <w:rsid w:val="77FCD7CA"/>
    <w:rsid w:val="7815391A"/>
    <w:rsid w:val="7847394E"/>
    <w:rsid w:val="787C8242"/>
    <w:rsid w:val="78A98F19"/>
    <w:rsid w:val="78DF697F"/>
    <w:rsid w:val="7A53FE65"/>
    <w:rsid w:val="7B25C487"/>
    <w:rsid w:val="7B3AAA8B"/>
    <w:rsid w:val="7B97F03C"/>
    <w:rsid w:val="7C269428"/>
    <w:rsid w:val="7C53D8CC"/>
    <w:rsid w:val="7C93E3A7"/>
    <w:rsid w:val="7C9F2191"/>
    <w:rsid w:val="7CC6B7AB"/>
    <w:rsid w:val="7D5E9599"/>
    <w:rsid w:val="7DF95318"/>
    <w:rsid w:val="7E296453"/>
    <w:rsid w:val="7E6EB156"/>
    <w:rsid w:val="7E8AAAB3"/>
    <w:rsid w:val="7EEBD6D3"/>
    <w:rsid w:val="7F2497E7"/>
    <w:rsid w:val="7F45FD32"/>
    <w:rsid w:val="7F8D1A1F"/>
    <w:rsid w:val="7F99190E"/>
    <w:rsid w:val="7FBC52E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D1501"/>
  <w15:chartTrackingRefBased/>
  <w15:docId w15:val="{30D7049C-96F7-431B-A38D-937FE448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B0"/>
    <w:rPr>
      <w:rFonts w:eastAsiaTheme="majorEastAsia" w:cstheme="majorBidi"/>
      <w:color w:val="272727" w:themeColor="text1" w:themeTint="D8"/>
    </w:rPr>
  </w:style>
  <w:style w:type="paragraph" w:styleId="Title">
    <w:name w:val="Title"/>
    <w:basedOn w:val="Normal"/>
    <w:next w:val="Normal"/>
    <w:link w:val="TitleChar"/>
    <w:uiPriority w:val="10"/>
    <w:qFormat/>
    <w:rsid w:val="00AD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B0"/>
    <w:pPr>
      <w:spacing w:before="160"/>
      <w:jc w:val="center"/>
    </w:pPr>
    <w:rPr>
      <w:i/>
      <w:iCs/>
      <w:color w:val="404040" w:themeColor="text1" w:themeTint="BF"/>
    </w:rPr>
  </w:style>
  <w:style w:type="character" w:customStyle="1" w:styleId="QuoteChar">
    <w:name w:val="Quote Char"/>
    <w:basedOn w:val="DefaultParagraphFont"/>
    <w:link w:val="Quote"/>
    <w:uiPriority w:val="29"/>
    <w:rsid w:val="00AD3AB0"/>
    <w:rPr>
      <w:i/>
      <w:iCs/>
      <w:color w:val="404040" w:themeColor="text1" w:themeTint="BF"/>
    </w:rPr>
  </w:style>
  <w:style w:type="paragraph" w:styleId="ListParagraph">
    <w:name w:val="List Paragraph"/>
    <w:basedOn w:val="Normal"/>
    <w:uiPriority w:val="34"/>
    <w:qFormat/>
    <w:rsid w:val="00AD3AB0"/>
    <w:pPr>
      <w:ind w:left="720"/>
      <w:contextualSpacing/>
    </w:pPr>
  </w:style>
  <w:style w:type="character" w:styleId="IntenseEmphasis">
    <w:name w:val="Intense Emphasis"/>
    <w:basedOn w:val="DefaultParagraphFont"/>
    <w:uiPriority w:val="21"/>
    <w:qFormat/>
    <w:rsid w:val="00AD3AB0"/>
    <w:rPr>
      <w:i/>
      <w:iCs/>
      <w:color w:val="0F4761" w:themeColor="accent1" w:themeShade="BF"/>
    </w:rPr>
  </w:style>
  <w:style w:type="paragraph" w:styleId="IntenseQuote">
    <w:name w:val="Intense Quote"/>
    <w:basedOn w:val="Normal"/>
    <w:next w:val="Normal"/>
    <w:link w:val="IntenseQuoteChar"/>
    <w:uiPriority w:val="30"/>
    <w:qFormat/>
    <w:rsid w:val="00AD3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AB0"/>
    <w:rPr>
      <w:i/>
      <w:iCs/>
      <w:color w:val="0F4761" w:themeColor="accent1" w:themeShade="BF"/>
    </w:rPr>
  </w:style>
  <w:style w:type="character" w:styleId="IntenseReference">
    <w:name w:val="Intense Reference"/>
    <w:basedOn w:val="DefaultParagraphFont"/>
    <w:uiPriority w:val="32"/>
    <w:qFormat/>
    <w:rsid w:val="00AD3AB0"/>
    <w:rPr>
      <w:b/>
      <w:bCs/>
      <w:smallCaps/>
      <w:color w:val="0F4761" w:themeColor="accent1" w:themeShade="BF"/>
      <w:spacing w:val="5"/>
    </w:rPr>
  </w:style>
  <w:style w:type="paragraph" w:customStyle="1" w:styleId="EndNoteBibliography">
    <w:name w:val="EndNote Bibliography"/>
    <w:basedOn w:val="Normal"/>
    <w:link w:val="EndNoteBibliographyChar"/>
    <w:rsid w:val="00B44C28"/>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B44C28"/>
    <w:rPr>
      <w:rFonts w:ascii="Aptos" w:hAnsi="Aptos"/>
      <w:noProof/>
      <w:lang w:val="en-US"/>
    </w:rPr>
  </w:style>
  <w:style w:type="table" w:styleId="PlainTable1">
    <w:name w:val="Plain Table 1"/>
    <w:basedOn w:val="TableNormal"/>
    <w:uiPriority w:val="41"/>
    <w:rsid w:val="00B44C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B44C28"/>
    <w:pPr>
      <w:spacing w:after="0" w:line="240" w:lineRule="auto"/>
    </w:pPr>
  </w:style>
  <w:style w:type="paragraph" w:styleId="Caption">
    <w:name w:val="caption"/>
    <w:basedOn w:val="Normal"/>
    <w:next w:val="Normal"/>
    <w:uiPriority w:val="35"/>
    <w:unhideWhenUsed/>
    <w:qFormat/>
    <w:rsid w:val="0018095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9013B"/>
    <w:rPr>
      <w:sz w:val="16"/>
      <w:szCs w:val="16"/>
    </w:rPr>
  </w:style>
  <w:style w:type="paragraph" w:styleId="CommentText">
    <w:name w:val="annotation text"/>
    <w:basedOn w:val="Normal"/>
    <w:link w:val="CommentTextChar"/>
    <w:uiPriority w:val="99"/>
    <w:unhideWhenUsed/>
    <w:rsid w:val="0049013B"/>
    <w:pPr>
      <w:spacing w:line="240" w:lineRule="auto"/>
    </w:pPr>
    <w:rPr>
      <w:sz w:val="20"/>
      <w:szCs w:val="20"/>
    </w:rPr>
  </w:style>
  <w:style w:type="character" w:customStyle="1" w:styleId="CommentTextChar">
    <w:name w:val="Comment Text Char"/>
    <w:basedOn w:val="DefaultParagraphFont"/>
    <w:link w:val="CommentText"/>
    <w:uiPriority w:val="99"/>
    <w:rsid w:val="0049013B"/>
    <w:rPr>
      <w:sz w:val="20"/>
      <w:szCs w:val="20"/>
    </w:rPr>
  </w:style>
  <w:style w:type="paragraph" w:styleId="CommentSubject">
    <w:name w:val="annotation subject"/>
    <w:basedOn w:val="CommentText"/>
    <w:next w:val="CommentText"/>
    <w:link w:val="CommentSubjectChar"/>
    <w:uiPriority w:val="99"/>
    <w:semiHidden/>
    <w:unhideWhenUsed/>
    <w:rsid w:val="0049013B"/>
    <w:rPr>
      <w:b/>
      <w:bCs/>
    </w:rPr>
  </w:style>
  <w:style w:type="character" w:customStyle="1" w:styleId="CommentSubjectChar">
    <w:name w:val="Comment Subject Char"/>
    <w:basedOn w:val="CommentTextChar"/>
    <w:link w:val="CommentSubject"/>
    <w:uiPriority w:val="99"/>
    <w:semiHidden/>
    <w:rsid w:val="0049013B"/>
    <w:rPr>
      <w:b/>
      <w:bCs/>
      <w:sz w:val="20"/>
      <w:szCs w:val="20"/>
    </w:rPr>
  </w:style>
  <w:style w:type="paragraph" w:styleId="Revision">
    <w:name w:val="Revision"/>
    <w:hidden/>
    <w:uiPriority w:val="99"/>
    <w:semiHidden/>
    <w:rsid w:val="00093C3B"/>
    <w:pPr>
      <w:spacing w:after="0" w:line="240" w:lineRule="auto"/>
    </w:pPr>
  </w:style>
  <w:style w:type="paragraph" w:customStyle="1" w:styleId="EndNoteBibliographyTitle">
    <w:name w:val="EndNote Bibliography Title"/>
    <w:basedOn w:val="Normal"/>
    <w:link w:val="EndNoteBibliographyTitleChar"/>
    <w:rsid w:val="00B60FEA"/>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60FEA"/>
    <w:rPr>
      <w:rFonts w:ascii="Aptos" w:hAnsi="Aptos"/>
      <w:noProof/>
      <w:lang w:val="en-US"/>
    </w:rPr>
  </w:style>
  <w:style w:type="paragraph" w:styleId="NormalWeb">
    <w:name w:val="Normal (Web)"/>
    <w:basedOn w:val="Normal"/>
    <w:uiPriority w:val="99"/>
    <w:semiHidden/>
    <w:unhideWhenUsed/>
    <w:rsid w:val="007900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973369">
      <w:bodyDiv w:val="1"/>
      <w:marLeft w:val="0"/>
      <w:marRight w:val="0"/>
      <w:marTop w:val="0"/>
      <w:marBottom w:val="0"/>
      <w:divBdr>
        <w:top w:val="none" w:sz="0" w:space="0" w:color="auto"/>
        <w:left w:val="none" w:sz="0" w:space="0" w:color="auto"/>
        <w:bottom w:val="none" w:sz="0" w:space="0" w:color="auto"/>
        <w:right w:val="none" w:sz="0" w:space="0" w:color="auto"/>
      </w:divBdr>
    </w:div>
    <w:div w:id="1386833248">
      <w:bodyDiv w:val="1"/>
      <w:marLeft w:val="0"/>
      <w:marRight w:val="0"/>
      <w:marTop w:val="0"/>
      <w:marBottom w:val="0"/>
      <w:divBdr>
        <w:top w:val="none" w:sz="0" w:space="0" w:color="auto"/>
        <w:left w:val="none" w:sz="0" w:space="0" w:color="auto"/>
        <w:bottom w:val="none" w:sz="0" w:space="0" w:color="auto"/>
        <w:right w:val="none" w:sz="0" w:space="0" w:color="auto"/>
      </w:divBdr>
    </w:div>
    <w:div w:id="1625188158">
      <w:bodyDiv w:val="1"/>
      <w:marLeft w:val="0"/>
      <w:marRight w:val="0"/>
      <w:marTop w:val="0"/>
      <w:marBottom w:val="0"/>
      <w:divBdr>
        <w:top w:val="none" w:sz="0" w:space="0" w:color="auto"/>
        <w:left w:val="none" w:sz="0" w:space="0" w:color="auto"/>
        <w:bottom w:val="none" w:sz="0" w:space="0" w:color="auto"/>
        <w:right w:val="none" w:sz="0" w:space="0" w:color="auto"/>
      </w:divBdr>
      <w:divsChild>
        <w:div w:id="2128811448">
          <w:marLeft w:val="0"/>
          <w:marRight w:val="0"/>
          <w:marTop w:val="0"/>
          <w:marBottom w:val="0"/>
          <w:divBdr>
            <w:top w:val="none" w:sz="0" w:space="0" w:color="auto"/>
            <w:left w:val="none" w:sz="0" w:space="0" w:color="auto"/>
            <w:bottom w:val="none" w:sz="0" w:space="0" w:color="auto"/>
            <w:right w:val="none" w:sz="0" w:space="0" w:color="auto"/>
          </w:divBdr>
        </w:div>
        <w:div w:id="1331786117">
          <w:marLeft w:val="0"/>
          <w:marRight w:val="0"/>
          <w:marTop w:val="0"/>
          <w:marBottom w:val="0"/>
          <w:divBdr>
            <w:top w:val="none" w:sz="0" w:space="0" w:color="auto"/>
            <w:left w:val="none" w:sz="0" w:space="0" w:color="auto"/>
            <w:bottom w:val="none" w:sz="0" w:space="0" w:color="auto"/>
            <w:right w:val="none" w:sz="0" w:space="0" w:color="auto"/>
          </w:divBdr>
        </w:div>
        <w:div w:id="638650207">
          <w:marLeft w:val="0"/>
          <w:marRight w:val="0"/>
          <w:marTop w:val="0"/>
          <w:marBottom w:val="0"/>
          <w:divBdr>
            <w:top w:val="none" w:sz="0" w:space="0" w:color="auto"/>
            <w:left w:val="none" w:sz="0" w:space="0" w:color="auto"/>
            <w:bottom w:val="none" w:sz="0" w:space="0" w:color="auto"/>
            <w:right w:val="none" w:sz="0" w:space="0" w:color="auto"/>
          </w:divBdr>
        </w:div>
        <w:div w:id="1506627384">
          <w:marLeft w:val="0"/>
          <w:marRight w:val="0"/>
          <w:marTop w:val="0"/>
          <w:marBottom w:val="0"/>
          <w:divBdr>
            <w:top w:val="none" w:sz="0" w:space="0" w:color="auto"/>
            <w:left w:val="none" w:sz="0" w:space="0" w:color="auto"/>
            <w:bottom w:val="none" w:sz="0" w:space="0" w:color="auto"/>
            <w:right w:val="none" w:sz="0" w:space="0" w:color="auto"/>
          </w:divBdr>
        </w:div>
        <w:div w:id="944844520">
          <w:marLeft w:val="0"/>
          <w:marRight w:val="0"/>
          <w:marTop w:val="0"/>
          <w:marBottom w:val="0"/>
          <w:divBdr>
            <w:top w:val="none" w:sz="0" w:space="0" w:color="auto"/>
            <w:left w:val="none" w:sz="0" w:space="0" w:color="auto"/>
            <w:bottom w:val="none" w:sz="0" w:space="0" w:color="auto"/>
            <w:right w:val="none" w:sz="0" w:space="0" w:color="auto"/>
          </w:divBdr>
        </w:div>
        <w:div w:id="55325781">
          <w:marLeft w:val="0"/>
          <w:marRight w:val="0"/>
          <w:marTop w:val="0"/>
          <w:marBottom w:val="0"/>
          <w:divBdr>
            <w:top w:val="none" w:sz="0" w:space="0" w:color="auto"/>
            <w:left w:val="none" w:sz="0" w:space="0" w:color="auto"/>
            <w:bottom w:val="none" w:sz="0" w:space="0" w:color="auto"/>
            <w:right w:val="none" w:sz="0" w:space="0" w:color="auto"/>
          </w:divBdr>
        </w:div>
        <w:div w:id="701899158">
          <w:marLeft w:val="0"/>
          <w:marRight w:val="0"/>
          <w:marTop w:val="0"/>
          <w:marBottom w:val="0"/>
          <w:divBdr>
            <w:top w:val="none" w:sz="0" w:space="0" w:color="auto"/>
            <w:left w:val="none" w:sz="0" w:space="0" w:color="auto"/>
            <w:bottom w:val="none" w:sz="0" w:space="0" w:color="auto"/>
            <w:right w:val="none" w:sz="0" w:space="0" w:color="auto"/>
          </w:divBdr>
        </w:div>
        <w:div w:id="264459973">
          <w:marLeft w:val="0"/>
          <w:marRight w:val="0"/>
          <w:marTop w:val="0"/>
          <w:marBottom w:val="0"/>
          <w:divBdr>
            <w:top w:val="none" w:sz="0" w:space="0" w:color="auto"/>
            <w:left w:val="none" w:sz="0" w:space="0" w:color="auto"/>
            <w:bottom w:val="none" w:sz="0" w:space="0" w:color="auto"/>
            <w:right w:val="none" w:sz="0" w:space="0" w:color="auto"/>
          </w:divBdr>
        </w:div>
        <w:div w:id="1463232955">
          <w:marLeft w:val="0"/>
          <w:marRight w:val="0"/>
          <w:marTop w:val="0"/>
          <w:marBottom w:val="0"/>
          <w:divBdr>
            <w:top w:val="none" w:sz="0" w:space="0" w:color="auto"/>
            <w:left w:val="none" w:sz="0" w:space="0" w:color="auto"/>
            <w:bottom w:val="none" w:sz="0" w:space="0" w:color="auto"/>
            <w:right w:val="none" w:sz="0" w:space="0" w:color="auto"/>
          </w:divBdr>
        </w:div>
        <w:div w:id="2059932941">
          <w:marLeft w:val="0"/>
          <w:marRight w:val="0"/>
          <w:marTop w:val="0"/>
          <w:marBottom w:val="0"/>
          <w:divBdr>
            <w:top w:val="none" w:sz="0" w:space="0" w:color="auto"/>
            <w:left w:val="none" w:sz="0" w:space="0" w:color="auto"/>
            <w:bottom w:val="none" w:sz="0" w:space="0" w:color="auto"/>
            <w:right w:val="none" w:sz="0" w:space="0" w:color="auto"/>
          </w:divBdr>
        </w:div>
        <w:div w:id="873149915">
          <w:marLeft w:val="0"/>
          <w:marRight w:val="0"/>
          <w:marTop w:val="0"/>
          <w:marBottom w:val="0"/>
          <w:divBdr>
            <w:top w:val="none" w:sz="0" w:space="0" w:color="auto"/>
            <w:left w:val="none" w:sz="0" w:space="0" w:color="auto"/>
            <w:bottom w:val="none" w:sz="0" w:space="0" w:color="auto"/>
            <w:right w:val="none" w:sz="0" w:space="0" w:color="auto"/>
          </w:divBdr>
        </w:div>
        <w:div w:id="436297725">
          <w:marLeft w:val="0"/>
          <w:marRight w:val="0"/>
          <w:marTop w:val="0"/>
          <w:marBottom w:val="0"/>
          <w:divBdr>
            <w:top w:val="none" w:sz="0" w:space="0" w:color="auto"/>
            <w:left w:val="none" w:sz="0" w:space="0" w:color="auto"/>
            <w:bottom w:val="none" w:sz="0" w:space="0" w:color="auto"/>
            <w:right w:val="none" w:sz="0" w:space="0" w:color="auto"/>
          </w:divBdr>
        </w:div>
        <w:div w:id="215895134">
          <w:marLeft w:val="0"/>
          <w:marRight w:val="0"/>
          <w:marTop w:val="0"/>
          <w:marBottom w:val="0"/>
          <w:divBdr>
            <w:top w:val="none" w:sz="0" w:space="0" w:color="auto"/>
            <w:left w:val="none" w:sz="0" w:space="0" w:color="auto"/>
            <w:bottom w:val="none" w:sz="0" w:space="0" w:color="auto"/>
            <w:right w:val="none" w:sz="0" w:space="0" w:color="auto"/>
          </w:divBdr>
        </w:div>
      </w:divsChild>
    </w:div>
    <w:div w:id="1832333021">
      <w:bodyDiv w:val="1"/>
      <w:marLeft w:val="0"/>
      <w:marRight w:val="0"/>
      <w:marTop w:val="0"/>
      <w:marBottom w:val="0"/>
      <w:divBdr>
        <w:top w:val="none" w:sz="0" w:space="0" w:color="auto"/>
        <w:left w:val="none" w:sz="0" w:space="0" w:color="auto"/>
        <w:bottom w:val="none" w:sz="0" w:space="0" w:color="auto"/>
        <w:right w:val="none" w:sz="0" w:space="0" w:color="auto"/>
      </w:divBdr>
      <w:divsChild>
        <w:div w:id="425733729">
          <w:marLeft w:val="0"/>
          <w:marRight w:val="0"/>
          <w:marTop w:val="0"/>
          <w:marBottom w:val="0"/>
          <w:divBdr>
            <w:top w:val="none" w:sz="0" w:space="0" w:color="auto"/>
            <w:left w:val="none" w:sz="0" w:space="0" w:color="auto"/>
            <w:bottom w:val="none" w:sz="0" w:space="0" w:color="auto"/>
            <w:right w:val="none" w:sz="0" w:space="0" w:color="auto"/>
          </w:divBdr>
        </w:div>
        <w:div w:id="1334723260">
          <w:marLeft w:val="0"/>
          <w:marRight w:val="0"/>
          <w:marTop w:val="0"/>
          <w:marBottom w:val="0"/>
          <w:divBdr>
            <w:top w:val="none" w:sz="0" w:space="0" w:color="auto"/>
            <w:left w:val="none" w:sz="0" w:space="0" w:color="auto"/>
            <w:bottom w:val="none" w:sz="0" w:space="0" w:color="auto"/>
            <w:right w:val="none" w:sz="0" w:space="0" w:color="auto"/>
          </w:divBdr>
        </w:div>
        <w:div w:id="1172912603">
          <w:marLeft w:val="0"/>
          <w:marRight w:val="0"/>
          <w:marTop w:val="0"/>
          <w:marBottom w:val="0"/>
          <w:divBdr>
            <w:top w:val="none" w:sz="0" w:space="0" w:color="auto"/>
            <w:left w:val="none" w:sz="0" w:space="0" w:color="auto"/>
            <w:bottom w:val="none" w:sz="0" w:space="0" w:color="auto"/>
            <w:right w:val="none" w:sz="0" w:space="0" w:color="auto"/>
          </w:divBdr>
        </w:div>
        <w:div w:id="768744567">
          <w:marLeft w:val="0"/>
          <w:marRight w:val="0"/>
          <w:marTop w:val="0"/>
          <w:marBottom w:val="0"/>
          <w:divBdr>
            <w:top w:val="none" w:sz="0" w:space="0" w:color="auto"/>
            <w:left w:val="none" w:sz="0" w:space="0" w:color="auto"/>
            <w:bottom w:val="none" w:sz="0" w:space="0" w:color="auto"/>
            <w:right w:val="none" w:sz="0" w:space="0" w:color="auto"/>
          </w:divBdr>
        </w:div>
        <w:div w:id="465665150">
          <w:marLeft w:val="0"/>
          <w:marRight w:val="0"/>
          <w:marTop w:val="0"/>
          <w:marBottom w:val="0"/>
          <w:divBdr>
            <w:top w:val="none" w:sz="0" w:space="0" w:color="auto"/>
            <w:left w:val="none" w:sz="0" w:space="0" w:color="auto"/>
            <w:bottom w:val="none" w:sz="0" w:space="0" w:color="auto"/>
            <w:right w:val="none" w:sz="0" w:space="0" w:color="auto"/>
          </w:divBdr>
        </w:div>
        <w:div w:id="564948487">
          <w:marLeft w:val="0"/>
          <w:marRight w:val="0"/>
          <w:marTop w:val="0"/>
          <w:marBottom w:val="0"/>
          <w:divBdr>
            <w:top w:val="none" w:sz="0" w:space="0" w:color="auto"/>
            <w:left w:val="none" w:sz="0" w:space="0" w:color="auto"/>
            <w:bottom w:val="none" w:sz="0" w:space="0" w:color="auto"/>
            <w:right w:val="none" w:sz="0" w:space="0" w:color="auto"/>
          </w:divBdr>
        </w:div>
        <w:div w:id="728112574">
          <w:marLeft w:val="0"/>
          <w:marRight w:val="0"/>
          <w:marTop w:val="0"/>
          <w:marBottom w:val="0"/>
          <w:divBdr>
            <w:top w:val="none" w:sz="0" w:space="0" w:color="auto"/>
            <w:left w:val="none" w:sz="0" w:space="0" w:color="auto"/>
            <w:bottom w:val="none" w:sz="0" w:space="0" w:color="auto"/>
            <w:right w:val="none" w:sz="0" w:space="0" w:color="auto"/>
          </w:divBdr>
        </w:div>
        <w:div w:id="84037908">
          <w:marLeft w:val="0"/>
          <w:marRight w:val="0"/>
          <w:marTop w:val="0"/>
          <w:marBottom w:val="0"/>
          <w:divBdr>
            <w:top w:val="none" w:sz="0" w:space="0" w:color="auto"/>
            <w:left w:val="none" w:sz="0" w:space="0" w:color="auto"/>
            <w:bottom w:val="none" w:sz="0" w:space="0" w:color="auto"/>
            <w:right w:val="none" w:sz="0" w:space="0" w:color="auto"/>
          </w:divBdr>
        </w:div>
        <w:div w:id="445583683">
          <w:marLeft w:val="0"/>
          <w:marRight w:val="0"/>
          <w:marTop w:val="0"/>
          <w:marBottom w:val="0"/>
          <w:divBdr>
            <w:top w:val="none" w:sz="0" w:space="0" w:color="auto"/>
            <w:left w:val="none" w:sz="0" w:space="0" w:color="auto"/>
            <w:bottom w:val="none" w:sz="0" w:space="0" w:color="auto"/>
            <w:right w:val="none" w:sz="0" w:space="0" w:color="auto"/>
          </w:divBdr>
        </w:div>
        <w:div w:id="888952151">
          <w:marLeft w:val="0"/>
          <w:marRight w:val="0"/>
          <w:marTop w:val="0"/>
          <w:marBottom w:val="0"/>
          <w:divBdr>
            <w:top w:val="none" w:sz="0" w:space="0" w:color="auto"/>
            <w:left w:val="none" w:sz="0" w:space="0" w:color="auto"/>
            <w:bottom w:val="none" w:sz="0" w:space="0" w:color="auto"/>
            <w:right w:val="none" w:sz="0" w:space="0" w:color="auto"/>
          </w:divBdr>
        </w:div>
        <w:div w:id="2041126896">
          <w:marLeft w:val="0"/>
          <w:marRight w:val="0"/>
          <w:marTop w:val="0"/>
          <w:marBottom w:val="0"/>
          <w:divBdr>
            <w:top w:val="none" w:sz="0" w:space="0" w:color="auto"/>
            <w:left w:val="none" w:sz="0" w:space="0" w:color="auto"/>
            <w:bottom w:val="none" w:sz="0" w:space="0" w:color="auto"/>
            <w:right w:val="none" w:sz="0" w:space="0" w:color="auto"/>
          </w:divBdr>
        </w:div>
        <w:div w:id="1299989476">
          <w:marLeft w:val="0"/>
          <w:marRight w:val="0"/>
          <w:marTop w:val="0"/>
          <w:marBottom w:val="0"/>
          <w:divBdr>
            <w:top w:val="none" w:sz="0" w:space="0" w:color="auto"/>
            <w:left w:val="none" w:sz="0" w:space="0" w:color="auto"/>
            <w:bottom w:val="none" w:sz="0" w:space="0" w:color="auto"/>
            <w:right w:val="none" w:sz="0" w:space="0" w:color="auto"/>
          </w:divBdr>
        </w:div>
        <w:div w:id="811482706">
          <w:marLeft w:val="0"/>
          <w:marRight w:val="0"/>
          <w:marTop w:val="0"/>
          <w:marBottom w:val="0"/>
          <w:divBdr>
            <w:top w:val="none" w:sz="0" w:space="0" w:color="auto"/>
            <w:left w:val="none" w:sz="0" w:space="0" w:color="auto"/>
            <w:bottom w:val="none" w:sz="0" w:space="0" w:color="auto"/>
            <w:right w:val="none" w:sz="0" w:space="0" w:color="auto"/>
          </w:divBdr>
        </w:div>
      </w:divsChild>
    </w:div>
    <w:div w:id="1958826369">
      <w:bodyDiv w:val="1"/>
      <w:marLeft w:val="0"/>
      <w:marRight w:val="0"/>
      <w:marTop w:val="0"/>
      <w:marBottom w:val="0"/>
      <w:divBdr>
        <w:top w:val="none" w:sz="0" w:space="0" w:color="auto"/>
        <w:left w:val="none" w:sz="0" w:space="0" w:color="auto"/>
        <w:bottom w:val="none" w:sz="0" w:space="0" w:color="auto"/>
        <w:right w:val="none" w:sz="0" w:space="0" w:color="auto"/>
      </w:divBdr>
      <w:divsChild>
        <w:div w:id="1565067739">
          <w:marLeft w:val="0"/>
          <w:marRight w:val="0"/>
          <w:marTop w:val="0"/>
          <w:marBottom w:val="0"/>
          <w:divBdr>
            <w:top w:val="none" w:sz="0" w:space="0" w:color="auto"/>
            <w:left w:val="none" w:sz="0" w:space="0" w:color="auto"/>
            <w:bottom w:val="none" w:sz="0" w:space="0" w:color="auto"/>
            <w:right w:val="none" w:sz="0" w:space="0" w:color="auto"/>
          </w:divBdr>
        </w:div>
        <w:div w:id="314140146">
          <w:marLeft w:val="0"/>
          <w:marRight w:val="0"/>
          <w:marTop w:val="0"/>
          <w:marBottom w:val="0"/>
          <w:divBdr>
            <w:top w:val="none" w:sz="0" w:space="0" w:color="auto"/>
            <w:left w:val="none" w:sz="0" w:space="0" w:color="auto"/>
            <w:bottom w:val="none" w:sz="0" w:space="0" w:color="auto"/>
            <w:right w:val="none" w:sz="0" w:space="0" w:color="auto"/>
          </w:divBdr>
        </w:div>
        <w:div w:id="162936052">
          <w:marLeft w:val="0"/>
          <w:marRight w:val="0"/>
          <w:marTop w:val="0"/>
          <w:marBottom w:val="0"/>
          <w:divBdr>
            <w:top w:val="none" w:sz="0" w:space="0" w:color="auto"/>
            <w:left w:val="none" w:sz="0" w:space="0" w:color="auto"/>
            <w:bottom w:val="none" w:sz="0" w:space="0" w:color="auto"/>
            <w:right w:val="none" w:sz="0" w:space="0" w:color="auto"/>
          </w:divBdr>
        </w:div>
        <w:div w:id="354114088">
          <w:marLeft w:val="0"/>
          <w:marRight w:val="0"/>
          <w:marTop w:val="0"/>
          <w:marBottom w:val="0"/>
          <w:divBdr>
            <w:top w:val="none" w:sz="0" w:space="0" w:color="auto"/>
            <w:left w:val="none" w:sz="0" w:space="0" w:color="auto"/>
            <w:bottom w:val="none" w:sz="0" w:space="0" w:color="auto"/>
            <w:right w:val="none" w:sz="0" w:space="0" w:color="auto"/>
          </w:divBdr>
        </w:div>
        <w:div w:id="1387147542">
          <w:marLeft w:val="0"/>
          <w:marRight w:val="0"/>
          <w:marTop w:val="0"/>
          <w:marBottom w:val="0"/>
          <w:divBdr>
            <w:top w:val="none" w:sz="0" w:space="0" w:color="auto"/>
            <w:left w:val="none" w:sz="0" w:space="0" w:color="auto"/>
            <w:bottom w:val="none" w:sz="0" w:space="0" w:color="auto"/>
            <w:right w:val="none" w:sz="0" w:space="0" w:color="auto"/>
          </w:divBdr>
        </w:div>
        <w:div w:id="1064790065">
          <w:marLeft w:val="0"/>
          <w:marRight w:val="0"/>
          <w:marTop w:val="0"/>
          <w:marBottom w:val="0"/>
          <w:divBdr>
            <w:top w:val="none" w:sz="0" w:space="0" w:color="auto"/>
            <w:left w:val="none" w:sz="0" w:space="0" w:color="auto"/>
            <w:bottom w:val="none" w:sz="0" w:space="0" w:color="auto"/>
            <w:right w:val="none" w:sz="0" w:space="0" w:color="auto"/>
          </w:divBdr>
        </w:div>
        <w:div w:id="978875722">
          <w:marLeft w:val="0"/>
          <w:marRight w:val="0"/>
          <w:marTop w:val="0"/>
          <w:marBottom w:val="0"/>
          <w:divBdr>
            <w:top w:val="none" w:sz="0" w:space="0" w:color="auto"/>
            <w:left w:val="none" w:sz="0" w:space="0" w:color="auto"/>
            <w:bottom w:val="none" w:sz="0" w:space="0" w:color="auto"/>
            <w:right w:val="none" w:sz="0" w:space="0" w:color="auto"/>
          </w:divBdr>
        </w:div>
        <w:div w:id="1353452310">
          <w:marLeft w:val="0"/>
          <w:marRight w:val="0"/>
          <w:marTop w:val="0"/>
          <w:marBottom w:val="0"/>
          <w:divBdr>
            <w:top w:val="none" w:sz="0" w:space="0" w:color="auto"/>
            <w:left w:val="none" w:sz="0" w:space="0" w:color="auto"/>
            <w:bottom w:val="none" w:sz="0" w:space="0" w:color="auto"/>
            <w:right w:val="none" w:sz="0" w:space="0" w:color="auto"/>
          </w:divBdr>
        </w:div>
        <w:div w:id="1124154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sv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svg"/><Relationship Id="rId40" Type="http://schemas.openxmlformats.org/officeDocument/2006/relationships/image" Target="media/image31.png"/><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microsoft.com/office/2018/08/relationships/commentsExtensible" Target="commentsExtensible.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svg"/><Relationship Id="rId43" Type="http://schemas.microsoft.com/office/2011/relationships/people" Target="people.xml"/><Relationship Id="rId8" Type="http://schemas.microsoft.com/office/2011/relationships/commentsExtended" Target="commentsExtended.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svg"/><Relationship Id="rId38" Type="http://schemas.openxmlformats.org/officeDocument/2006/relationships/image" Target="media/image29.png"/><Relationship Id="rId20" Type="http://schemas.openxmlformats.org/officeDocument/2006/relationships/image" Target="media/image11.jpeg"/><Relationship Id="rId41" Type="http://schemas.openxmlformats.org/officeDocument/2006/relationships/image" Target="media/image3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A39EB-3697-474D-9A20-DF28BBAAA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10858</Words>
  <Characters>61891</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cp:lastModifiedBy>
  <cp:revision>3</cp:revision>
  <dcterms:created xsi:type="dcterms:W3CDTF">2025-08-29T14:57:00Z</dcterms:created>
  <dcterms:modified xsi:type="dcterms:W3CDTF">2025-08-29T14:58:00Z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2d3a4bef-818d-48cb-81f2-45516cb57ad3</vt:lpwstr>
  </property>
</Properties>
</file>