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F3B9" w14:textId="77777777" w:rsidR="00A726DE" w:rsidRDefault="00000000">
      <w:pPr>
        <w:spacing w:before="1600" w:after="240"/>
        <w:jc w:val="center"/>
      </w:pPr>
      <w:r>
        <w:rPr>
          <w:b/>
          <w:bCs/>
          <w:sz w:val="96"/>
          <w:szCs w:val="96"/>
        </w:rPr>
        <w:t>₿</w:t>
      </w:r>
    </w:p>
    <w:p w14:paraId="3ECBFFBC" w14:textId="77777777" w:rsidR="00A726DE" w:rsidRDefault="00000000">
      <w:pPr>
        <w:spacing w:after="320"/>
        <w:jc w:val="center"/>
      </w:pPr>
      <w:r>
        <w:rPr>
          <w:b/>
          <w:bCs/>
          <w:sz w:val="48"/>
          <w:szCs w:val="48"/>
        </w:rPr>
        <w:t>Why Bitcoin Privacy Matters</w:t>
      </w:r>
    </w:p>
    <w:p w14:paraId="331EAEFB" w14:textId="77777777" w:rsidR="00A726DE" w:rsidRDefault="00000000">
      <w:pPr>
        <w:spacing w:after="600"/>
        <w:jc w:val="center"/>
      </w:pPr>
      <w:r>
        <w:rPr>
          <w:i/>
          <w:iCs/>
          <w:color w:val="555555"/>
          <w:sz w:val="30"/>
          <w:szCs w:val="30"/>
        </w:rPr>
        <w:t>Understanding the Surveillance You Do Not See</w:t>
      </w:r>
    </w:p>
    <w:p w14:paraId="3B2BAB4D" w14:textId="77777777" w:rsidR="00A726DE" w:rsidRDefault="00000000">
      <w:pPr>
        <w:spacing w:after="200"/>
        <w:jc w:val="center"/>
      </w:pPr>
      <w:r>
        <w:rPr>
          <w:color w:val="555555"/>
          <w:sz w:val="24"/>
          <w:szCs w:val="24"/>
        </w:rPr>
        <w:t>A Plain Language Guide</w:t>
      </w:r>
    </w:p>
    <w:p w14:paraId="155773D4" w14:textId="77777777" w:rsidR="00A726DE" w:rsidRDefault="00000000">
      <w:pPr>
        <w:spacing w:before="1000" w:after="120"/>
        <w:jc w:val="center"/>
      </w:pPr>
      <w:r>
        <w:rPr>
          <w:color w:val="555555"/>
        </w:rPr>
        <w:t xml:space="preserve">Published by </w:t>
      </w:r>
      <w:proofErr w:type="spellStart"/>
      <w:r>
        <w:rPr>
          <w:color w:val="555555"/>
        </w:rPr>
        <w:t>SatoshiShield</w:t>
      </w:r>
      <w:proofErr w:type="spellEnd"/>
    </w:p>
    <w:p w14:paraId="57035119" w14:textId="77777777" w:rsidR="00A726DE" w:rsidRDefault="00000000">
      <w:pPr>
        <w:spacing w:after="120"/>
        <w:jc w:val="center"/>
      </w:pPr>
      <w:r>
        <w:rPr>
          <w:color w:val="555555"/>
        </w:rPr>
        <w:t xml:space="preserve">Version </w:t>
      </w:r>
      <w:proofErr w:type="gramStart"/>
      <w:r>
        <w:rPr>
          <w:color w:val="555555"/>
        </w:rPr>
        <w:t>1.0  •</w:t>
      </w:r>
      <w:proofErr w:type="gramEnd"/>
      <w:r>
        <w:rPr>
          <w:color w:val="555555"/>
        </w:rPr>
        <w:t xml:space="preserve">  May 2026</w:t>
      </w:r>
    </w:p>
    <w:p w14:paraId="354B180E" w14:textId="77777777" w:rsidR="00A726DE" w:rsidRDefault="00000000">
      <w:pPr>
        <w:jc w:val="center"/>
      </w:pPr>
      <w:r>
        <w:rPr>
          <w:color w:val="555555"/>
        </w:rPr>
        <w:t>github.com/</w:t>
      </w:r>
      <w:proofErr w:type="spellStart"/>
      <w:r>
        <w:rPr>
          <w:color w:val="555555"/>
        </w:rPr>
        <w:t>cypherpilgrim</w:t>
      </w:r>
      <w:proofErr w:type="spellEnd"/>
      <w:r>
        <w:rPr>
          <w:color w:val="555555"/>
        </w:rPr>
        <w:t>/</w:t>
      </w:r>
      <w:proofErr w:type="spellStart"/>
      <w:r>
        <w:rPr>
          <w:color w:val="555555"/>
        </w:rPr>
        <w:t>satoshishield</w:t>
      </w:r>
      <w:proofErr w:type="spellEnd"/>
    </w:p>
    <w:p w14:paraId="1CE6A11D" w14:textId="77777777" w:rsidR="00A726DE" w:rsidRDefault="00000000">
      <w:r>
        <w:br w:type="page"/>
      </w:r>
    </w:p>
    <w:p w14:paraId="56BF88B6" w14:textId="77777777" w:rsidR="00A726DE" w:rsidRDefault="00000000">
      <w:pPr>
        <w:pStyle w:val="Heading1"/>
      </w:pPr>
      <w:r>
        <w:lastRenderedPageBreak/>
        <w:t>1. The Promise and the Reality</w:t>
      </w:r>
    </w:p>
    <w:p w14:paraId="0CEC8A48" w14:textId="77777777" w:rsidR="00A726DE" w:rsidRDefault="00000000">
      <w:pPr>
        <w:spacing w:after="160" w:line="320" w:lineRule="auto"/>
      </w:pPr>
      <w:r>
        <w:t>Most people think Bitcoin is anonymous. It is not. Bitcoin is pseudonymous, and that one word difference is where the trouble starts.</w:t>
      </w:r>
    </w:p>
    <w:p w14:paraId="6981AFAA" w14:textId="77777777" w:rsidR="00A726DE" w:rsidRDefault="00000000">
      <w:pPr>
        <w:spacing w:after="160" w:line="320" w:lineRule="auto"/>
      </w:pPr>
      <w:r>
        <w:t xml:space="preserve">Every transaction ever made on the Bitcoin network is recorded on a public ledger that anyone in the world can read, and the ledger does not forget. A payment made in 2014 is still there in 2026, still readable, still analyzable using techniques that did not exist when the payment was made. What keeps that public record from becoming a public record about a specific person is one thin layer of pseudonymity: a Bitcoin address is a string of letters and numbers rather than a name. </w:t>
      </w:r>
      <w:proofErr w:type="gramStart"/>
      <w:r>
        <w:t>As long as</w:t>
      </w:r>
      <w:proofErr w:type="gramEnd"/>
      <w:r>
        <w:t xml:space="preserve"> nobody connects the address to a real person, the privacy holds. The moment somebody makes that </w:t>
      </w:r>
      <w:proofErr w:type="gramStart"/>
      <w:r>
        <w:t>connection,</w:t>
      </w:r>
      <w:proofErr w:type="gramEnd"/>
      <w:r>
        <w:t xml:space="preserve"> every transaction ever made from that address becomes readable as that person's activity.</w:t>
      </w:r>
    </w:p>
    <w:p w14:paraId="2F3CFFD9" w14:textId="77777777" w:rsidR="00A726DE" w:rsidRDefault="00000000">
      <w:pPr>
        <w:spacing w:after="160" w:line="320" w:lineRule="auto"/>
      </w:pPr>
      <w:r>
        <w:t>A multi-</w:t>
      </w:r>
      <w:proofErr w:type="gramStart"/>
      <w:r>
        <w:t>billion dollar</w:t>
      </w:r>
      <w:proofErr w:type="gramEnd"/>
      <w:r>
        <w:t xml:space="preserve"> industry exists to make those connections, and this document is about that industry, what it does, and what it means for ordinary Bitcoin users.</w:t>
      </w:r>
    </w:p>
    <w:p w14:paraId="523001AC" w14:textId="77777777" w:rsidR="00A726DE" w:rsidRDefault="00A726DE">
      <w:pPr>
        <w:spacing w:after="120"/>
      </w:pPr>
    </w:p>
    <w:p w14:paraId="16BCF529" w14:textId="77777777" w:rsidR="00A726DE" w:rsidRDefault="00000000">
      <w:pPr>
        <w:pStyle w:val="Heading1"/>
      </w:pPr>
      <w:r>
        <w:t>2. Who Is Watching</w:t>
      </w:r>
    </w:p>
    <w:p w14:paraId="6A15D8EB" w14:textId="77777777" w:rsidR="00A726DE" w:rsidRDefault="00000000">
      <w:pPr>
        <w:spacing w:after="160" w:line="320" w:lineRule="auto"/>
      </w:pPr>
      <w:r>
        <w:t xml:space="preserve">The names to know are </w:t>
      </w:r>
      <w:proofErr w:type="spellStart"/>
      <w:r>
        <w:t>Chainalysis</w:t>
      </w:r>
      <w:proofErr w:type="spellEnd"/>
      <w:r>
        <w:t xml:space="preserve">, Elliptic, TRM Labs, </w:t>
      </w:r>
      <w:proofErr w:type="spellStart"/>
      <w:r>
        <w:t>CipherTrace</w:t>
      </w:r>
      <w:proofErr w:type="spellEnd"/>
      <w:r>
        <w:t xml:space="preserve">, and Arkham Intelligence. </w:t>
      </w:r>
      <w:proofErr w:type="spellStart"/>
      <w:r>
        <w:t>Chainalysis</w:t>
      </w:r>
      <w:proofErr w:type="spellEnd"/>
      <w:r>
        <w:t xml:space="preserve"> is the largest of the group, with annual revenue projected at 250 million dollars by the end of 2024 and </w:t>
      </w:r>
      <w:proofErr w:type="gramStart"/>
      <w:r>
        <w:t>the majority of</w:t>
      </w:r>
      <w:proofErr w:type="gramEnd"/>
      <w:r>
        <w:t xml:space="preserve"> that revenue coming from government contracts. Its customers include the FBI, the IRS, and the Department of Defense.</w:t>
      </w:r>
    </w:p>
    <w:p w14:paraId="632FA3F5" w14:textId="77777777" w:rsidR="00A726DE" w:rsidRDefault="00000000">
      <w:pPr>
        <w:spacing w:after="160" w:line="320" w:lineRule="auto"/>
      </w:pPr>
      <w:r>
        <w:t>The business model is straightforward. These firms collect data about Bitcoin transactions and the people behind them, organize that data into a searchable database, and sell access to anyone who will pay. The buyers fall into four groups.</w:t>
      </w:r>
    </w:p>
    <w:p w14:paraId="35B1E01F" w14:textId="77777777" w:rsidR="00A726DE" w:rsidRDefault="00000000">
      <w:pPr>
        <w:spacing w:after="160" w:line="320" w:lineRule="auto"/>
      </w:pPr>
      <w:r>
        <w:t>Government agencies use the data for tax enforcement, criminal investigations, and sanctions enforcement. In the United States this means the IRS, FBI, DEA, the Department of Justice, and the Treasury Department, and other countries have their equivalents that typically work with the same firms. Exchanges and banks use the data to decide who they will do business with, screening every incoming deposit against the database and freezing accounts when something gets flagged. Insurance companies, lenders, and employers are starting to incorporate this data into their own decisions, and most people affected do not know it is happening to them. Private investigators and lawyers buy it for divorce cases, asset recovery, and civil litigation.</w:t>
      </w:r>
    </w:p>
    <w:p w14:paraId="03EFD13E" w14:textId="77777777" w:rsidR="00A726DE" w:rsidRDefault="00A726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6DE" w14:paraId="4A646484" w14:textId="77777777">
        <w:tblPrEx>
          <w:tblCellMar>
            <w:top w:w="0" w:type="dxa"/>
            <w:bottom w:w="0" w:type="dxa"/>
          </w:tblCellMar>
        </w:tblPrEx>
        <w:tc>
          <w:tcPr>
            <w:tcW w:w="9360" w:type="dxa"/>
            <w:tcBorders>
              <w:top w:val="single" w:sz="12" w:space="0" w:color="F5A623"/>
              <w:left w:val="single" w:sz="12" w:space="0" w:color="F5A623"/>
              <w:bottom w:val="single" w:sz="4" w:space="0" w:color="CCCCCC"/>
              <w:right w:val="single" w:sz="4" w:space="0" w:color="CCCCCC"/>
            </w:tcBorders>
            <w:shd w:val="clear" w:color="auto" w:fill="FFF8E1"/>
            <w:tcMar>
              <w:top w:w="160" w:type="dxa"/>
              <w:left w:w="200" w:type="dxa"/>
              <w:bottom w:w="160" w:type="dxa"/>
              <w:right w:w="200" w:type="dxa"/>
            </w:tcMar>
          </w:tcPr>
          <w:p w14:paraId="223AF20B" w14:textId="77777777" w:rsidR="00A726DE" w:rsidRDefault="00000000">
            <w:pPr>
              <w:spacing w:line="320" w:lineRule="auto"/>
            </w:pPr>
            <w:r>
              <w:rPr>
                <w:i/>
                <w:iCs/>
              </w:rPr>
              <w:lastRenderedPageBreak/>
              <w:t xml:space="preserve">In 2020, the IRS awarded </w:t>
            </w:r>
            <w:proofErr w:type="spellStart"/>
            <w:r>
              <w:rPr>
                <w:i/>
                <w:iCs/>
              </w:rPr>
              <w:t>Chainalysis</w:t>
            </w:r>
            <w:proofErr w:type="spellEnd"/>
            <w:r>
              <w:rPr>
                <w:i/>
                <w:iCs/>
              </w:rPr>
              <w:t xml:space="preserve"> and a forensic data firm called Integra FEC a combined contract worth 1.25 million dollars, and the purpose of the contract was to develop tools that break the privacy of Monero and Bitcoin transactions sent over the Lightning Network. The contract is a matter of public record, verifiable on USAspending.gov.</w:t>
            </w:r>
          </w:p>
        </w:tc>
      </w:tr>
    </w:tbl>
    <w:p w14:paraId="0870F19A" w14:textId="77777777" w:rsidR="00A726DE" w:rsidRDefault="00A726DE">
      <w:pPr>
        <w:spacing w:after="120"/>
      </w:pPr>
    </w:p>
    <w:p w14:paraId="6FF145A8" w14:textId="77777777" w:rsidR="00A726DE" w:rsidRDefault="00000000">
      <w:pPr>
        <w:pStyle w:val="Heading1"/>
      </w:pPr>
      <w:r>
        <w:t>3. How the Watching Happens</w:t>
      </w:r>
    </w:p>
    <w:p w14:paraId="160A3E63" w14:textId="77777777" w:rsidR="00A726DE" w:rsidRDefault="00000000">
      <w:pPr>
        <w:spacing w:after="160" w:line="320" w:lineRule="auto"/>
      </w:pPr>
      <w:r>
        <w:t>The surveillance firms draw from four different data sources, and the power of their database comes from combining all four into a single picture.</w:t>
      </w:r>
    </w:p>
    <w:p w14:paraId="2208154A" w14:textId="77777777" w:rsidR="00A726DE" w:rsidRDefault="00000000">
      <w:pPr>
        <w:spacing w:after="160" w:line="320" w:lineRule="auto"/>
      </w:pPr>
      <w:r>
        <w:t xml:space="preserve">The first source is the blockchain itself. Because the Bitcoin blockchain is public, anyone can download it and analyze it, and by looking at patterns in how transactions are structured, the firms can group addresses that probably belong to the same wallet. They can identify which output of a transaction is the change going back to the sender. They can build clusters of addresses that almost certainly belong to the same person, even when those addresses look unrelated </w:t>
      </w:r>
      <w:proofErr w:type="gramStart"/>
      <w:r>
        <w:t>at a glance</w:t>
      </w:r>
      <w:proofErr w:type="gramEnd"/>
      <w:r>
        <w:t>.</w:t>
      </w:r>
    </w:p>
    <w:p w14:paraId="2B2569A3" w14:textId="77777777" w:rsidR="00A726DE" w:rsidRDefault="00000000">
      <w:pPr>
        <w:spacing w:after="160" w:line="320" w:lineRule="auto"/>
      </w:pPr>
      <w:r>
        <w:t>The second source is exchange data. Every exchange that requires identity verification has a record of every customer's name, address, government ID, and every Bitcoin address that customer has deposited from or withdrawn to, and the exchanges share this data with the surveillance firms through paid partnerships, government subpoenas, and sometimes through data breaches. The result is the same regardless of the path: the firms know who owns the addresses that interact with major exchanges.</w:t>
      </w:r>
    </w:p>
    <w:p w14:paraId="55525D11" w14:textId="77777777" w:rsidR="00A726DE" w:rsidRDefault="00000000">
      <w:pPr>
        <w:spacing w:after="160" w:line="320" w:lineRule="auto"/>
      </w:pPr>
      <w:r>
        <w:t>The third source is IP addresses, and this one is less obvious. Wallet applications, browser extensions, price trackers, and websites that display Bitcoin information all make background queries to surveillance firm servers, and every query logs the IP address of the device that made it. The firm now knows that someone at that IP address is looking up information about specific Bitcoin addresses, and over time, this builds a map of which IP addresses are interested in which on-chain activity.</w:t>
      </w:r>
    </w:p>
    <w:p w14:paraId="53C9409F" w14:textId="77777777" w:rsidR="00A726DE" w:rsidRDefault="00000000">
      <w:pPr>
        <w:spacing w:after="160" w:line="320" w:lineRule="auto"/>
      </w:pPr>
      <w:r>
        <w:t>The fourth source is deanonymization platforms. Arkham Intelligence is the clearest example, operating a website where users can attach real-world identities to Bitcoin addresses and publish those attributions for anyone to see. The company describes this as transparency; critics describe it as a public bounty system for stripping privacy from strangers. Either way, the database grows.</w:t>
      </w:r>
    </w:p>
    <w:p w14:paraId="6AC0FFBB" w14:textId="77777777" w:rsidR="00A726DE" w:rsidRDefault="00000000">
      <w:pPr>
        <w:spacing w:after="160" w:line="320" w:lineRule="auto"/>
      </w:pPr>
      <w:r>
        <w:t xml:space="preserve">Each source has limits on its own. The blockchain gives you address clusters but no names. Exchange data gives you names but only for addresses that touched the exchange. IP </w:t>
      </w:r>
      <w:r>
        <w:lastRenderedPageBreak/>
        <w:t>correlation gives you networks of interest but not always identities. Deanonymization platforms give you specific attributions but only for the addresses that have caught somebody's attention. Combined, however, the four sources become a database that can identify most active Bitcoin users with reasonable confidence.</w:t>
      </w:r>
    </w:p>
    <w:p w14:paraId="091F9F53" w14:textId="77777777" w:rsidR="00A726DE" w:rsidRDefault="00A726DE">
      <w:pPr>
        <w:spacing w:after="120"/>
      </w:pPr>
    </w:p>
    <w:p w14:paraId="1D2FE655" w14:textId="77777777" w:rsidR="00A726DE" w:rsidRDefault="00000000">
      <w:pPr>
        <w:pStyle w:val="Heading1"/>
      </w:pPr>
      <w:r>
        <w:t xml:space="preserve">4. What They Do </w:t>
      </w:r>
      <w:proofErr w:type="gramStart"/>
      <w:r>
        <w:t>With</w:t>
      </w:r>
      <w:proofErr w:type="gramEnd"/>
      <w:r>
        <w:t xml:space="preserve"> What They See</w:t>
      </w:r>
    </w:p>
    <w:p w14:paraId="51A400AD" w14:textId="77777777" w:rsidR="00A726DE" w:rsidRDefault="00000000">
      <w:pPr>
        <w:spacing w:after="160" w:line="320" w:lineRule="auto"/>
      </w:pPr>
      <w:r>
        <w:t>The product is a search engine for Bitcoin identities. A user enters an address, and the interface returns the wallet cluster, the known owner if attributed, the full transaction history, the connections to anything flagged as risky, and a risk score from zero to one hundred.</w:t>
      </w:r>
    </w:p>
    <w:p w14:paraId="1BBAD6B9" w14:textId="77777777" w:rsidR="00A726DE" w:rsidRDefault="00000000">
      <w:pPr>
        <w:spacing w:after="160" w:line="320" w:lineRule="auto"/>
      </w:pPr>
      <w:r>
        <w:t xml:space="preserve">That risk score determines what happens to the address in the real world. Exchanges check the score before accepting deposits, banks check it before approving wire transfers related to crypto, and compliance officers check it before making decisions about which customers to keep. The factors that go into the score are partly secret and partly public, but what is known is that the score goes up when an address has interacted with </w:t>
      </w:r>
      <w:proofErr w:type="spellStart"/>
      <w:r>
        <w:t>CoinJoin</w:t>
      </w:r>
      <w:proofErr w:type="spellEnd"/>
      <w:r>
        <w:t>, mixers, sanctioned addresses, ransomware wallets, addresses connected to darknet markets, or any number of other categories the firm has decided are suspicious. The score is calculated by the firm, there is no published rubric, and there is no appeal.</w:t>
      </w:r>
    </w:p>
    <w:p w14:paraId="69CC43EE" w14:textId="77777777" w:rsidR="00A726DE" w:rsidRDefault="00A726DE">
      <w:pPr>
        <w:spacing w:after="120"/>
      </w:pPr>
    </w:p>
    <w:p w14:paraId="5C5701A9" w14:textId="77777777" w:rsidR="00A726DE" w:rsidRDefault="00000000">
      <w:pPr>
        <w:pStyle w:val="Heading1"/>
      </w:pPr>
      <w:r>
        <w:t>5. The Real-World Consequences</w:t>
      </w:r>
    </w:p>
    <w:p w14:paraId="10E7A86F" w14:textId="77777777" w:rsidR="00A726DE" w:rsidRDefault="00000000">
      <w:pPr>
        <w:spacing w:after="160" w:line="320" w:lineRule="auto"/>
      </w:pPr>
      <w:r>
        <w:t>The harms are not theoretical. They are documented patterns affecting ordinary people who have committed no crime.</w:t>
      </w:r>
    </w:p>
    <w:p w14:paraId="22355D5A" w14:textId="77777777" w:rsidR="00A726DE" w:rsidRDefault="00000000">
      <w:pPr>
        <w:pStyle w:val="Heading2"/>
      </w:pPr>
      <w:r>
        <w:t>Frozen accounts and seized deposits</w:t>
      </w:r>
    </w:p>
    <w:p w14:paraId="744B13EB" w14:textId="77777777" w:rsidR="00A726DE" w:rsidRDefault="00000000">
      <w:pPr>
        <w:spacing w:after="160" w:line="320" w:lineRule="auto"/>
      </w:pPr>
      <w:r>
        <w:t>This is the most common pattern, and it happens to people every day. A user deposits Bitcoin to an exchange, the exchange's compliance system checks the deposit against the surveillance database, and something in the transaction's history triggers the risk threshold. The account gets frozen, and the user receives an email asking for documentation: source of funds, identification, transaction history from previous wallets, written explanations for specific addresses.</w:t>
      </w:r>
    </w:p>
    <w:p w14:paraId="7F48107C" w14:textId="77777777" w:rsidR="00A726DE" w:rsidRDefault="00000000">
      <w:pPr>
        <w:spacing w:after="160" w:line="320" w:lineRule="auto"/>
      </w:pPr>
      <w:r>
        <w:t xml:space="preserve">Sometimes the documentation satisfies the </w:t>
      </w:r>
      <w:proofErr w:type="gramStart"/>
      <w:r>
        <w:t>exchange</w:t>
      </w:r>
      <w:proofErr w:type="gramEnd"/>
      <w:r>
        <w:t xml:space="preserve"> and the account is unfrozen weeks or months later. Sometimes it does not, and the funds are forfeited. The user has not been charged with anything, has not been convicted of anything, and used legal tools in legal ways in their own jurisdiction, but the exchange's terms of service typically give the exchange broad </w:t>
      </w:r>
      <w:r>
        <w:lastRenderedPageBreak/>
        <w:t>authority to seize what it considers high-risk deposits, and the user's practical legal recourse is limited.</w:t>
      </w:r>
    </w:p>
    <w:p w14:paraId="0AAD5777" w14:textId="77777777" w:rsidR="00A726DE" w:rsidRDefault="00000000">
      <w:pPr>
        <w:pStyle w:val="Heading2"/>
      </w:pPr>
      <w:r>
        <w:t>Tax enforcement</w:t>
      </w:r>
    </w:p>
    <w:p w14:paraId="370131CB" w14:textId="77777777" w:rsidR="00A726DE" w:rsidRDefault="00000000">
      <w:pPr>
        <w:spacing w:after="160" w:line="320" w:lineRule="auto"/>
      </w:pPr>
      <w:r>
        <w:t xml:space="preserve">The IRS is one of </w:t>
      </w:r>
      <w:proofErr w:type="spellStart"/>
      <w:r>
        <w:t>Chainalysis's</w:t>
      </w:r>
      <w:proofErr w:type="spellEnd"/>
      <w:r>
        <w:t xml:space="preserve"> largest customers, and the agency uses the surveillance database to identify taxpayers it believes have underreported crypto income. A dedicated task force within the IRS Office of Fraud Enforcement called Operation Hidden Treasure exists for exactly this work.</w:t>
      </w:r>
    </w:p>
    <w:p w14:paraId="43E0101D" w14:textId="77777777" w:rsidR="00A726DE" w:rsidRDefault="00000000">
      <w:pPr>
        <w:spacing w:after="160" w:line="320" w:lineRule="auto"/>
      </w:pPr>
      <w:r>
        <w:t xml:space="preserve">Starting with the 2025 tax year, crypto brokers are required to issue Form 1099-DA reporting every customer's crypto activity to the IRS. Beyond </w:t>
      </w:r>
      <w:proofErr w:type="spellStart"/>
      <w:r>
        <w:t>Chainalysis</w:t>
      </w:r>
      <w:proofErr w:type="spellEnd"/>
      <w:r>
        <w:t>, the IRS has partnered with Palantir to combine blockchain analysis with the broader data fusion that Palantir is known for, and the combination is significantly more powerful than either tool alone. The reach extends to non-custodial wallets as well as exchange accounts.</w:t>
      </w:r>
    </w:p>
    <w:p w14:paraId="05D6FA70" w14:textId="77777777" w:rsidR="00A726DE" w:rsidRDefault="00000000">
      <w:pPr>
        <w:spacing w:after="160" w:line="320" w:lineRule="auto"/>
      </w:pPr>
      <w:r>
        <w:t>An audit driven by blockchain analytics is not a fair fight. The IRS arrives with a narrative constructed from years of on-chain data, and the taxpayer must either accept the narrative or disprove it, often years after the transactions in question, with whatever records they happen to have kept.</w:t>
      </w:r>
    </w:p>
    <w:p w14:paraId="23523C42" w14:textId="77777777" w:rsidR="00A726DE" w:rsidRDefault="00000000">
      <w:pPr>
        <w:pStyle w:val="Heading2"/>
      </w:pPr>
      <w:r>
        <w:t>Sanctions exposure</w:t>
      </w:r>
    </w:p>
    <w:p w14:paraId="24DE71D7" w14:textId="77777777" w:rsidR="00A726DE" w:rsidRDefault="00000000">
      <w:pPr>
        <w:spacing w:after="160" w:line="320" w:lineRule="auto"/>
      </w:pPr>
      <w:r>
        <w:t xml:space="preserve">The Treasury Department's Office of Foreign Assets Control maintains a list of specific Bitcoin addresses that are sanctioned, and funds that touch those addresses become a compliance problem for any institution connected to the US financial system. This works retroactively, which is where the real surprise lies: a transaction made with a counterparty who is clean today can become a </w:t>
      </w:r>
      <w:proofErr w:type="gramStart"/>
      <w:r>
        <w:t>liability years</w:t>
      </w:r>
      <w:proofErr w:type="gramEnd"/>
      <w:r>
        <w:t xml:space="preserve"> from now if that counterparty is later sanctioned, even for reasons unrelated to the original transaction.</w:t>
      </w:r>
    </w:p>
    <w:p w14:paraId="04C211FC" w14:textId="77777777" w:rsidR="00A726DE" w:rsidRDefault="00000000">
      <w:pPr>
        <w:pStyle w:val="Heading2"/>
      </w:pPr>
      <w:r>
        <w:t>Physical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6DE" w14:paraId="2E0FF3CC" w14:textId="77777777">
        <w:tblPrEx>
          <w:tblCellMar>
            <w:top w:w="0" w:type="dxa"/>
            <w:bottom w:w="0" w:type="dxa"/>
          </w:tblCellMar>
        </w:tblPrEx>
        <w:tc>
          <w:tcPr>
            <w:tcW w:w="9360" w:type="dxa"/>
            <w:tcBorders>
              <w:top w:val="single" w:sz="12" w:space="0" w:color="C0392B"/>
              <w:left w:val="single" w:sz="12" w:space="0" w:color="C0392B"/>
              <w:bottom w:val="single" w:sz="4" w:space="0" w:color="CCCCCC"/>
              <w:right w:val="single" w:sz="4" w:space="0" w:color="CCCCCC"/>
            </w:tcBorders>
            <w:shd w:val="clear" w:color="auto" w:fill="FDEDEC"/>
            <w:tcMar>
              <w:top w:w="160" w:type="dxa"/>
              <w:left w:w="200" w:type="dxa"/>
              <w:bottom w:w="160" w:type="dxa"/>
              <w:right w:w="200" w:type="dxa"/>
            </w:tcMar>
          </w:tcPr>
          <w:p w14:paraId="2438B1F6" w14:textId="77777777" w:rsidR="00A726DE" w:rsidRDefault="00000000">
            <w:pPr>
              <w:spacing w:line="320" w:lineRule="auto"/>
            </w:pPr>
            <w:r>
              <w:rPr>
                <w:b/>
                <w:bCs/>
              </w:rPr>
              <w:t xml:space="preserve">A known Bitcoin holder is a high-value target for ordinary criminals, </w:t>
            </w:r>
            <w:r>
              <w:t>and home invasions specifically targeting people identified as owning significant Bitcoin have been documented in many countries. The pattern is straightforward: identify someone with holdings, find their address, and threaten them until they hand over the keys. Surveillance firm databases get breached, internal employees go rogue, and once a person's identity is connected to their Bitcoin holdings in a commercial database, they have lost direct control over who knows.</w:t>
            </w:r>
          </w:p>
        </w:tc>
      </w:tr>
    </w:tbl>
    <w:p w14:paraId="3508B340" w14:textId="77777777" w:rsidR="00A726DE" w:rsidRDefault="00A726DE">
      <w:pPr>
        <w:spacing w:after="120"/>
      </w:pPr>
    </w:p>
    <w:p w14:paraId="29D1656F" w14:textId="77777777" w:rsidR="00A726DE" w:rsidRDefault="00000000">
      <w:pPr>
        <w:pStyle w:val="Heading1"/>
      </w:pPr>
      <w:r>
        <w:lastRenderedPageBreak/>
        <w:t>6. Who Is Most Exposed</w:t>
      </w:r>
    </w:p>
    <w:p w14:paraId="612D1C3A" w14:textId="77777777" w:rsidR="00A726DE" w:rsidRDefault="00000000">
      <w:pPr>
        <w:spacing w:after="160" w:line="320" w:lineRule="auto"/>
      </w:pPr>
      <w:r>
        <w:t>Bitcoin surveillance affects everyone who uses Bitcoin, but some people face more risk than others for several reasons.</w:t>
      </w:r>
    </w:p>
    <w:p w14:paraId="1AA0D329" w14:textId="77777777" w:rsidR="00A726DE" w:rsidRDefault="00000000">
      <w:pPr>
        <w:spacing w:after="160" w:line="320" w:lineRule="auto"/>
      </w:pPr>
      <w:r>
        <w:t>Holders of significant Bitcoin are obvious targets, because the larger the holdings, the more worthwhile the effort to identify and exploit the holder. The threshold at which someone becomes interesting to a determined adversary is lower than most people assume, especially outside the United States where smaller absolute amounts represent larger purchasing power.</w:t>
      </w:r>
    </w:p>
    <w:p w14:paraId="26D18990" w14:textId="77777777" w:rsidR="00A726DE" w:rsidRDefault="00000000">
      <w:pPr>
        <w:spacing w:after="160" w:line="320" w:lineRule="auto"/>
      </w:pPr>
      <w:r>
        <w:t>Journalists who pay sources, activists in countries where activism is dangerous, donors to causes that attract retaliation, and anyone supporting individuals who are themselves targets of government action all face elevated risk. For these people, the public visibility of their transactions is not just an abstract privacy issue; it is a direct safety issue for themselves and the people they support.</w:t>
      </w:r>
    </w:p>
    <w:p w14:paraId="4F971F98" w14:textId="77777777" w:rsidR="00A726DE" w:rsidRDefault="00000000">
      <w:pPr>
        <w:spacing w:after="160" w:line="320" w:lineRule="auto"/>
      </w:pPr>
      <w:r>
        <w:t>Domestic violence survivors and people with stalkers face a particular version of this risk, because a permanent, searchable financial trail is a tracking device for any adversary who knows where to look. People in unstable political environments carry the longest tail of risk: the legal donation made today can become evidence in a prosecution five years from now if the regime changes, and the blockchain does not forget.</w:t>
      </w:r>
    </w:p>
    <w:p w14:paraId="73A3F297" w14:textId="77777777" w:rsidR="00A726DE" w:rsidRDefault="00000000">
      <w:pPr>
        <w:spacing w:after="160" w:line="320" w:lineRule="auto"/>
      </w:pPr>
      <w:r>
        <w:t>Everyone else pays the baseline cost. Every payment becomes part of a permanent, searchable record available to anyone who can pay for access, with no deletion, no control over future use, and no consent given for the database to exist in the first place.</w:t>
      </w:r>
    </w:p>
    <w:p w14:paraId="739E8C07" w14:textId="77777777" w:rsidR="00A726DE" w:rsidRDefault="00A726DE">
      <w:pPr>
        <w:spacing w:after="120"/>
      </w:pPr>
    </w:p>
    <w:p w14:paraId="246EEE71" w14:textId="77777777" w:rsidR="00A726DE" w:rsidRDefault="00000000">
      <w:pPr>
        <w:pStyle w:val="Heading1"/>
      </w:pPr>
      <w:r>
        <w:t>7. What Surveillance Does Not Need</w:t>
      </w:r>
    </w:p>
    <w:p w14:paraId="4EBE2F4E" w14:textId="77777777" w:rsidR="00A726DE" w:rsidRDefault="00000000">
      <w:pPr>
        <w:spacing w:after="160" w:line="320" w:lineRule="auto"/>
      </w:pPr>
      <w:r>
        <w:t>The reassuring beliefs people use to avoid worrying about Bitcoin surveillance do not survive scrutiny. Each of the following is widely held and substantially wrong.</w:t>
      </w:r>
    </w:p>
    <w:p w14:paraId="71299D66" w14:textId="77777777" w:rsidR="00A726DE" w:rsidRDefault="00000000">
      <w:pPr>
        <w:spacing w:after="160" w:line="320" w:lineRule="auto"/>
      </w:pPr>
      <w:r>
        <w:rPr>
          <w:b/>
          <w:bCs/>
        </w:rPr>
        <w:t xml:space="preserve">They do not have my name. </w:t>
      </w:r>
      <w:r>
        <w:t>They may not need it. An IP address, a device fingerprint, a behavioral pattern, or a single visible transaction can identify a person across services, and the name is an output of the analysis rather than a precondition for it. Even if they do not have a name today, they may have it tomorrow, because the data is permanent and new linkage techniques are applied retroactively to old records.</w:t>
      </w:r>
    </w:p>
    <w:p w14:paraId="648838A1" w14:textId="77777777" w:rsidR="00A726DE" w:rsidRDefault="00000000">
      <w:pPr>
        <w:spacing w:after="160" w:line="320" w:lineRule="auto"/>
      </w:pPr>
      <w:r>
        <w:rPr>
          <w:b/>
          <w:bCs/>
        </w:rPr>
        <w:t xml:space="preserve">I have not done anything wrong. </w:t>
      </w:r>
      <w:r>
        <w:t xml:space="preserve">Surveillance harms exist independent of wrongdoing. Account freezes, tax audits, tainted funds, and physical safety risks affect people who have committed no offense. Using </w:t>
      </w:r>
      <w:proofErr w:type="spellStart"/>
      <w:r>
        <w:t>CoinJoin</w:t>
      </w:r>
      <w:proofErr w:type="spellEnd"/>
      <w:r>
        <w:t xml:space="preserve"> is legal, running a Bitcoin node is legal, and sending </w:t>
      </w:r>
      <w:r>
        <w:lastRenderedPageBreak/>
        <w:t>Bitcoin to family abroad is legal, but all of these can raise a risk score and trigger consequences anyway.</w:t>
      </w:r>
    </w:p>
    <w:p w14:paraId="58F16BF4" w14:textId="77777777" w:rsidR="00A726DE" w:rsidRDefault="00000000">
      <w:pPr>
        <w:spacing w:after="160" w:line="320" w:lineRule="auto"/>
      </w:pPr>
      <w:r>
        <w:rPr>
          <w:b/>
          <w:bCs/>
        </w:rPr>
        <w:t xml:space="preserve">They would need a court order. </w:t>
      </w:r>
      <w:r>
        <w:t>Most data collection happens through commercial agreements that require no court involvement. The exchange shares data because it is in the exchange's interest, the wallet app phones home because the developer included an SDK that does so, and the browser extension queries the surveillance firm because that is what it was built to do. Court orders are used for the final mile, compelling specific records for specific cases, but by the time a court order is involved, the surveillance has already happened.</w:t>
      </w:r>
    </w:p>
    <w:p w14:paraId="40C745F5" w14:textId="77777777" w:rsidR="00A726DE" w:rsidRDefault="00000000">
      <w:pPr>
        <w:spacing w:after="160" w:line="320" w:lineRule="auto"/>
      </w:pPr>
      <w:r>
        <w:rPr>
          <w:b/>
          <w:bCs/>
        </w:rPr>
        <w:t xml:space="preserve">I am a small fish. </w:t>
      </w:r>
      <w:r>
        <w:t>Software changed the economics. The marginal cost of analyzing one more address is near zero, and the marginal cost of identifying one more person is near zero. Small fish are surveilled at scale, automatically, by default, and the cost of being noticed is paid by the small fish rather than by the firm doing the noticing.</w:t>
      </w:r>
    </w:p>
    <w:p w14:paraId="37D3AB6F" w14:textId="77777777" w:rsidR="00A726DE" w:rsidRDefault="00A726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26DE" w14:paraId="04D8097A" w14:textId="77777777">
        <w:tblPrEx>
          <w:tblCellMar>
            <w:top w:w="0" w:type="dxa"/>
            <w:bottom w:w="0" w:type="dxa"/>
          </w:tblCellMar>
        </w:tblPrEx>
        <w:tc>
          <w:tcPr>
            <w:tcW w:w="9360" w:type="dxa"/>
            <w:tcBorders>
              <w:top w:val="single" w:sz="12" w:space="0" w:color="F5A623"/>
              <w:left w:val="single" w:sz="12" w:space="0" w:color="F5A623"/>
              <w:bottom w:val="single" w:sz="4" w:space="0" w:color="CCCCCC"/>
              <w:right w:val="single" w:sz="4" w:space="0" w:color="CCCCCC"/>
            </w:tcBorders>
            <w:shd w:val="clear" w:color="auto" w:fill="FFF8E1"/>
            <w:tcMar>
              <w:top w:w="160" w:type="dxa"/>
              <w:left w:w="200" w:type="dxa"/>
              <w:bottom w:w="160" w:type="dxa"/>
              <w:right w:w="200" w:type="dxa"/>
            </w:tcMar>
          </w:tcPr>
          <w:p w14:paraId="4E649C96" w14:textId="77777777" w:rsidR="00A726DE" w:rsidRDefault="00000000">
            <w:pPr>
              <w:spacing w:line="320" w:lineRule="auto"/>
            </w:pPr>
            <w:r>
              <w:rPr>
                <w:i/>
                <w:iCs/>
              </w:rPr>
              <w:t>A person does not need to do anything wrong to be harmed by surveillance. They just need to be visible to it.</w:t>
            </w:r>
          </w:p>
        </w:tc>
      </w:tr>
    </w:tbl>
    <w:p w14:paraId="6EF03EC5" w14:textId="77777777" w:rsidR="00A726DE" w:rsidRDefault="00A726DE">
      <w:pPr>
        <w:spacing w:after="120"/>
      </w:pPr>
    </w:p>
    <w:p w14:paraId="11A50747" w14:textId="77777777" w:rsidR="00A726DE" w:rsidRDefault="00000000">
      <w:pPr>
        <w:pStyle w:val="Heading1"/>
      </w:pPr>
      <w:r>
        <w:t>8. Defending Against Surveillance</w:t>
      </w:r>
    </w:p>
    <w:p w14:paraId="0314DE14" w14:textId="77777777" w:rsidR="00A726DE" w:rsidRDefault="00000000">
      <w:pPr>
        <w:spacing w:after="160" w:line="320" w:lineRule="auto"/>
      </w:pPr>
      <w:r>
        <w:t>Strong Bitcoin privacy is not a single tool but a stack of defenses, each addressing a different way that information leaks. Meaningful privacy requires effort at four layers, and most people are unaware that the fourth layer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A726DE" w14:paraId="7ECE27A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2E2E"/>
            <w:tcMar>
              <w:top w:w="100" w:type="dxa"/>
              <w:left w:w="140" w:type="dxa"/>
              <w:bottom w:w="100" w:type="dxa"/>
              <w:right w:w="140" w:type="dxa"/>
            </w:tcMar>
            <w:vAlign w:val="center"/>
          </w:tcPr>
          <w:p w14:paraId="529849FB" w14:textId="77777777" w:rsidR="00A726DE" w:rsidRDefault="00000000">
            <w:r>
              <w:rPr>
                <w:b/>
                <w:bCs/>
                <w:color w:val="FFFFFF"/>
              </w:rPr>
              <w:t>Layer</w:t>
            </w:r>
          </w:p>
        </w:tc>
        <w:tc>
          <w:tcPr>
            <w:tcW w:w="3400" w:type="dxa"/>
            <w:tcBorders>
              <w:top w:val="single" w:sz="4" w:space="0" w:color="CCCCCC"/>
              <w:left w:val="single" w:sz="4" w:space="0" w:color="CCCCCC"/>
              <w:bottom w:val="single" w:sz="4" w:space="0" w:color="CCCCCC"/>
              <w:right w:val="single" w:sz="4" w:space="0" w:color="CCCCCC"/>
            </w:tcBorders>
            <w:shd w:val="clear" w:color="auto" w:fill="2E2E2E"/>
            <w:tcMar>
              <w:top w:w="100" w:type="dxa"/>
              <w:left w:w="140" w:type="dxa"/>
              <w:bottom w:w="100" w:type="dxa"/>
              <w:right w:w="140" w:type="dxa"/>
            </w:tcMar>
            <w:vAlign w:val="center"/>
          </w:tcPr>
          <w:p w14:paraId="375AFC2D" w14:textId="77777777" w:rsidR="00A726DE" w:rsidRDefault="00000000">
            <w:r>
              <w:rPr>
                <w:b/>
                <w:bCs/>
                <w:color w:val="FFFFFF"/>
              </w:rPr>
              <w:t>What it protects</w:t>
            </w:r>
          </w:p>
        </w:tc>
        <w:tc>
          <w:tcPr>
            <w:tcW w:w="3760" w:type="dxa"/>
            <w:tcBorders>
              <w:top w:val="single" w:sz="4" w:space="0" w:color="CCCCCC"/>
              <w:left w:val="single" w:sz="4" w:space="0" w:color="CCCCCC"/>
              <w:bottom w:val="single" w:sz="4" w:space="0" w:color="CCCCCC"/>
              <w:right w:val="single" w:sz="4" w:space="0" w:color="CCCCCC"/>
            </w:tcBorders>
            <w:shd w:val="clear" w:color="auto" w:fill="2E2E2E"/>
            <w:tcMar>
              <w:top w:w="100" w:type="dxa"/>
              <w:left w:w="140" w:type="dxa"/>
              <w:bottom w:w="100" w:type="dxa"/>
              <w:right w:w="140" w:type="dxa"/>
            </w:tcMar>
            <w:vAlign w:val="center"/>
          </w:tcPr>
          <w:p w14:paraId="38891A99" w14:textId="77777777" w:rsidR="00A726DE" w:rsidRDefault="00000000">
            <w:r>
              <w:rPr>
                <w:b/>
                <w:bCs/>
                <w:color w:val="FFFFFF"/>
              </w:rPr>
              <w:t>Common tools</w:t>
            </w:r>
          </w:p>
        </w:tc>
      </w:tr>
      <w:tr w:rsidR="00A726DE" w14:paraId="6EAAA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D4748E" w14:textId="77777777" w:rsidR="00A726DE" w:rsidRDefault="00000000">
            <w:r>
              <w:rPr>
                <w:b/>
                <w:bCs/>
              </w:rPr>
              <w:t>Node sovereignty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8856AA" w14:textId="77777777" w:rsidR="00A726DE" w:rsidRDefault="00000000">
            <w:r>
              <w:t>Prevents a wallet from leaking address activity to third-party servers operated by surveillance firms or their data sources.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715A86" w14:textId="77777777" w:rsidR="00A726DE" w:rsidRDefault="00000000">
            <w:r>
              <w:t xml:space="preserve">Run a Bitcoin full node (Start9, </w:t>
            </w:r>
            <w:proofErr w:type="spellStart"/>
            <w:r>
              <w:t>Umbrel</w:t>
            </w:r>
            <w:proofErr w:type="spellEnd"/>
            <w:r>
              <w:t xml:space="preserve">, </w:t>
            </w:r>
            <w:proofErr w:type="spellStart"/>
            <w:r>
              <w:t>RaspiBlitz</w:t>
            </w:r>
            <w:proofErr w:type="spellEnd"/>
            <w:r>
              <w:t>). Connect the wallet only to that node.</w:t>
            </w:r>
          </w:p>
        </w:tc>
      </w:tr>
      <w:tr w:rsidR="00A726DE" w14:paraId="089A9B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247AE45F" w14:textId="77777777" w:rsidR="00A726DE" w:rsidRDefault="00000000">
            <w:r>
              <w:rPr>
                <w:b/>
                <w:bCs/>
              </w:rPr>
              <w:t>Blockchain layer</w:t>
            </w:r>
          </w:p>
        </w:tc>
        <w:tc>
          <w:tcPr>
            <w:tcW w:w="3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1997CEEE" w14:textId="77777777" w:rsidR="00A726DE" w:rsidRDefault="00000000">
            <w:r>
              <w:t>Breaks the on-chain link between coins so that graph analysis cannot trace the funds backward.</w:t>
            </w:r>
          </w:p>
        </w:tc>
        <w:tc>
          <w:tcPr>
            <w:tcW w:w="376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6FEA3FB3" w14:textId="77777777" w:rsidR="00A726DE" w:rsidRDefault="00000000">
            <w:proofErr w:type="spellStart"/>
            <w:r>
              <w:t>CoinJoin</w:t>
            </w:r>
            <w:proofErr w:type="spellEnd"/>
            <w:r>
              <w:t>, coin control, single-use addresses, avoiding KYC exchanges.</w:t>
            </w:r>
          </w:p>
        </w:tc>
      </w:tr>
      <w:tr w:rsidR="00A726DE" w14:paraId="1E75A2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4E7539" w14:textId="77777777" w:rsidR="00A726DE" w:rsidRDefault="00000000">
            <w:r>
              <w:rPr>
                <w:b/>
                <w:bCs/>
              </w:rPr>
              <w:t>Transport layer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F3CEFF" w14:textId="77777777" w:rsidR="00A726DE" w:rsidRDefault="00000000">
            <w:r>
              <w:t>Hides the user's IP address from anyone watching network connections.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58C476" w14:textId="77777777" w:rsidR="00A726DE" w:rsidRDefault="00000000">
            <w:r>
              <w:t xml:space="preserve">Tor for wallet traffic. </w:t>
            </w:r>
            <w:proofErr w:type="spellStart"/>
            <w:r>
              <w:t>Mullvad</w:t>
            </w:r>
            <w:proofErr w:type="spellEnd"/>
            <w:r>
              <w:t xml:space="preserve"> or similar VPN for general transport.</w:t>
            </w:r>
          </w:p>
        </w:tc>
      </w:tr>
      <w:tr w:rsidR="00A726DE" w14:paraId="4A7C44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21EFCA4E" w14:textId="77777777" w:rsidR="00A726DE" w:rsidRDefault="00000000">
            <w:r>
              <w:rPr>
                <w:b/>
                <w:bCs/>
              </w:rPr>
              <w:lastRenderedPageBreak/>
              <w:t>DNS layer</w:t>
            </w:r>
          </w:p>
        </w:tc>
        <w:tc>
          <w:tcPr>
            <w:tcW w:w="3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0730CFEE" w14:textId="77777777" w:rsidR="00A726DE" w:rsidRDefault="00000000">
            <w:r>
              <w:t>Stops devices from quietly contacting surveillance firm servers in the background.</w:t>
            </w:r>
          </w:p>
        </w:tc>
        <w:tc>
          <w:tcPr>
            <w:tcW w:w="376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40" w:type="dxa"/>
              <w:bottom w:w="100" w:type="dxa"/>
              <w:right w:w="140" w:type="dxa"/>
            </w:tcMar>
          </w:tcPr>
          <w:p w14:paraId="76A59CC6" w14:textId="77777777" w:rsidR="00A726DE" w:rsidRDefault="00000000">
            <w:r>
              <w:t xml:space="preserve">Pi-hole or </w:t>
            </w:r>
            <w:proofErr w:type="spellStart"/>
            <w:r>
              <w:t>AdGuard</w:t>
            </w:r>
            <w:proofErr w:type="spellEnd"/>
            <w:r>
              <w:t xml:space="preserve"> Home, with the </w:t>
            </w:r>
            <w:proofErr w:type="spellStart"/>
            <w:r>
              <w:t>SatoshiShield</w:t>
            </w:r>
            <w:proofErr w:type="spellEnd"/>
            <w:r>
              <w:t xml:space="preserve"> blocklist or equivalent.</w:t>
            </w:r>
          </w:p>
        </w:tc>
      </w:tr>
    </w:tbl>
    <w:p w14:paraId="1C59E40A" w14:textId="77777777" w:rsidR="00A726DE" w:rsidRDefault="00A726DE">
      <w:pPr>
        <w:spacing w:after="120"/>
      </w:pPr>
    </w:p>
    <w:p w14:paraId="3F8E1053" w14:textId="77777777" w:rsidR="00A726DE" w:rsidRDefault="00000000">
      <w:pPr>
        <w:spacing w:after="160" w:line="320" w:lineRule="auto"/>
      </w:pPr>
      <w:r>
        <w:t>The DNS layer is the one almost nobody talks about, and it is the one that quietly does the most damage when it is missing. Wallet apps, browser extensions, and websites make background queries to surveillance firm servers as a routine part of how they operate, and a VPN does not stop these queries; it just routes them through a different IP. A Bitcoin node does not stop them either, because the node only handles wallet traffic and not the dozens of other apps on the same network. The only complete defense at this layer is to prevent the queries from being made at all, and that is what DNS-level blocking does.</w:t>
      </w:r>
    </w:p>
    <w:p w14:paraId="48151EF0" w14:textId="77777777" w:rsidR="00A726DE" w:rsidRDefault="00A726DE">
      <w:pPr>
        <w:spacing w:after="120"/>
      </w:pPr>
    </w:p>
    <w:p w14:paraId="6D50AE68" w14:textId="77777777" w:rsidR="00A726DE" w:rsidRDefault="00000000">
      <w:pPr>
        <w:pStyle w:val="Heading1"/>
      </w:pPr>
      <w:r>
        <w:t xml:space="preserve">9. A Note on </w:t>
      </w:r>
      <w:proofErr w:type="spellStart"/>
      <w:r>
        <w:t>SatoshiShield</w:t>
      </w:r>
      <w:proofErr w:type="spellEnd"/>
    </w:p>
    <w:p w14:paraId="4B3FC816" w14:textId="77777777" w:rsidR="00A726DE" w:rsidRDefault="00000000">
      <w:pPr>
        <w:spacing w:after="160" w:line="320" w:lineRule="auto"/>
      </w:pPr>
      <w:proofErr w:type="spellStart"/>
      <w:r>
        <w:t>SatoshiShield</w:t>
      </w:r>
      <w:proofErr w:type="spellEnd"/>
      <w:r>
        <w:t xml:space="preserve"> is a free, open-source DNS blocklist that addresses the fourth layer. It is not a complete privacy solution, but rather one specific defense against one specific category of leakage.</w:t>
      </w:r>
    </w:p>
    <w:p w14:paraId="68EBDB04" w14:textId="77777777" w:rsidR="00A726DE" w:rsidRDefault="00000000">
      <w:pPr>
        <w:spacing w:after="160" w:line="320" w:lineRule="auto"/>
      </w:pPr>
      <w:r>
        <w:t xml:space="preserve">The list contains the domain names of confirmed Bitcoin surveillance firms, and when the list is installed on a home network's DNS resolver (Pi-hole, </w:t>
      </w:r>
      <w:proofErr w:type="spellStart"/>
      <w:r>
        <w:t>AdGuard</w:t>
      </w:r>
      <w:proofErr w:type="spellEnd"/>
      <w:r>
        <w:t xml:space="preserve"> Home, or others), every device on the network is blocked from reaching the listed servers. The wallet app on the phone, the browser extension on the laptop, the price tracker on the tablet: each of them tries to phone home to a </w:t>
      </w:r>
      <w:proofErr w:type="spellStart"/>
      <w:r>
        <w:t>Chainalysis</w:t>
      </w:r>
      <w:proofErr w:type="spellEnd"/>
      <w:r>
        <w:t xml:space="preserve"> or Elliptic or TRM Labs server, and the connection silently fails. The query never leaves the network, and the firm has nothing to log.</w:t>
      </w:r>
    </w:p>
    <w:p w14:paraId="3B3E1F4A" w14:textId="77777777" w:rsidR="00A726DE" w:rsidRDefault="00000000">
      <w:pPr>
        <w:spacing w:after="160" w:line="320" w:lineRule="auto"/>
      </w:pPr>
      <w:proofErr w:type="spellStart"/>
      <w:r>
        <w:t>SatoshiShield</w:t>
      </w:r>
      <w:proofErr w:type="spellEnd"/>
      <w:r>
        <w:t xml:space="preserve"> blocks 14 confirmed surveillance firms in its main list, including </w:t>
      </w:r>
      <w:proofErr w:type="spellStart"/>
      <w:r>
        <w:t>Chainalysis</w:t>
      </w:r>
      <w:proofErr w:type="spellEnd"/>
      <w:r>
        <w:t xml:space="preserve">, Elliptic, TRM Labs, </w:t>
      </w:r>
      <w:proofErr w:type="spellStart"/>
      <w:r>
        <w:t>CipherTrace</w:t>
      </w:r>
      <w:proofErr w:type="spellEnd"/>
      <w:r>
        <w:t xml:space="preserve">, Arkham Intelligence, Crystal Blockchain, </w:t>
      </w:r>
      <w:proofErr w:type="spellStart"/>
      <w:r>
        <w:t>Scorechain</w:t>
      </w:r>
      <w:proofErr w:type="spellEnd"/>
      <w:r>
        <w:t xml:space="preserve">, Merkle Science, </w:t>
      </w:r>
      <w:proofErr w:type="spellStart"/>
      <w:r>
        <w:t>MetaSleuth</w:t>
      </w:r>
      <w:proofErr w:type="spellEnd"/>
      <w:r>
        <w:t xml:space="preserve">, Breadcrumbs, </w:t>
      </w:r>
      <w:proofErr w:type="spellStart"/>
      <w:r>
        <w:t>Glassnode</w:t>
      </w:r>
      <w:proofErr w:type="spellEnd"/>
      <w:r>
        <w:t>, and Nansen. Every domain in the list is documented with the company operating it, the category of surveillance, the specific harm to privacy, and a source link, so anyone can audit the list.</w:t>
      </w:r>
    </w:p>
    <w:p w14:paraId="594336DE" w14:textId="77777777" w:rsidR="00A726DE" w:rsidRDefault="00000000">
      <w:pPr>
        <w:spacing w:after="160" w:line="320" w:lineRule="auto"/>
      </w:pPr>
      <w:r>
        <w:t xml:space="preserve">What </w:t>
      </w:r>
      <w:proofErr w:type="spellStart"/>
      <w:r>
        <w:t>SatoshiShield</w:t>
      </w:r>
      <w:proofErr w:type="spellEnd"/>
      <w:r>
        <w:t xml:space="preserve"> does:</w:t>
      </w:r>
    </w:p>
    <w:p w14:paraId="029CCC74" w14:textId="77777777" w:rsidR="00A726DE" w:rsidRDefault="00000000">
      <w:pPr>
        <w:pStyle w:val="ListParagraph"/>
        <w:numPr>
          <w:ilvl w:val="0"/>
          <w:numId w:val="2"/>
        </w:numPr>
        <w:spacing w:after="100" w:line="300" w:lineRule="auto"/>
      </w:pPr>
      <w:r>
        <w:t>Blocks DNS queries to known surveillance firm domains for every device on the network</w:t>
      </w:r>
    </w:p>
    <w:p w14:paraId="545C1D89" w14:textId="77777777" w:rsidR="00A726DE" w:rsidRDefault="00000000">
      <w:pPr>
        <w:pStyle w:val="ListParagraph"/>
        <w:numPr>
          <w:ilvl w:val="0"/>
          <w:numId w:val="2"/>
        </w:numPr>
        <w:spacing w:after="100" w:line="300" w:lineRule="auto"/>
      </w:pPr>
      <w:r>
        <w:t>Prevents wallets, browsers, and apps from logging user activity at those firms</w:t>
      </w:r>
    </w:p>
    <w:p w14:paraId="6CE5EEBB" w14:textId="77777777" w:rsidR="00A726DE" w:rsidRDefault="00000000">
      <w:pPr>
        <w:pStyle w:val="ListParagraph"/>
        <w:numPr>
          <w:ilvl w:val="0"/>
          <w:numId w:val="2"/>
        </w:numPr>
        <w:spacing w:after="100" w:line="300" w:lineRule="auto"/>
      </w:pPr>
      <w:r>
        <w:t>Provides transparent, auditable evidence so anyone can verify what is blocked and why</w:t>
      </w:r>
    </w:p>
    <w:p w14:paraId="4C04643C" w14:textId="77777777" w:rsidR="00A726DE" w:rsidRDefault="00000000">
      <w:pPr>
        <w:spacing w:after="160" w:line="320" w:lineRule="auto"/>
      </w:pPr>
      <w:r>
        <w:t xml:space="preserve">What </w:t>
      </w:r>
      <w:proofErr w:type="spellStart"/>
      <w:r>
        <w:t>SatoshiShield</w:t>
      </w:r>
      <w:proofErr w:type="spellEnd"/>
      <w:r>
        <w:t xml:space="preserve"> does not do:</w:t>
      </w:r>
    </w:p>
    <w:p w14:paraId="5F8625A4" w14:textId="77777777" w:rsidR="00A726DE" w:rsidRDefault="00000000">
      <w:pPr>
        <w:pStyle w:val="ListParagraph"/>
        <w:numPr>
          <w:ilvl w:val="0"/>
          <w:numId w:val="2"/>
        </w:numPr>
        <w:spacing w:after="100" w:line="300" w:lineRule="auto"/>
      </w:pPr>
      <w:r>
        <w:lastRenderedPageBreak/>
        <w:t>It does not stop on-chain analysis, because surveillance firms can still analyze the blockchain itself</w:t>
      </w:r>
    </w:p>
    <w:p w14:paraId="385EE83C" w14:textId="77777777" w:rsidR="00A726DE" w:rsidRDefault="00000000">
      <w:pPr>
        <w:pStyle w:val="ListParagraph"/>
        <w:numPr>
          <w:ilvl w:val="0"/>
          <w:numId w:val="2"/>
        </w:numPr>
        <w:spacing w:after="100" w:line="300" w:lineRule="auto"/>
      </w:pPr>
      <w:r>
        <w:t>It does not protect against KYC exchanges that share data directly</w:t>
      </w:r>
    </w:p>
    <w:p w14:paraId="2C000F9A" w14:textId="77777777" w:rsidR="00A726DE" w:rsidRDefault="00000000">
      <w:pPr>
        <w:pStyle w:val="ListParagraph"/>
        <w:numPr>
          <w:ilvl w:val="0"/>
          <w:numId w:val="2"/>
        </w:numPr>
        <w:spacing w:after="100" w:line="300" w:lineRule="auto"/>
      </w:pPr>
      <w:r>
        <w:t>It does not replace the other three privacy layers; it complements them</w:t>
      </w:r>
    </w:p>
    <w:p w14:paraId="19635D91" w14:textId="77777777" w:rsidR="00A726DE" w:rsidRDefault="00000000">
      <w:pPr>
        <w:spacing w:after="160" w:line="320" w:lineRule="auto"/>
      </w:pPr>
      <w:proofErr w:type="spellStart"/>
      <w:r>
        <w:t>SatoshiShield</w:t>
      </w:r>
      <w:proofErr w:type="spellEnd"/>
      <w:r>
        <w:t xml:space="preserve"> is published openly at github.com/</w:t>
      </w:r>
      <w:proofErr w:type="spellStart"/>
      <w:r>
        <w:t>cypherpilgrim</w:t>
      </w:r>
      <w:proofErr w:type="spellEnd"/>
      <w:r>
        <w:t>/</w:t>
      </w:r>
      <w:proofErr w:type="spellStart"/>
      <w:r>
        <w:t>satoshishield</w:t>
      </w:r>
      <w:proofErr w:type="spellEnd"/>
      <w:r>
        <w:t>, with the blocklists, the evidence for each domain, the white paper explaining the methodology, and a contributor guide for submitting improvements all available. The transparency is the point, because a privacy tool that cannot be audited is itself a risk.</w:t>
      </w:r>
    </w:p>
    <w:p w14:paraId="14093641" w14:textId="77777777" w:rsidR="00A726DE" w:rsidRDefault="00A726DE">
      <w:pPr>
        <w:spacing w:after="120"/>
      </w:pPr>
    </w:p>
    <w:p w14:paraId="40732664" w14:textId="77777777" w:rsidR="00A726DE" w:rsidRDefault="00000000">
      <w:pPr>
        <w:pStyle w:val="Heading1"/>
      </w:pPr>
      <w:r>
        <w:t>10. What to Do Now</w:t>
      </w:r>
    </w:p>
    <w:p w14:paraId="1C94AECF" w14:textId="612638D8" w:rsidR="00A726DE" w:rsidRDefault="00000000">
      <w:pPr>
        <w:spacing w:after="160" w:line="320" w:lineRule="auto"/>
      </w:pPr>
      <w:r>
        <w:t>Practical next steps, in order of impact relative to effort. Choose the level that fits the situation.</w:t>
      </w:r>
      <w:r w:rsidR="00632084">
        <w:t xml:space="preserve"> If you are not the technical type or do not think you are technical enough, ask AI for a </w:t>
      </w:r>
      <w:proofErr w:type="gramStart"/>
      <w:r w:rsidR="00632084">
        <w:t>step by step</w:t>
      </w:r>
      <w:proofErr w:type="gramEnd"/>
      <w:r w:rsidR="00632084">
        <w:t xml:space="preserve"> guide on how to do what you need to do. If there are errors, copy and paste into AI and AI can help you resolve any issues quickly and efficiently.</w:t>
      </w:r>
    </w:p>
    <w:p w14:paraId="0F0304EF" w14:textId="77777777" w:rsidR="00A726DE" w:rsidRDefault="00000000">
      <w:pPr>
        <w:spacing w:after="160" w:line="320" w:lineRule="auto"/>
      </w:pPr>
      <w:r>
        <w:rPr>
          <w:b/>
          <w:bCs/>
        </w:rPr>
        <w:t xml:space="preserve">The minimum, under an hour: </w:t>
      </w:r>
      <w:r>
        <w:t xml:space="preserve">Install Pi-hole on the home network and apply the </w:t>
      </w:r>
      <w:proofErr w:type="spellStart"/>
      <w:r>
        <w:t>SatoshiShield</w:t>
      </w:r>
      <w:proofErr w:type="spellEnd"/>
      <w:r>
        <w:t xml:space="preserve"> blocklist. This single action protects every device on the network, including phones, laptops, tablets, and smart TVs, and the cost is zero with minimal maintenance. If Pi-hole is too technical, </w:t>
      </w:r>
      <w:proofErr w:type="spellStart"/>
      <w:r>
        <w:t>AdGuard</w:t>
      </w:r>
      <w:proofErr w:type="spellEnd"/>
      <w:r>
        <w:t xml:space="preserve"> Home offers a similar capability with a friendlier interface.</w:t>
      </w:r>
    </w:p>
    <w:p w14:paraId="01E0EE1D" w14:textId="77777777" w:rsidR="00A726DE" w:rsidRDefault="00000000">
      <w:pPr>
        <w:spacing w:after="160" w:line="320" w:lineRule="auto"/>
      </w:pPr>
      <w:r>
        <w:rPr>
          <w:b/>
          <w:bCs/>
        </w:rPr>
        <w:t xml:space="preserve">Solid baseline, a weekend project: </w:t>
      </w:r>
      <w:r>
        <w:t xml:space="preserve">Add a privacy-respecting VPN such as </w:t>
      </w:r>
      <w:proofErr w:type="spellStart"/>
      <w:r>
        <w:t>Mullvad</w:t>
      </w:r>
      <w:proofErr w:type="spellEnd"/>
      <w:r>
        <w:t xml:space="preserve"> or IVPN, configured to route DNS through the Pi-hole. Use a password manager for exchange and wallet credentials, move significant holdings to a hardware wallet, and back up the seed phrases physically and securely.</w:t>
      </w:r>
    </w:p>
    <w:p w14:paraId="2D1B853C" w14:textId="77777777" w:rsidR="00A726DE" w:rsidRDefault="00000000">
      <w:pPr>
        <w:spacing w:after="160" w:line="320" w:lineRule="auto"/>
      </w:pPr>
      <w:r>
        <w:rPr>
          <w:b/>
          <w:bCs/>
        </w:rPr>
        <w:t xml:space="preserve">Strong privacy, an ongoing commitment: </w:t>
      </w:r>
      <w:r>
        <w:t xml:space="preserve">Run a Bitcoin full node and connect the wallet only to that node. Use </w:t>
      </w:r>
      <w:proofErr w:type="spellStart"/>
      <w:r>
        <w:t>CoinJoin</w:t>
      </w:r>
      <w:proofErr w:type="spellEnd"/>
      <w:r>
        <w:t xml:space="preserve"> for amounts where on-chain privacy matters, practice coin control by keeping KYC and non-KYC funds separate, route wallet connections through Tor, and use pseudonymous identities for crypto-related accounts and communications.</w:t>
      </w:r>
    </w:p>
    <w:p w14:paraId="13D31935" w14:textId="77777777" w:rsidR="00A726DE" w:rsidRDefault="00000000">
      <w:pPr>
        <w:spacing w:after="160" w:line="320" w:lineRule="auto"/>
      </w:pPr>
      <w:r>
        <w:rPr>
          <w:b/>
          <w:bCs/>
        </w:rPr>
        <w:t xml:space="preserve">Elevated risk, full operational security: </w:t>
      </w:r>
      <w:proofErr w:type="gramStart"/>
      <w:r>
        <w:t>All of</w:t>
      </w:r>
      <w:proofErr w:type="gramEnd"/>
      <w:r>
        <w:t xml:space="preserve"> the above, plus air-gapped signing devices, multi-signature setups, geographic diversity in key storage, and consultation with security professionals familiar with the specific threat model. The investment scales with the threat, and most readers will be at the first or second level. The fourth level is for people who genuinely need it, and they usually know it.</w:t>
      </w:r>
    </w:p>
    <w:p w14:paraId="247AB888" w14:textId="77777777" w:rsidR="00A726DE" w:rsidRDefault="00A726DE">
      <w:pPr>
        <w:spacing w:after="120"/>
      </w:pPr>
    </w:p>
    <w:p w14:paraId="13060EAD" w14:textId="77777777" w:rsidR="00A726DE" w:rsidRDefault="00000000">
      <w:pPr>
        <w:pStyle w:val="Heading1"/>
      </w:pPr>
      <w:r>
        <w:lastRenderedPageBreak/>
        <w:t>11. Further Reading</w:t>
      </w:r>
    </w:p>
    <w:p w14:paraId="6A6DD172" w14:textId="77777777" w:rsidR="00A726DE" w:rsidRDefault="00000000">
      <w:pPr>
        <w:spacing w:after="160" w:line="320" w:lineRule="auto"/>
      </w:pPr>
      <w:r>
        <w:t xml:space="preserve">The companion document </w:t>
      </w:r>
      <w:r>
        <w:rPr>
          <w:i/>
          <w:iCs/>
        </w:rPr>
        <w:t>Why Bitcoin Privacy Matters: Deep Dive</w:t>
      </w:r>
      <w:r>
        <w:t xml:space="preserve"> covers each section in this guide in significantly more depth, with case studies, additional sources, and historical context. It is intended for readers who want to understand the industry, the technology, and the political stakes more thoroughly. Both documents, the </w:t>
      </w:r>
      <w:proofErr w:type="spellStart"/>
      <w:r>
        <w:t>SatoshiShield</w:t>
      </w:r>
      <w:proofErr w:type="spellEnd"/>
      <w:r>
        <w:t xml:space="preserve"> blocklist, and supporting tools are available at github.com/</w:t>
      </w:r>
      <w:proofErr w:type="spellStart"/>
      <w:r>
        <w:t>cypherpilgrim</w:t>
      </w:r>
      <w:proofErr w:type="spellEnd"/>
      <w:r>
        <w:t>/</w:t>
      </w:r>
      <w:proofErr w:type="spellStart"/>
      <w:r>
        <w:t>satoshishield</w:t>
      </w:r>
      <w:proofErr w:type="spellEnd"/>
      <w:r>
        <w:t>.</w:t>
      </w:r>
    </w:p>
    <w:p w14:paraId="1208F103" w14:textId="77777777" w:rsidR="00A726DE" w:rsidRDefault="00A726DE">
      <w:pPr>
        <w:spacing w:after="360"/>
      </w:pPr>
    </w:p>
    <w:p w14:paraId="7C12B775" w14:textId="77777777" w:rsidR="00A726DE" w:rsidRDefault="00000000">
      <w:pPr>
        <w:jc w:val="center"/>
      </w:pPr>
      <w:r>
        <w:rPr>
          <w:color w:val="888888"/>
          <w:sz w:val="18"/>
          <w:szCs w:val="18"/>
        </w:rPr>
        <w:t xml:space="preserve">Published by </w:t>
      </w:r>
      <w:proofErr w:type="spellStart"/>
      <w:proofErr w:type="gramStart"/>
      <w:r>
        <w:rPr>
          <w:color w:val="888888"/>
          <w:sz w:val="18"/>
          <w:szCs w:val="18"/>
        </w:rPr>
        <w:t>SatoshiShield</w:t>
      </w:r>
      <w:proofErr w:type="spellEnd"/>
      <w:r>
        <w:rPr>
          <w:color w:val="888888"/>
          <w:sz w:val="18"/>
          <w:szCs w:val="18"/>
        </w:rPr>
        <w:t xml:space="preserve">  •</w:t>
      </w:r>
      <w:proofErr w:type="gramEnd"/>
      <w:r>
        <w:rPr>
          <w:color w:val="888888"/>
          <w:sz w:val="18"/>
          <w:szCs w:val="18"/>
        </w:rPr>
        <w:t xml:space="preserve">  Free to share with </w:t>
      </w:r>
      <w:proofErr w:type="gramStart"/>
      <w:r>
        <w:rPr>
          <w:color w:val="888888"/>
          <w:sz w:val="18"/>
          <w:szCs w:val="18"/>
        </w:rPr>
        <w:t>attribution  •</w:t>
      </w:r>
      <w:proofErr w:type="gramEnd"/>
      <w:r>
        <w:rPr>
          <w:color w:val="888888"/>
          <w:sz w:val="18"/>
          <w:szCs w:val="18"/>
        </w:rPr>
        <w:t xml:space="preserve">  May 2026</w:t>
      </w:r>
    </w:p>
    <w:sectPr w:rsidR="00A726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3E80" w14:textId="77777777" w:rsidR="002C0109" w:rsidRDefault="002C0109">
      <w:r>
        <w:separator/>
      </w:r>
    </w:p>
  </w:endnote>
  <w:endnote w:type="continuationSeparator" w:id="0">
    <w:p w14:paraId="22D9D7EE" w14:textId="77777777" w:rsidR="002C0109" w:rsidRDefault="002C0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3EA2" w14:textId="77777777" w:rsidR="00A726D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208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4CD3" w14:textId="77777777" w:rsidR="002C0109" w:rsidRDefault="002C0109">
      <w:r>
        <w:separator/>
      </w:r>
    </w:p>
  </w:footnote>
  <w:footnote w:type="continuationSeparator" w:id="0">
    <w:p w14:paraId="672C7B26" w14:textId="77777777" w:rsidR="002C0109" w:rsidRDefault="002C0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55A1" w14:textId="77777777" w:rsidR="00A726DE" w:rsidRDefault="00000000">
    <w:pPr>
      <w:tabs>
        <w:tab w:val="right" w:pos="9360"/>
      </w:tabs>
    </w:pPr>
    <w:r>
      <w:rPr>
        <w:color w:val="888888"/>
        <w:sz w:val="18"/>
        <w:szCs w:val="18"/>
      </w:rPr>
      <w:t>Why Bitcoin Privacy Matters</w:t>
    </w:r>
    <w:r>
      <w:rPr>
        <w:color w:val="888888"/>
        <w:sz w:val="18"/>
        <w:szCs w:val="18"/>
      </w:rPr>
      <w:tab/>
    </w:r>
    <w:proofErr w:type="spellStart"/>
    <w:proofErr w:type="gramStart"/>
    <w:r>
      <w:rPr>
        <w:color w:val="888888"/>
        <w:sz w:val="18"/>
        <w:szCs w:val="18"/>
      </w:rPr>
      <w:t>SatoshiShield</w:t>
    </w:r>
    <w:proofErr w:type="spellEnd"/>
    <w:r>
      <w:rPr>
        <w:color w:val="888888"/>
        <w:sz w:val="18"/>
        <w:szCs w:val="18"/>
      </w:rPr>
      <w:t xml:space="preserve">  |</w:t>
    </w:r>
    <w:proofErr w:type="gramEnd"/>
    <w:r>
      <w:rPr>
        <w:color w:val="888888"/>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806FD"/>
    <w:multiLevelType w:val="hybridMultilevel"/>
    <w:tmpl w:val="7EE0C5CA"/>
    <w:lvl w:ilvl="0" w:tplc="8A72BE72">
      <w:start w:val="1"/>
      <w:numFmt w:val="decimal"/>
      <w:lvlText w:val="%1."/>
      <w:lvlJc w:val="left"/>
      <w:pPr>
        <w:ind w:left="720" w:hanging="360"/>
      </w:pPr>
    </w:lvl>
    <w:lvl w:ilvl="1" w:tplc="C0589BC4">
      <w:numFmt w:val="decimal"/>
      <w:lvlText w:val=""/>
      <w:lvlJc w:val="left"/>
    </w:lvl>
    <w:lvl w:ilvl="2" w:tplc="13EC880C">
      <w:numFmt w:val="decimal"/>
      <w:lvlText w:val=""/>
      <w:lvlJc w:val="left"/>
    </w:lvl>
    <w:lvl w:ilvl="3" w:tplc="A3EE70B2">
      <w:numFmt w:val="decimal"/>
      <w:lvlText w:val=""/>
      <w:lvlJc w:val="left"/>
    </w:lvl>
    <w:lvl w:ilvl="4" w:tplc="F758A4FE">
      <w:numFmt w:val="decimal"/>
      <w:lvlText w:val=""/>
      <w:lvlJc w:val="left"/>
    </w:lvl>
    <w:lvl w:ilvl="5" w:tplc="2B6C34E6">
      <w:numFmt w:val="decimal"/>
      <w:lvlText w:val=""/>
      <w:lvlJc w:val="left"/>
    </w:lvl>
    <w:lvl w:ilvl="6" w:tplc="BB76217E">
      <w:numFmt w:val="decimal"/>
      <w:lvlText w:val=""/>
      <w:lvlJc w:val="left"/>
    </w:lvl>
    <w:lvl w:ilvl="7" w:tplc="2D4403E6">
      <w:numFmt w:val="decimal"/>
      <w:lvlText w:val=""/>
      <w:lvlJc w:val="left"/>
    </w:lvl>
    <w:lvl w:ilvl="8" w:tplc="ECD2E1FE">
      <w:numFmt w:val="decimal"/>
      <w:lvlText w:val=""/>
      <w:lvlJc w:val="left"/>
    </w:lvl>
  </w:abstractNum>
  <w:abstractNum w:abstractNumId="1" w15:restartNumberingAfterBreak="0">
    <w:nsid w:val="380377FE"/>
    <w:multiLevelType w:val="hybridMultilevel"/>
    <w:tmpl w:val="3F726160"/>
    <w:lvl w:ilvl="0" w:tplc="3190B032">
      <w:start w:val="1"/>
      <w:numFmt w:val="bullet"/>
      <w:lvlText w:val="•"/>
      <w:lvlJc w:val="left"/>
      <w:pPr>
        <w:ind w:left="720" w:hanging="360"/>
      </w:pPr>
    </w:lvl>
    <w:lvl w:ilvl="1" w:tplc="E47E3D42">
      <w:start w:val="1"/>
      <w:numFmt w:val="bullet"/>
      <w:lvlText w:val="◦"/>
      <w:lvlJc w:val="left"/>
      <w:pPr>
        <w:ind w:left="1440" w:hanging="360"/>
      </w:pPr>
    </w:lvl>
    <w:lvl w:ilvl="2" w:tplc="7C94C646">
      <w:numFmt w:val="decimal"/>
      <w:lvlText w:val=""/>
      <w:lvlJc w:val="left"/>
    </w:lvl>
    <w:lvl w:ilvl="3" w:tplc="089A5194">
      <w:numFmt w:val="decimal"/>
      <w:lvlText w:val=""/>
      <w:lvlJc w:val="left"/>
    </w:lvl>
    <w:lvl w:ilvl="4" w:tplc="FEAE1C7A">
      <w:numFmt w:val="decimal"/>
      <w:lvlText w:val=""/>
      <w:lvlJc w:val="left"/>
    </w:lvl>
    <w:lvl w:ilvl="5" w:tplc="E02CA2A2">
      <w:numFmt w:val="decimal"/>
      <w:lvlText w:val=""/>
      <w:lvlJc w:val="left"/>
    </w:lvl>
    <w:lvl w:ilvl="6" w:tplc="C1D4996A">
      <w:numFmt w:val="decimal"/>
      <w:lvlText w:val=""/>
      <w:lvlJc w:val="left"/>
    </w:lvl>
    <w:lvl w:ilvl="7" w:tplc="011A8310">
      <w:numFmt w:val="decimal"/>
      <w:lvlText w:val=""/>
      <w:lvlJc w:val="left"/>
    </w:lvl>
    <w:lvl w:ilvl="8" w:tplc="9F68F704">
      <w:numFmt w:val="decimal"/>
      <w:lvlText w:val=""/>
      <w:lvlJc w:val="left"/>
    </w:lvl>
  </w:abstractNum>
  <w:abstractNum w:abstractNumId="2" w15:restartNumberingAfterBreak="0">
    <w:nsid w:val="76532F56"/>
    <w:multiLevelType w:val="hybridMultilevel"/>
    <w:tmpl w:val="49CA4A3A"/>
    <w:lvl w:ilvl="0" w:tplc="221E4DB0">
      <w:start w:val="1"/>
      <w:numFmt w:val="bullet"/>
      <w:lvlText w:val="●"/>
      <w:lvlJc w:val="left"/>
      <w:pPr>
        <w:ind w:left="720" w:hanging="360"/>
      </w:pPr>
    </w:lvl>
    <w:lvl w:ilvl="1" w:tplc="C8423A14">
      <w:start w:val="1"/>
      <w:numFmt w:val="bullet"/>
      <w:lvlText w:val="○"/>
      <w:lvlJc w:val="left"/>
      <w:pPr>
        <w:ind w:left="1440" w:hanging="360"/>
      </w:pPr>
    </w:lvl>
    <w:lvl w:ilvl="2" w:tplc="6BB4522E">
      <w:start w:val="1"/>
      <w:numFmt w:val="bullet"/>
      <w:lvlText w:val="■"/>
      <w:lvlJc w:val="left"/>
      <w:pPr>
        <w:ind w:left="2160" w:hanging="360"/>
      </w:pPr>
    </w:lvl>
    <w:lvl w:ilvl="3" w:tplc="3072093A">
      <w:start w:val="1"/>
      <w:numFmt w:val="bullet"/>
      <w:lvlText w:val="●"/>
      <w:lvlJc w:val="left"/>
      <w:pPr>
        <w:ind w:left="2880" w:hanging="360"/>
      </w:pPr>
    </w:lvl>
    <w:lvl w:ilvl="4" w:tplc="6604141E">
      <w:start w:val="1"/>
      <w:numFmt w:val="bullet"/>
      <w:lvlText w:val="○"/>
      <w:lvlJc w:val="left"/>
      <w:pPr>
        <w:ind w:left="3600" w:hanging="360"/>
      </w:pPr>
    </w:lvl>
    <w:lvl w:ilvl="5" w:tplc="01E88C04">
      <w:start w:val="1"/>
      <w:numFmt w:val="bullet"/>
      <w:lvlText w:val="■"/>
      <w:lvlJc w:val="left"/>
      <w:pPr>
        <w:ind w:left="4320" w:hanging="360"/>
      </w:pPr>
    </w:lvl>
    <w:lvl w:ilvl="6" w:tplc="22044000">
      <w:start w:val="1"/>
      <w:numFmt w:val="bullet"/>
      <w:lvlText w:val="●"/>
      <w:lvlJc w:val="left"/>
      <w:pPr>
        <w:ind w:left="5040" w:hanging="360"/>
      </w:pPr>
    </w:lvl>
    <w:lvl w:ilvl="7" w:tplc="93B0563C">
      <w:start w:val="1"/>
      <w:numFmt w:val="bullet"/>
      <w:lvlText w:val="●"/>
      <w:lvlJc w:val="left"/>
      <w:pPr>
        <w:ind w:left="5760" w:hanging="360"/>
      </w:pPr>
    </w:lvl>
    <w:lvl w:ilvl="8" w:tplc="B5F292BE">
      <w:start w:val="1"/>
      <w:numFmt w:val="bullet"/>
      <w:lvlText w:val="●"/>
      <w:lvlJc w:val="left"/>
      <w:pPr>
        <w:ind w:left="6480" w:hanging="360"/>
      </w:pPr>
    </w:lvl>
  </w:abstractNum>
  <w:num w:numId="1" w16cid:durableId="652569282">
    <w:abstractNumId w:val="2"/>
    <w:lvlOverride w:ilvl="0">
      <w:startOverride w:val="1"/>
    </w:lvlOverride>
  </w:num>
  <w:num w:numId="2" w16cid:durableId="11594665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6DE"/>
    <w:rsid w:val="002C0109"/>
    <w:rsid w:val="00632084"/>
    <w:rsid w:val="00791E0F"/>
    <w:rsid w:val="00A72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6FB4F"/>
  <w15:docId w15:val="{1BCCE040-493A-294C-9CEF-3CDF7E39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b/>
      <w:bCs/>
      <w:color w:val="1A1A1A"/>
      <w:sz w:val="32"/>
      <w:szCs w:val="32"/>
    </w:rPr>
  </w:style>
  <w:style w:type="paragraph" w:styleId="Heading2">
    <w:name w:val="heading 2"/>
    <w:uiPriority w:val="9"/>
    <w:unhideWhenUsed/>
    <w:qFormat/>
    <w:pPr>
      <w:spacing w:before="280" w:after="140"/>
      <w:outlineLvl w:val="1"/>
    </w:pPr>
    <w:rPr>
      <w:b/>
      <w:bCs/>
      <w:color w:val="1A1A1A"/>
      <w:sz w:val="26"/>
      <w:szCs w:val="26"/>
    </w:rPr>
  </w:style>
  <w:style w:type="paragraph" w:styleId="Heading3">
    <w:name w:val="heading 3"/>
    <w:uiPriority w:val="9"/>
    <w:semiHidden/>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3038</Words>
  <Characters>16315</Characters>
  <Application>Microsoft Office Word</Application>
  <DocSecurity>0</DocSecurity>
  <Lines>291</Lines>
  <Paragraphs>110</Paragraphs>
  <ScaleCrop>false</ScaleCrop>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Brouillard</cp:lastModifiedBy>
  <cp:revision>2</cp:revision>
  <dcterms:created xsi:type="dcterms:W3CDTF">2026-05-19T15:30:00Z</dcterms:created>
  <dcterms:modified xsi:type="dcterms:W3CDTF">2026-05-19T15:52:00Z</dcterms:modified>
</cp:coreProperties>
</file>