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CypherX AI</w:t>
      </w:r>
    </w:p>
    <w:p>
      <w:pPr>
        <w:jc w:val="center"/>
      </w:pPr>
      <w:r>
        <w:rPr>
          <w:b/>
          <w:color w:val="00B4D8"/>
          <w:sz w:val="44"/>
        </w:rPr>
        <w:t>Multi-Tenant Agentic AI Platform</w:t>
      </w:r>
    </w:p>
    <w:p/>
    <w:p>
      <w:pPr>
        <w:jc w:val="center"/>
      </w:pPr>
      <w:r>
        <w:rPr>
          <w:color w:val="48566A"/>
          <w:sz w:val="26"/>
        </w:rPr>
        <w:t>Contract-First · Microservices · AI Agent Orchestration</w:t>
      </w:r>
    </w:p>
    <w:p/>
    <w:p/>
    <w:p>
      <w:pPr>
        <w:jc w:val="center"/>
      </w:pPr>
      <w:r>
        <w:rPr>
          <w:color w:val="48566A"/>
          <w:sz w:val="22"/>
        </w:rPr>
        <w:t>12 Production Services  ·  21 Immutable Contracts  ·  8 Database Schemas  ·  20+ Kafka Topics</w:t>
      </w:r>
    </w:p>
    <w:p/>
    <w:p/>
    <w:p/>
    <w:p>
      <w:pPr>
        <w:jc w:val="center"/>
      </w:pPr>
      <w:r>
        <w:rPr>
          <w:b/>
          <w:color w:val="0D1B2A"/>
          <w:sz w:val="28"/>
        </w:rPr>
        <w:t>Investor Pitch Documentation</w:t>
      </w:r>
    </w:p>
    <w:p>
      <w:pPr>
        <w:jc w:val="center"/>
      </w:pPr>
      <w:r>
        <w:rPr>
          <w:color w:val="8090A0"/>
          <w:sz w:val="22"/>
        </w:rPr>
        <w:t>Confidential  ·  June 2026</w:t>
      </w:r>
    </w:p>
    <w:p/>
    <w:p>
      <w:pPr>
        <w:jc w:val="center"/>
      </w:pPr>
      <w:r>
        <w:rPr>
          <w:color w:val="00B4D8"/>
          <w:sz w:val="20"/>
        </w:rPr>
        <w:t>parthasarathi.elumalai@l2m.ai</w:t>
      </w:r>
    </w:p>
    <w:p>
      <w:r>
        <w:br w:type="page"/>
      </w:r>
    </w:p>
    <w:p>
      <w:pPr>
        <w:pStyle w:val="Heading1"/>
        <w:spacing w:before="280" w:after="120"/>
      </w:pPr>
      <w:r>
        <w:rPr>
          <w:color w:val="0D1B2A"/>
          <w:sz w:val="44"/>
        </w:rPr>
        <w:t>Table of Contents</w:t>
      </w:r>
    </w:p>
    <w:p>
      <w:pPr>
        <w:spacing w:after="60"/>
      </w:pPr>
      <w:r>
        <w:rPr>
          <w:color w:val="48566A"/>
          <w:sz w:val="22"/>
        </w:rPr>
        <w:t xml:space="preserve">  1.  Executive Summary &amp; Platform Vision</w:t>
      </w:r>
    </w:p>
    <w:p>
      <w:pPr>
        <w:spacing w:after="60"/>
      </w:pPr>
      <w:r>
        <w:rPr>
          <w:color w:val="48566A"/>
          <w:sz w:val="22"/>
        </w:rPr>
        <w:t xml:space="preserve">  2.  Problem Statement &amp; Market Opportunity</w:t>
      </w:r>
    </w:p>
    <w:p>
      <w:pPr>
        <w:spacing w:after="60"/>
      </w:pPr>
      <w:r>
        <w:rPr>
          <w:color w:val="48566A"/>
          <w:sz w:val="22"/>
        </w:rPr>
        <w:t xml:space="preserve">  3.  Platform Architecture</w:t>
      </w:r>
    </w:p>
    <w:p>
      <w:pPr>
        <w:spacing w:after="60"/>
      </w:pPr>
      <w:r>
        <w:rPr>
          <w:color w:val="48566A"/>
          <w:sz w:val="22"/>
        </w:rPr>
        <w:t xml:space="preserve">  4.  Core Services Deep-Dive</w:t>
      </w:r>
    </w:p>
    <w:p>
      <w:pPr>
        <w:spacing w:after="60"/>
      </w:pPr>
      <w:r>
        <w:rPr>
          <w:color w:val="48566A"/>
          <w:sz w:val="22"/>
        </w:rPr>
        <w:t xml:space="preserve">  5.  Security &amp; Multi-Tenancy Model</w:t>
      </w:r>
    </w:p>
    <w:p>
      <w:pPr>
        <w:spacing w:after="60"/>
      </w:pPr>
      <w:r>
        <w:rPr>
          <w:color w:val="48566A"/>
          <w:sz w:val="22"/>
        </w:rPr>
        <w:t xml:space="preserve">  6.  Data Architecture &amp; Persistence Strategy</w:t>
      </w:r>
    </w:p>
    <w:p>
      <w:pPr>
        <w:spacing w:after="60"/>
      </w:pPr>
      <w:r>
        <w:rPr>
          <w:color w:val="48566A"/>
          <w:sz w:val="22"/>
        </w:rPr>
        <w:t xml:space="preserve">  7.  Event-Driven Architecture &amp; Kafka Topology</w:t>
      </w:r>
    </w:p>
    <w:p>
      <w:pPr>
        <w:spacing w:after="60"/>
      </w:pPr>
      <w:r>
        <w:rPr>
          <w:color w:val="48566A"/>
          <w:sz w:val="22"/>
        </w:rPr>
        <w:t xml:space="preserve">  8.  Developer &amp; Operations Experience</w:t>
      </w:r>
    </w:p>
    <w:p>
      <w:pPr>
        <w:spacing w:after="60"/>
      </w:pPr>
      <w:r>
        <w:rPr>
          <w:color w:val="48566A"/>
          <w:sz w:val="22"/>
        </w:rPr>
        <w:t xml:space="preserve">  9.  API Design &amp; Contract Governance</w:t>
      </w:r>
    </w:p>
    <w:p>
      <w:pPr>
        <w:spacing w:after="60"/>
      </w:pPr>
      <w:r>
        <w:rPr>
          <w:color w:val="48566A"/>
          <w:sz w:val="22"/>
        </w:rPr>
        <w:t xml:space="preserve">  10.  Observability &amp; SLO Framework</w:t>
      </w:r>
    </w:p>
    <w:p>
      <w:pPr>
        <w:spacing w:after="60"/>
      </w:pPr>
      <w:r>
        <w:rPr>
          <w:color w:val="48566A"/>
          <w:sz w:val="22"/>
        </w:rPr>
        <w:t xml:space="preserve">  11.  Deployment Strategy (Local → Cloud)</w:t>
      </w:r>
    </w:p>
    <w:p>
      <w:pPr>
        <w:spacing w:after="60"/>
      </w:pPr>
      <w:r>
        <w:rPr>
          <w:color w:val="48566A"/>
          <w:sz w:val="22"/>
        </w:rPr>
        <w:t xml:space="preserve">  12.  Testing Strategy &amp; Quality Gates</w:t>
      </w:r>
    </w:p>
    <w:p>
      <w:pPr>
        <w:spacing w:after="60"/>
      </w:pPr>
      <w:r>
        <w:rPr>
          <w:color w:val="48566A"/>
          <w:sz w:val="22"/>
        </w:rPr>
        <w:t xml:space="preserve">  13.  Roadmap &amp; Phase Plan</w:t>
      </w:r>
    </w:p>
    <w:p>
      <w:pPr>
        <w:spacing w:after="60"/>
      </w:pPr>
      <w:r>
        <w:rPr>
          <w:color w:val="48566A"/>
          <w:sz w:val="22"/>
        </w:rPr>
        <w:t xml:space="preserve">  14.  Business Model &amp; Key Metrics</w:t>
      </w:r>
    </w:p>
    <w:p>
      <w:pPr>
        <w:spacing w:after="60"/>
      </w:pPr>
      <w:r>
        <w:rPr>
          <w:color w:val="48566A"/>
          <w:sz w:val="22"/>
        </w:rPr>
        <w:t xml:space="preserve">  15.  Appendix: Architecture Decision Records</w:t>
      </w:r>
    </w:p>
    <w:p>
      <w:r>
        <w:br w:type="page"/>
      </w:r>
    </w:p>
    <w:p>
      <w:pPr>
        <w:pStyle w:val="Heading1"/>
        <w:spacing w:before="280" w:after="120"/>
      </w:pPr>
      <w:r>
        <w:rPr>
          <w:color w:val="0D1B2A"/>
          <w:sz w:val="44"/>
        </w:rPr>
        <w:t>1. Executive Summary &amp; Platform Vision</w:t>
      </w:r>
    </w:p>
    <w:p>
      <w:pPr>
        <w:spacing w:after="120"/>
      </w:pPr>
      <w:r>
        <w:rPr>
          <w:color w:val="48566A"/>
          <w:sz w:val="21"/>
        </w:rPr>
        <w:t>CypherX AI is a production-ready, multi-tenant, contract-first agentic AI platform that enables enterprises to build, deploy, and orchestrate intelligent agents at scale. Unlike point solutions, CypherX AI provides a complete infrastructure spine — from identity and safety to memory, retrieval-augmented generation, and tool use — as independently deployable microservices.</w:t>
      </w:r>
    </w:p>
    <w:p>
      <w:pPr>
        <w:pStyle w:val="Heading2"/>
        <w:spacing w:before="160" w:after="120"/>
      </w:pPr>
      <w:r>
        <w:rPr>
          <w:color w:val="00B4D8"/>
          <w:sz w:val="32"/>
        </w:rPr>
        <w:t>The Platform in One Sentence</w:t>
      </w:r>
    </w:p>
    <w:p>
      <w:pPr>
        <w:spacing w:before="120" w:after="120"/>
        <w:ind w:left="576"/>
        <w:pBdr>
          <w:left w:val="single" w:sz="12" w:space="4" w:color="10B981"/>
        </w:pBdr>
      </w:pPr>
      <w:r>
        <w:rPr>
          <w:i/>
          <w:color w:val="48566A"/>
          <w:sz w:val="20"/>
        </w:rPr>
        <w:t>"CypherX AI is the infrastructure layer that gives enterprises the ability to create, manage, and govern AI agents the same way they manage cloud microservices — with strong identity, audit trails, tenant isolation, and observable, contract-guaranteed behaviour."</w:t>
      </w:r>
    </w:p>
    <w:p>
      <w:pPr>
        <w:pStyle w:val="Heading2"/>
        <w:spacing w:before="160" w:after="120"/>
      </w:pPr>
      <w:r>
        <w:rPr>
          <w:color w:val="00B4D8"/>
          <w:sz w:val="32"/>
        </w:rPr>
        <w:t>Key Value Propositions</w:t>
      </w:r>
    </w:p>
    <w:p>
      <w:pPr>
        <w:pStyle w:val="ListBullet"/>
        <w:spacing w:after="60"/>
        <w:ind w:left="432"/>
      </w:pPr>
      <w:r>
        <w:rPr>
          <w:color w:val="48566A"/>
          <w:sz w:val="20"/>
        </w:rPr>
        <w:t>Contract-First Design — 21 immutable JSON Schema / OpenAPI contracts govern every service boundary; contracts are versioned, never broken.</w:t>
      </w:r>
    </w:p>
    <w:p>
      <w:pPr>
        <w:pStyle w:val="ListBullet"/>
        <w:spacing w:after="60"/>
        <w:ind w:left="432"/>
      </w:pPr>
      <w:r>
        <w:rPr>
          <w:color w:val="48566A"/>
          <w:sz w:val="20"/>
        </w:rPr>
        <w:t>Multi-Tenant Isolation — PostgreSQL Row-Level Security (RLS) makes cross-tenant data access architecturally impossible.</w:t>
      </w:r>
    </w:p>
    <w:p>
      <w:pPr>
        <w:pStyle w:val="ListBullet"/>
        <w:spacing w:after="60"/>
        <w:ind w:left="432"/>
      </w:pPr>
      <w:r>
        <w:rPr>
          <w:color w:val="48566A"/>
          <w:sz w:val="20"/>
        </w:rPr>
        <w:t>Keyless-by-Default Local Dev — the entire platform runs offline with mock providers; a single env flag switches to live LLM keys.</w:t>
      </w:r>
    </w:p>
    <w:p>
      <w:pPr>
        <w:pStyle w:val="ListBullet"/>
        <w:spacing w:after="60"/>
        <w:ind w:left="432"/>
      </w:pPr>
      <w:r>
        <w:rPr>
          <w:color w:val="48566A"/>
          <w:sz w:val="20"/>
        </w:rPr>
        <w:t>Observable by Default — every request carries a W3C traceparent; structured JSON logs, Prometheus metrics, and distributed tracing from day one.</w:t>
      </w:r>
    </w:p>
    <w:p>
      <w:pPr>
        <w:pStyle w:val="ListBullet"/>
        <w:spacing w:after="60"/>
        <w:ind w:left="432"/>
      </w:pPr>
      <w:r>
        <w:rPr>
          <w:color w:val="48566A"/>
          <w:sz w:val="20"/>
        </w:rPr>
        <w:t>Language-Agnostic Runtime — agents are registered by JWT; any language or framework can talk the A2A protocol.</w:t>
      </w:r>
    </w:p>
    <w:p>
      <w:pPr>
        <w:pStyle w:val="ListBullet"/>
        <w:spacing w:after="60"/>
        <w:ind w:left="432"/>
      </w:pPr>
      <w:r>
        <w:rPr>
          <w:color w:val="48566A"/>
          <w:sz w:val="20"/>
        </w:rPr>
        <w:t>First-Cycle Spine Proven — the complete path from agent registration → JWT → task → guardrails → LLM → response is live and smoke-tested.</w:t>
      </w:r>
    </w:p>
    <w:p>
      <w:pPr>
        <w:pStyle w:val="Heading2"/>
        <w:spacing w:before="160" w:after="120"/>
      </w:pPr>
      <w:r>
        <w:rPr>
          <w:color w:val="00B4D8"/>
          <w:sz w:val="32"/>
        </w:rPr>
        <w:t>Platform Architecture Overview</w:t>
      </w:r>
    </w:p>
    <w:p>
      <w:pPr>
        <w:jc w:val="center"/>
      </w:pPr>
      <w:r>
        <w:drawing>
          <wp:inline xmlns:a="http://schemas.openxmlformats.org/drawingml/2006/main" xmlns:pic="http://schemas.openxmlformats.org/drawingml/2006/picture">
            <wp:extent cx="5852160" cy="3872693"/>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852160" cy="3872693"/>
                    </a:xfrm>
                    <a:prstGeom prst="rect"/>
                  </pic:spPr>
                </pic:pic>
              </a:graphicData>
            </a:graphic>
          </wp:inline>
        </w:drawing>
      </w:r>
    </w:p>
    <w:p>
      <w:pPr>
        <w:spacing w:after="200"/>
        <w:jc w:val="center"/>
      </w:pPr>
      <w:r>
        <w:rPr>
          <w:i/>
          <w:color w:val="48566A"/>
          <w:sz w:val="18"/>
        </w:rPr>
        <w:t>Figure 1.1 — CypherX AI Platform High-Level Architecture (4-tier)</w:t>
      </w:r>
    </w:p>
    <w:p>
      <w:pPr>
        <w:pStyle w:val="Heading2"/>
        <w:spacing w:before="160" w:after="120"/>
      </w:pPr>
      <w:r>
        <w:rPr>
          <w:color w:val="00B4D8"/>
          <w:sz w:val="32"/>
        </w:rPr>
        <w:t>Platform KPIs (Current Implementation)</w:t>
      </w:r>
    </w:p>
    <w:tbl>
      <w:tblPr>
        <w:tblStyle w:val="TableGrid"/>
        <w:tblW w:type="auto" w:w="0"/>
        <w:jc w:val="center"/>
        <w:tblLook w:firstColumn="1" w:firstRow="1" w:lastColumn="0" w:lastRow="0" w:noHBand="0" w:noVBand="1" w:val="04A0"/>
      </w:tblPr>
      <w:tblGrid>
        <w:gridCol w:w="4536"/>
        <w:gridCol w:w="4536"/>
      </w:tblGrid>
      <w:tr>
        <w:tc>
          <w:tcPr>
            <w:tcW w:type="dxa" w:w="3168"/>
            <w:shd w:val="clear" w:color="auto" w:fill="0D1B2A"/>
          </w:tcPr>
          <w:p>
            <w:pPr>
              <w:jc w:val="center"/>
            </w:pPr>
            <w:r>
              <w:rPr>
                <w:b/>
                <w:color w:val="FFFFFF"/>
                <w:sz w:val="19"/>
              </w:rPr>
              <w:t>Metric</w:t>
            </w:r>
          </w:p>
        </w:tc>
        <w:tc>
          <w:tcPr>
            <w:tcW w:type="dxa" w:w="6048"/>
            <w:shd w:val="clear" w:color="auto" w:fill="0D1B2A"/>
          </w:tcPr>
          <w:p>
            <w:pPr>
              <w:jc w:val="center"/>
            </w:pPr>
            <w:r>
              <w:rPr>
                <w:b/>
                <w:color w:val="FFFFFF"/>
                <w:sz w:val="19"/>
              </w:rPr>
              <w:t>Value</w:t>
            </w:r>
          </w:p>
        </w:tc>
      </w:tr>
      <w:tr>
        <w:tc>
          <w:tcPr>
            <w:tcW w:type="dxa" w:w="3168"/>
            <w:shd w:val="clear" w:color="auto" w:fill="F4F7FA"/>
          </w:tcPr>
          <w:p>
            <w:r>
              <w:rPr>
                <w:color w:val="48566A"/>
                <w:sz w:val="18"/>
              </w:rPr>
              <w:t>Production-ready services</w:t>
            </w:r>
          </w:p>
        </w:tc>
        <w:tc>
          <w:tcPr>
            <w:tcW w:type="dxa" w:w="6048"/>
            <w:shd w:val="clear" w:color="auto" w:fill="F4F7FA"/>
          </w:tcPr>
          <w:p>
            <w:r>
              <w:rPr>
                <w:color w:val="48566A"/>
                <w:sz w:val="18"/>
              </w:rPr>
              <w:t>12 (auth, llms, guardrails, xagent, rag, memory, tool-registry, tool-web-search, frontend-bff, frontend-app, edge, cypherx-a1)</w:t>
            </w:r>
          </w:p>
        </w:tc>
      </w:tr>
      <w:tr>
        <w:tc>
          <w:tcPr>
            <w:tcW w:type="dxa" w:w="3168"/>
            <w:shd w:val="clear" w:color="auto" w:fill="FFFFFF"/>
          </w:tcPr>
          <w:p>
            <w:r>
              <w:rPr>
                <w:color w:val="48566A"/>
                <w:sz w:val="18"/>
              </w:rPr>
              <w:t>Cross-service contracts</w:t>
            </w:r>
          </w:p>
        </w:tc>
        <w:tc>
          <w:tcPr>
            <w:tcW w:type="dxa" w:w="6048"/>
            <w:shd w:val="clear" w:color="auto" w:fill="FFFFFF"/>
          </w:tcPr>
          <w:p>
            <w:r>
              <w:rPr>
                <w:color w:val="48566A"/>
                <w:sz w:val="18"/>
              </w:rPr>
              <w:t>21 immutable contracts (Contracts 1–21)</w:t>
            </w:r>
          </w:p>
        </w:tc>
      </w:tr>
      <w:tr>
        <w:tc>
          <w:tcPr>
            <w:tcW w:type="dxa" w:w="3168"/>
            <w:shd w:val="clear" w:color="auto" w:fill="F4F7FA"/>
          </w:tcPr>
          <w:p>
            <w:r>
              <w:rPr>
                <w:color w:val="48566A"/>
                <w:sz w:val="18"/>
              </w:rPr>
              <w:t>Database schemas</w:t>
            </w:r>
          </w:p>
        </w:tc>
        <w:tc>
          <w:tcPr>
            <w:tcW w:type="dxa" w:w="6048"/>
            <w:shd w:val="clear" w:color="auto" w:fill="F4F7FA"/>
          </w:tcPr>
          <w:p>
            <w:r>
              <w:rPr>
                <w:color w:val="48566A"/>
                <w:sz w:val="18"/>
              </w:rPr>
              <w:t>8 (auth, llms, guardrails, xagent, rag, memory, tools, cypherx_a1)</w:t>
            </w:r>
          </w:p>
        </w:tc>
      </w:tr>
      <w:tr>
        <w:tc>
          <w:tcPr>
            <w:tcW w:type="dxa" w:w="3168"/>
            <w:shd w:val="clear" w:color="auto" w:fill="FFFFFF"/>
          </w:tcPr>
          <w:p>
            <w:r>
              <w:rPr>
                <w:color w:val="48566A"/>
                <w:sz w:val="18"/>
              </w:rPr>
              <w:t>Kafka topics</w:t>
            </w:r>
          </w:p>
        </w:tc>
        <w:tc>
          <w:tcPr>
            <w:tcW w:type="dxa" w:w="6048"/>
            <w:shd w:val="clear" w:color="auto" w:fill="FFFFFF"/>
          </w:tcPr>
          <w:p>
            <w:r>
              <w:rPr>
                <w:color w:val="48566A"/>
                <w:sz w:val="18"/>
              </w:rPr>
              <w:t>~20 (transactional outbox pattern, DLQ)</w:t>
            </w:r>
          </w:p>
        </w:tc>
      </w:tr>
      <w:tr>
        <w:tc>
          <w:tcPr>
            <w:tcW w:type="dxa" w:w="3168"/>
            <w:shd w:val="clear" w:color="auto" w:fill="F4F7FA"/>
          </w:tcPr>
          <w:p>
            <w:r>
              <w:rPr>
                <w:color w:val="48566A"/>
                <w:sz w:val="18"/>
              </w:rPr>
              <w:t>pgvector dimensions</w:t>
            </w:r>
          </w:p>
        </w:tc>
        <w:tc>
          <w:tcPr>
            <w:tcW w:type="dxa" w:w="6048"/>
            <w:shd w:val="clear" w:color="auto" w:fill="F4F7FA"/>
          </w:tcPr>
          <w:p>
            <w:r>
              <w:rPr>
                <w:color w:val="48566A"/>
                <w:sz w:val="18"/>
              </w:rPr>
              <w:t>1 536 (OpenAI text-embedding-3-small)</w:t>
            </w:r>
          </w:p>
        </w:tc>
      </w:tr>
      <w:tr>
        <w:tc>
          <w:tcPr>
            <w:tcW w:type="dxa" w:w="3168"/>
            <w:shd w:val="clear" w:color="auto" w:fill="FFFFFF"/>
          </w:tcPr>
          <w:p>
            <w:r>
              <w:rPr>
                <w:color w:val="48566A"/>
                <w:sz w:val="18"/>
              </w:rPr>
              <w:t>JWT algorithm</w:t>
            </w:r>
          </w:p>
        </w:tc>
        <w:tc>
          <w:tcPr>
            <w:tcW w:type="dxa" w:w="6048"/>
            <w:shd w:val="clear" w:color="auto" w:fill="FFFFFF"/>
          </w:tcPr>
          <w:p>
            <w:r>
              <w:rPr>
                <w:color w:val="48566A"/>
                <w:sz w:val="18"/>
              </w:rPr>
              <w:t>RS256 with kid-based key rotation, revocation via Valkey mirror + Kafka broadcast</w:t>
            </w:r>
          </w:p>
        </w:tc>
      </w:tr>
      <w:tr>
        <w:tc>
          <w:tcPr>
            <w:tcW w:type="dxa" w:w="3168"/>
            <w:shd w:val="clear" w:color="auto" w:fill="F4F7FA"/>
          </w:tcPr>
          <w:p>
            <w:r>
              <w:rPr>
                <w:color w:val="48566A"/>
                <w:sz w:val="18"/>
              </w:rPr>
              <w:t>Tenant isolation</w:t>
            </w:r>
          </w:p>
        </w:tc>
        <w:tc>
          <w:tcPr>
            <w:tcW w:type="dxa" w:w="6048"/>
            <w:shd w:val="clear" w:color="auto" w:fill="F4F7FA"/>
          </w:tcPr>
          <w:p>
            <w:r>
              <w:rPr>
                <w:color w:val="48566A"/>
                <w:sz w:val="18"/>
              </w:rPr>
              <w:t>PostgreSQL RLS — SET LOCAL app.tenant_id per transaction</w:t>
            </w:r>
          </w:p>
        </w:tc>
      </w:tr>
      <w:tr>
        <w:tc>
          <w:tcPr>
            <w:tcW w:type="dxa" w:w="3168"/>
            <w:shd w:val="clear" w:color="auto" w:fill="FFFFFF"/>
          </w:tcPr>
          <w:p>
            <w:r>
              <w:rPr>
                <w:color w:val="48566A"/>
                <w:sz w:val="18"/>
              </w:rPr>
              <w:t>Local dev startup</w:t>
            </w:r>
          </w:p>
        </w:tc>
        <w:tc>
          <w:tcPr>
            <w:tcW w:type="dxa" w:w="6048"/>
            <w:shd w:val="clear" w:color="auto" w:fill="FFFFFF"/>
          </w:tcPr>
          <w:p>
            <w:r>
              <w:rPr>
                <w:color w:val="48566A"/>
                <w:sz w:val="18"/>
              </w:rPr>
              <w:t>docker compose up (Neon external, all services containerised)</w:t>
            </w:r>
          </w:p>
        </w:tc>
      </w:tr>
    </w:tbl>
    <w:p/>
    <w:p>
      <w:r>
        <w:br w:type="page"/>
      </w:r>
    </w:p>
    <w:p>
      <w:pPr>
        <w:pStyle w:val="Heading1"/>
        <w:spacing w:before="280" w:after="120"/>
      </w:pPr>
      <w:r>
        <w:rPr>
          <w:color w:val="0D1B2A"/>
          <w:sz w:val="44"/>
        </w:rPr>
        <w:t>2. Problem Statement &amp; Market Opportunity</w:t>
      </w:r>
    </w:p>
    <w:p>
      <w:pPr>
        <w:pStyle w:val="Heading2"/>
        <w:spacing w:before="160" w:after="120"/>
      </w:pPr>
      <w:r>
        <w:rPr>
          <w:color w:val="00B4D8"/>
          <w:sz w:val="32"/>
        </w:rPr>
        <w:t>The Enterprise AI Infrastructure Gap</w:t>
      </w:r>
    </w:p>
    <w:p>
      <w:pPr>
        <w:spacing w:after="120"/>
      </w:pPr>
      <w:r>
        <w:rPr>
          <w:color w:val="48566A"/>
          <w:sz w:val="21"/>
        </w:rPr>
        <w:t>Enterprises trying to adopt AI agents face a fragmented landscape: LLM APIs are raw building blocks with no enterprise controls, open-source frameworks lack multi-tenancy and audit trails, and proprietary cloud AI platforms lock teams into a single vendor. The result is months of integration work before a single agent reaches production — with unknown security posture and no observable behaviour.</w:t>
      </w:r>
    </w:p>
    <w:p>
      <w:pPr>
        <w:pStyle w:val="Heading2"/>
        <w:spacing w:before="160" w:after="120"/>
      </w:pPr>
      <w:r>
        <w:rPr>
          <w:color w:val="00B4D8"/>
          <w:sz w:val="32"/>
        </w:rPr>
        <w:t>Problems CypherX AI Solves</w:t>
      </w:r>
    </w:p>
    <w:tbl>
      <w:tblPr>
        <w:tblStyle w:val="TableGrid"/>
        <w:tblW w:type="auto" w:w="0"/>
        <w:jc w:val="center"/>
        <w:tblLook w:firstColumn="1" w:firstRow="1" w:lastColumn="0" w:lastRow="0" w:noHBand="0" w:noVBand="1" w:val="04A0"/>
      </w:tblPr>
      <w:tblGrid>
        <w:gridCol w:w="4536"/>
        <w:gridCol w:w="4536"/>
      </w:tblGrid>
      <w:tr>
        <w:tc>
          <w:tcPr>
            <w:tcW w:type="dxa" w:w="3600"/>
            <w:shd w:val="clear" w:color="auto" w:fill="0D1B2A"/>
          </w:tcPr>
          <w:p>
            <w:pPr>
              <w:jc w:val="center"/>
            </w:pPr>
            <w:r>
              <w:rPr>
                <w:b/>
                <w:color w:val="FFFFFF"/>
                <w:sz w:val="19"/>
              </w:rPr>
              <w:t>Pain Point</w:t>
            </w:r>
          </w:p>
        </w:tc>
        <w:tc>
          <w:tcPr>
            <w:tcW w:type="dxa" w:w="5760"/>
            <w:shd w:val="clear" w:color="auto" w:fill="0D1B2A"/>
          </w:tcPr>
          <w:p>
            <w:pPr>
              <w:jc w:val="center"/>
            </w:pPr>
            <w:r>
              <w:rPr>
                <w:b/>
                <w:color w:val="FFFFFF"/>
                <w:sz w:val="19"/>
              </w:rPr>
              <w:t>CypherX AI Solution</w:t>
            </w:r>
          </w:p>
        </w:tc>
      </w:tr>
      <w:tr>
        <w:tc>
          <w:tcPr>
            <w:tcW w:type="dxa" w:w="3600"/>
            <w:shd w:val="clear" w:color="auto" w:fill="F4F7FA"/>
          </w:tcPr>
          <w:p>
            <w:r>
              <w:rPr>
                <w:color w:val="48566A"/>
                <w:sz w:val="18"/>
              </w:rPr>
              <w:t>No identity layer for AI agents</w:t>
            </w:r>
          </w:p>
        </w:tc>
        <w:tc>
          <w:tcPr>
            <w:tcW w:type="dxa" w:w="5760"/>
            <w:shd w:val="clear" w:color="auto" w:fill="F4F7FA"/>
          </w:tcPr>
          <w:p>
            <w:r>
              <w:rPr>
                <w:color w:val="48566A"/>
                <w:sz w:val="18"/>
              </w:rPr>
              <w:t>auth-service — agent registration, RS256 JWT, JWKS/OIDC, API key management</w:t>
            </w:r>
          </w:p>
        </w:tc>
      </w:tr>
      <w:tr>
        <w:tc>
          <w:tcPr>
            <w:tcW w:type="dxa" w:w="3600"/>
            <w:shd w:val="clear" w:color="auto" w:fill="FFFFFF"/>
          </w:tcPr>
          <w:p>
            <w:r>
              <w:rPr>
                <w:color w:val="48566A"/>
                <w:sz w:val="18"/>
              </w:rPr>
              <w:t>Uncontrolled LLM spend &amp; vendor lock-in</w:t>
            </w:r>
          </w:p>
        </w:tc>
        <w:tc>
          <w:tcPr>
            <w:tcW w:type="dxa" w:w="5760"/>
            <w:shd w:val="clear" w:color="auto" w:fill="FFFFFF"/>
          </w:tcPr>
          <w:p>
            <w:r>
              <w:rPr>
                <w:color w:val="48566A"/>
                <w:sz w:val="18"/>
              </w:rPr>
              <w:t>llms-gateway — BYOK, multi-provider (Anthropic/OpenAI/OpenRouter), token metering, cost tracking</w:t>
            </w:r>
          </w:p>
        </w:tc>
      </w:tr>
      <w:tr>
        <w:tc>
          <w:tcPr>
            <w:tcW w:type="dxa" w:w="3600"/>
            <w:shd w:val="clear" w:color="auto" w:fill="F4F7FA"/>
          </w:tcPr>
          <w:p>
            <w:r>
              <w:rPr>
                <w:color w:val="48566A"/>
                <w:sz w:val="18"/>
              </w:rPr>
              <w:t>No safety guardrails before/after LLM</w:t>
            </w:r>
          </w:p>
        </w:tc>
        <w:tc>
          <w:tcPr>
            <w:tcW w:type="dxa" w:w="5760"/>
            <w:shd w:val="clear" w:color="auto" w:fill="F4F7FA"/>
          </w:tcPr>
          <w:p>
            <w:r>
              <w:rPr>
                <w:color w:val="48566A"/>
                <w:sz w:val="18"/>
              </w:rPr>
              <w:t>guardrails-service — cascading input/output filter, rule engine, PII redaction, violation audit log</w:t>
            </w:r>
          </w:p>
        </w:tc>
      </w:tr>
      <w:tr>
        <w:tc>
          <w:tcPr>
            <w:tcW w:type="dxa" w:w="3600"/>
            <w:shd w:val="clear" w:color="auto" w:fill="FFFFFF"/>
          </w:tcPr>
          <w:p>
            <w:r>
              <w:rPr>
                <w:color w:val="48566A"/>
                <w:sz w:val="18"/>
              </w:rPr>
              <w:t>No enterprise memory or knowledge</w:t>
            </w:r>
          </w:p>
        </w:tc>
        <w:tc>
          <w:tcPr>
            <w:tcW w:type="dxa" w:w="5760"/>
            <w:shd w:val="clear" w:color="auto" w:fill="FFFFFF"/>
          </w:tcPr>
          <w:p>
            <w:r>
              <w:rPr>
                <w:color w:val="48566A"/>
                <w:sz w:val="18"/>
              </w:rPr>
              <w:t>memory-service + rag-service — principal-scoped memory, pgvector semantic search, knowledge bases</w:t>
            </w:r>
          </w:p>
        </w:tc>
      </w:tr>
      <w:tr>
        <w:tc>
          <w:tcPr>
            <w:tcW w:type="dxa" w:w="3600"/>
            <w:shd w:val="clear" w:color="auto" w:fill="F4F7FA"/>
          </w:tcPr>
          <w:p>
            <w:r>
              <w:rPr>
                <w:color w:val="48566A"/>
                <w:sz w:val="18"/>
              </w:rPr>
              <w:t>No multi-tenant data isolation</w:t>
            </w:r>
          </w:p>
        </w:tc>
        <w:tc>
          <w:tcPr>
            <w:tcW w:type="dxa" w:w="5760"/>
            <w:shd w:val="clear" w:color="auto" w:fill="F4F7FA"/>
          </w:tcPr>
          <w:p>
            <w:r>
              <w:rPr>
                <w:color w:val="48566A"/>
                <w:sz w:val="18"/>
              </w:rPr>
              <w:t>PostgreSQL RLS — each tenant's rows are invisible to every other tenant at the DB layer</w:t>
            </w:r>
          </w:p>
        </w:tc>
      </w:tr>
      <w:tr>
        <w:tc>
          <w:tcPr>
            <w:tcW w:type="dxa" w:w="3600"/>
            <w:shd w:val="clear" w:color="auto" w:fill="FFFFFF"/>
          </w:tcPr>
          <w:p>
            <w:r>
              <w:rPr>
                <w:color w:val="48566A"/>
                <w:sz w:val="18"/>
              </w:rPr>
              <w:t>No tool ecosystem for agents</w:t>
            </w:r>
          </w:p>
        </w:tc>
        <w:tc>
          <w:tcPr>
            <w:tcW w:type="dxa" w:w="5760"/>
            <w:shd w:val="clear" w:color="auto" w:fill="FFFFFF"/>
          </w:tcPr>
          <w:p>
            <w:r>
              <w:rPr>
                <w:color w:val="48566A"/>
                <w:sz w:val="18"/>
              </w:rPr>
              <w:t>tool-registry + MCP protocol — discover tools, resolve name@version, stateless invoke</w:t>
            </w:r>
          </w:p>
        </w:tc>
      </w:tr>
      <w:tr>
        <w:tc>
          <w:tcPr>
            <w:tcW w:type="dxa" w:w="3600"/>
            <w:shd w:val="clear" w:color="auto" w:fill="F4F7FA"/>
          </w:tcPr>
          <w:p>
            <w:r>
              <w:rPr>
                <w:color w:val="48566A"/>
                <w:sz w:val="18"/>
              </w:rPr>
              <w:t>Poor observability / no audit trail</w:t>
            </w:r>
          </w:p>
        </w:tc>
        <w:tc>
          <w:tcPr>
            <w:tcW w:type="dxa" w:w="5760"/>
            <w:shd w:val="clear" w:color="auto" w:fill="F4F7FA"/>
          </w:tcPr>
          <w:p>
            <w:r>
              <w:rPr>
                <w:color w:val="48566A"/>
                <w:sz w:val="18"/>
              </w:rPr>
              <w:t>W3C traceparent end-to-end, Contract-6 JSON logs, Kafka audit events, Prometheus metrics + Grafana</w:t>
            </w:r>
          </w:p>
        </w:tc>
      </w:tr>
      <w:tr>
        <w:tc>
          <w:tcPr>
            <w:tcW w:type="dxa" w:w="3600"/>
            <w:shd w:val="clear" w:color="auto" w:fill="FFFFFF"/>
          </w:tcPr>
          <w:p>
            <w:r>
              <w:rPr>
                <w:color w:val="48566A"/>
                <w:sz w:val="18"/>
              </w:rPr>
              <w:t>Complex local dev setup</w:t>
            </w:r>
          </w:p>
        </w:tc>
        <w:tc>
          <w:tcPr>
            <w:tcW w:type="dxa" w:w="5760"/>
            <w:shd w:val="clear" w:color="auto" w:fill="FFFFFF"/>
          </w:tcPr>
          <w:p>
            <w:r>
              <w:rPr>
                <w:color w:val="48566A"/>
                <w:sz w:val="18"/>
              </w:rPr>
              <w:t>docker compose up — entire platform in one command; keyless mock mode; Neon external DB</w:t>
            </w:r>
          </w:p>
        </w:tc>
      </w:tr>
    </w:tbl>
    <w:p/>
    <w:p>
      <w:pPr>
        <w:pStyle w:val="Heading2"/>
        <w:spacing w:before="160" w:after="120"/>
      </w:pPr>
      <w:r>
        <w:rPr>
          <w:color w:val="00B4D8"/>
          <w:sz w:val="32"/>
        </w:rPr>
        <w:t>Market Opportunity</w:t>
      </w:r>
    </w:p>
    <w:p>
      <w:pPr>
        <w:spacing w:after="120"/>
      </w:pPr>
      <w:r>
        <w:rPr>
          <w:color w:val="48566A"/>
          <w:sz w:val="21"/>
        </w:rPr>
        <w:t>The AI agent infrastructure market is nascent but growing rapidly as enterprises move from LLM experimentation to production deployment. CypherX AI targets the infrastructure layer — not the model layer — positioning it as a platform play with durable competitive advantages through network effects (contract ecosystem), data moats (tenant knowledge graphs), and switching costs (integrated identity and compliance audit trails).</w:t>
      </w:r>
    </w:p>
    <w:p>
      <w:pPr>
        <w:pStyle w:val="Heading2"/>
        <w:spacing w:before="160" w:after="120"/>
      </w:pPr>
      <w:r>
        <w:rPr>
          <w:color w:val="00B4D8"/>
          <w:sz w:val="32"/>
        </w:rPr>
        <w:t>Competitive Positioning</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val="clear" w:color="auto" w:fill="0D1B2A"/>
          </w:tcPr>
          <w:p>
            <w:pPr>
              <w:jc w:val="center"/>
            </w:pPr>
            <w:r>
              <w:rPr>
                <w:b/>
                <w:color w:val="FFFFFF"/>
                <w:sz w:val="19"/>
              </w:rPr>
              <w:t>Competitor Category</w:t>
            </w:r>
          </w:p>
        </w:tc>
        <w:tc>
          <w:tcPr>
            <w:tcW w:type="dxa" w:w="3312"/>
            <w:shd w:val="clear" w:color="auto" w:fill="0D1B2A"/>
          </w:tcPr>
          <w:p>
            <w:pPr>
              <w:jc w:val="center"/>
            </w:pPr>
            <w:r>
              <w:rPr>
                <w:b/>
                <w:color w:val="FFFFFF"/>
                <w:sz w:val="19"/>
              </w:rPr>
              <w:t>Limitation</w:t>
            </w:r>
          </w:p>
        </w:tc>
        <w:tc>
          <w:tcPr>
            <w:tcW w:type="dxa" w:w="2880"/>
            <w:shd w:val="clear" w:color="auto" w:fill="0D1B2A"/>
          </w:tcPr>
          <w:p>
            <w:pPr>
              <w:jc w:val="center"/>
            </w:pPr>
            <w:r>
              <w:rPr>
                <w:b/>
                <w:color w:val="FFFFFF"/>
                <w:sz w:val="19"/>
              </w:rPr>
              <w:t>CypherX AI Advantage</w:t>
            </w:r>
          </w:p>
        </w:tc>
      </w:tr>
      <w:tr>
        <w:tc>
          <w:tcPr>
            <w:tcW w:type="dxa" w:w="3168"/>
            <w:shd w:val="clear" w:color="auto" w:fill="F4F7FA"/>
          </w:tcPr>
          <w:p>
            <w:r>
              <w:rPr>
                <w:color w:val="48566A"/>
                <w:sz w:val="18"/>
              </w:rPr>
              <w:t>Raw LLM APIs (Anthropic, OpenAI)</w:t>
            </w:r>
          </w:p>
        </w:tc>
        <w:tc>
          <w:tcPr>
            <w:tcW w:type="dxa" w:w="3312"/>
            <w:shd w:val="clear" w:color="auto" w:fill="F4F7FA"/>
          </w:tcPr>
          <w:p>
            <w:r>
              <w:rPr>
                <w:color w:val="48566A"/>
                <w:sz w:val="18"/>
              </w:rPr>
              <w:t>No identity, no guardrails, no multi-tenancy</w:t>
            </w:r>
          </w:p>
        </w:tc>
        <w:tc>
          <w:tcPr>
            <w:tcW w:type="dxa" w:w="2880"/>
            <w:shd w:val="clear" w:color="auto" w:fill="F4F7FA"/>
          </w:tcPr>
          <w:p>
            <w:r>
              <w:rPr>
                <w:color w:val="48566A"/>
                <w:sz w:val="18"/>
              </w:rPr>
              <w:t>Full enterprise infrastructure layer on top</w:t>
            </w:r>
          </w:p>
        </w:tc>
      </w:tr>
      <w:tr>
        <w:tc>
          <w:tcPr>
            <w:tcW w:type="dxa" w:w="3168"/>
            <w:shd w:val="clear" w:color="auto" w:fill="FFFFFF"/>
          </w:tcPr>
          <w:p>
            <w:r>
              <w:rPr>
                <w:color w:val="48566A"/>
                <w:sz w:val="18"/>
              </w:rPr>
              <w:t>LangChain / LlamaIndex</w:t>
            </w:r>
          </w:p>
        </w:tc>
        <w:tc>
          <w:tcPr>
            <w:tcW w:type="dxa" w:w="3312"/>
            <w:shd w:val="clear" w:color="auto" w:fill="FFFFFF"/>
          </w:tcPr>
          <w:p>
            <w:r>
              <w:rPr>
                <w:color w:val="48566A"/>
                <w:sz w:val="18"/>
              </w:rPr>
              <w:t>Framework, not platform; no multi-tenancy, no audit</w:t>
            </w:r>
          </w:p>
        </w:tc>
        <w:tc>
          <w:tcPr>
            <w:tcW w:type="dxa" w:w="2880"/>
            <w:shd w:val="clear" w:color="auto" w:fill="FFFFFF"/>
          </w:tcPr>
          <w:p>
            <w:r>
              <w:rPr>
                <w:color w:val="48566A"/>
                <w:sz w:val="18"/>
              </w:rPr>
              <w:t>Production platform with contractual guarantees</w:t>
            </w:r>
          </w:p>
        </w:tc>
      </w:tr>
      <w:tr>
        <w:tc>
          <w:tcPr>
            <w:tcW w:type="dxa" w:w="3168"/>
            <w:shd w:val="clear" w:color="auto" w:fill="F4F7FA"/>
          </w:tcPr>
          <w:p>
            <w:r>
              <w:rPr>
                <w:color w:val="48566A"/>
                <w:sz w:val="18"/>
              </w:rPr>
              <w:t>Cloud AI platforms (AWS Bedrock)</w:t>
            </w:r>
          </w:p>
        </w:tc>
        <w:tc>
          <w:tcPr>
            <w:tcW w:type="dxa" w:w="3312"/>
            <w:shd w:val="clear" w:color="auto" w:fill="F4F7FA"/>
          </w:tcPr>
          <w:p>
            <w:r>
              <w:rPr>
                <w:color w:val="48566A"/>
                <w:sz w:val="18"/>
              </w:rPr>
              <w:t>Single-cloud vendor lock-in, limited customisation</w:t>
            </w:r>
          </w:p>
        </w:tc>
        <w:tc>
          <w:tcPr>
            <w:tcW w:type="dxa" w:w="2880"/>
            <w:shd w:val="clear" w:color="auto" w:fill="F4F7FA"/>
          </w:tcPr>
          <w:p>
            <w:r>
              <w:rPr>
                <w:color w:val="48566A"/>
                <w:sz w:val="18"/>
              </w:rPr>
              <w:t>Cloud-agnostic, bring-your-own infra, open contracts</w:t>
            </w:r>
          </w:p>
        </w:tc>
      </w:tr>
      <w:tr>
        <w:tc>
          <w:tcPr>
            <w:tcW w:type="dxa" w:w="3168"/>
            <w:shd w:val="clear" w:color="auto" w:fill="FFFFFF"/>
          </w:tcPr>
          <w:p>
            <w:r>
              <w:rPr>
                <w:color w:val="48566A"/>
                <w:sz w:val="18"/>
              </w:rPr>
              <w:t>Custom in-house builds</w:t>
            </w:r>
          </w:p>
        </w:tc>
        <w:tc>
          <w:tcPr>
            <w:tcW w:type="dxa" w:w="3312"/>
            <w:shd w:val="clear" w:color="auto" w:fill="FFFFFF"/>
          </w:tcPr>
          <w:p>
            <w:r>
              <w:rPr>
                <w:color w:val="48566A"/>
                <w:sz w:val="18"/>
              </w:rPr>
              <w:t>Months of duplicated infrastructure work per company</w:t>
            </w:r>
          </w:p>
        </w:tc>
        <w:tc>
          <w:tcPr>
            <w:tcW w:type="dxa" w:w="2880"/>
            <w:shd w:val="clear" w:color="auto" w:fill="FFFFFF"/>
          </w:tcPr>
          <w:p>
            <w:r>
              <w:rPr>
                <w:color w:val="48566A"/>
                <w:sz w:val="18"/>
              </w:rPr>
              <w:t>Turn-key platform with proven first-cycle spine</w:t>
            </w:r>
          </w:p>
        </w:tc>
      </w:tr>
    </w:tbl>
    <w:p/>
    <w:p>
      <w:r>
        <w:br w:type="page"/>
      </w:r>
    </w:p>
    <w:p>
      <w:pPr>
        <w:pStyle w:val="Heading1"/>
        <w:spacing w:before="280" w:after="120"/>
      </w:pPr>
      <w:r>
        <w:rPr>
          <w:color w:val="0D1B2A"/>
          <w:sz w:val="44"/>
        </w:rPr>
        <w:t>3. Platform Architecture</w:t>
      </w:r>
    </w:p>
    <w:p>
      <w:pPr>
        <w:pStyle w:val="Heading2"/>
        <w:spacing w:before="160" w:after="120"/>
      </w:pPr>
      <w:r>
        <w:rPr>
          <w:color w:val="00B4D8"/>
          <w:sz w:val="32"/>
        </w:rPr>
        <w:t>Four-Tier Architecture</w:t>
      </w:r>
    </w:p>
    <w:p>
      <w:pPr>
        <w:spacing w:after="120"/>
      </w:pPr>
      <w:r>
        <w:rPr>
          <w:color w:val="48566A"/>
          <w:sz w:val="21"/>
        </w:rPr>
        <w:t>CypherX AI is structured in four logical tiers: Client (browser/API), Edge &amp; Frontend (Caddy + BFF + SPA), Shared Core Services (12 microservices), and Data &amp; Infrastructure (Postgres + Kafka + Valkey + MinIO). All tiers communicate via HTTP/REST using immutable versioned contracts. Event-driven coupling uses the Kafka transactional outbox pattern.</w:t>
      </w:r>
    </w:p>
    <w:p>
      <w:pPr>
        <w:jc w:val="center"/>
      </w:pPr>
      <w:r>
        <w:drawing>
          <wp:inline xmlns:a="http://schemas.openxmlformats.org/drawingml/2006/main" xmlns:pic="http://schemas.openxmlformats.org/drawingml/2006/picture">
            <wp:extent cx="5852160" cy="3872693"/>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852160" cy="3872693"/>
                    </a:xfrm>
                    <a:prstGeom prst="rect"/>
                  </pic:spPr>
                </pic:pic>
              </a:graphicData>
            </a:graphic>
          </wp:inline>
        </w:drawing>
      </w:r>
    </w:p>
    <w:p>
      <w:pPr>
        <w:spacing w:after="200"/>
        <w:jc w:val="center"/>
      </w:pPr>
      <w:r>
        <w:rPr>
          <w:i/>
          <w:color w:val="48566A"/>
          <w:sz w:val="18"/>
        </w:rPr>
        <w:t>Figure 3.1 — Platform Architecture (all tiers, services, and infrastructure)</w:t>
      </w:r>
    </w:p>
    <w:p>
      <w:pPr>
        <w:pStyle w:val="Heading2"/>
        <w:spacing w:before="160" w:after="120"/>
      </w:pPr>
      <w:r>
        <w:rPr>
          <w:color w:val="00B4D8"/>
          <w:sz w:val="32"/>
        </w:rPr>
        <w:t>Request Flow (Browser → Response)</w:t>
      </w:r>
    </w:p>
    <w:p>
      <w:pPr>
        <w:jc w:val="center"/>
      </w:pPr>
      <w:r>
        <w:drawing>
          <wp:inline xmlns:a="http://schemas.openxmlformats.org/drawingml/2006/main" xmlns:pic="http://schemas.openxmlformats.org/drawingml/2006/picture">
            <wp:extent cx="5852160" cy="3125456"/>
            <wp:docPr id="3" name="Picture 3"/>
            <wp:cNvGraphicFramePr>
              <a:graphicFrameLocks noChangeAspect="1"/>
            </wp:cNvGraphicFramePr>
            <a:graphic>
              <a:graphicData uri="http://schemas.openxmlformats.org/drawingml/2006/picture">
                <pic:pic>
                  <pic:nvPicPr>
                    <pic:cNvPr id="0" name="02_request_flow.png"/>
                    <pic:cNvPicPr/>
                  </pic:nvPicPr>
                  <pic:blipFill>
                    <a:blip r:embed="rId10"/>
                    <a:stretch>
                      <a:fillRect/>
                    </a:stretch>
                  </pic:blipFill>
                  <pic:spPr>
                    <a:xfrm>
                      <a:off x="0" y="0"/>
                      <a:ext cx="5852160" cy="3125456"/>
                    </a:xfrm>
                    <a:prstGeom prst="rect"/>
                  </pic:spPr>
                </pic:pic>
              </a:graphicData>
            </a:graphic>
          </wp:inline>
        </w:drawing>
      </w:r>
    </w:p>
    <w:p>
      <w:pPr>
        <w:spacing w:after="200"/>
        <w:jc w:val="center"/>
      </w:pPr>
      <w:r>
        <w:rPr>
          <w:i/>
          <w:color w:val="48566A"/>
          <w:sz w:val="18"/>
        </w:rPr>
        <w:t>Figure 3.2 — End-to-End Task Execution Sequence</w:t>
      </w:r>
    </w:p>
    <w:p>
      <w:pPr>
        <w:pStyle w:val="Heading2"/>
        <w:spacing w:before="160" w:after="120"/>
      </w:pPr>
      <w:r>
        <w:rPr>
          <w:color w:val="00B4D8"/>
          <w:sz w:val="32"/>
        </w:rPr>
        <w:t>Design Principles</w:t>
      </w:r>
    </w:p>
    <w:p>
      <w:pPr>
        <w:spacing w:after="80"/>
      </w:pPr>
      <w:r>
        <w:rPr>
          <w:b/>
          <w:color w:val="00B4D8"/>
          <w:sz w:val="21"/>
        </w:rPr>
        <w:t xml:space="preserve">Contract-First: </w:t>
      </w:r>
      <w:r>
        <w:rPr>
          <w:color w:val="48566A"/>
          <w:sz w:val="21"/>
        </w:rPr>
        <w:t>All 21 cross-service agreements are published as immutable JSON Schema / OpenAPI contracts BEFORE any service is built. Services adapt to contracts; contracts are never bent to services.</w:t>
      </w:r>
    </w:p>
    <w:p>
      <w:pPr>
        <w:spacing w:after="80"/>
      </w:pPr>
      <w:r>
        <w:rPr>
          <w:b/>
          <w:color w:val="00B4D8"/>
          <w:sz w:val="21"/>
        </w:rPr>
        <w:t xml:space="preserve">Dependency-Ordered Phases: </w:t>
      </w:r>
      <w:r>
        <w:rPr>
          <w:color w:val="48566A"/>
          <w:sz w:val="21"/>
        </w:rPr>
        <w:t>Infrastructure (Phase 1) before auth (Phase 2) before LLMs (Phase 3) before guardrails (Phase 4) before xAgent (Phase 9A). Each phase only depends on previously proven contracts.</w:t>
      </w:r>
    </w:p>
    <w:p>
      <w:pPr>
        <w:spacing w:after="80"/>
      </w:pPr>
      <w:r>
        <w:rPr>
          <w:b/>
          <w:color w:val="00B4D8"/>
          <w:sz w:val="21"/>
        </w:rPr>
        <w:t xml:space="preserve">First-Cycle Spine First: </w:t>
      </w:r>
      <w:r>
        <w:rPr>
          <w:color w:val="48566A"/>
          <w:sz w:val="21"/>
        </w:rPr>
        <w:t>The minimum viable path (agent registered → JWT → task → guardrails → LLM → response) is built and smoke-tested before any enterprise features. Phase 0–4 + 9A + frontend only.</w:t>
      </w:r>
    </w:p>
    <w:p>
      <w:pPr>
        <w:spacing w:after="80"/>
      </w:pPr>
      <w:r>
        <w:rPr>
          <w:b/>
          <w:color w:val="00B4D8"/>
          <w:sz w:val="21"/>
        </w:rPr>
        <w:t xml:space="preserve">Forward Compatibility: </w:t>
      </w:r>
      <w:r>
        <w:rPr>
          <w:color w:val="48566A"/>
          <w:sz w:val="21"/>
        </w:rPr>
        <w:t>All contracts carry additionalProperties: true; verifiers ignore unknown fields. Breaking changes require a new /v2 endpoint alongside /v1. Old versions are deprecated, never deleted.</w:t>
      </w:r>
    </w:p>
    <w:p>
      <w:pPr>
        <w:spacing w:after="80"/>
      </w:pPr>
      <w:r>
        <w:rPr>
          <w:b/>
          <w:color w:val="00B4D8"/>
          <w:sz w:val="21"/>
        </w:rPr>
        <w:t xml:space="preserve">Zero Trust Identity: </w:t>
      </w:r>
      <w:r>
        <w:rPr>
          <w:color w:val="48566A"/>
          <w:sz w:val="21"/>
        </w:rPr>
        <w:t>Every service re-verifies the agent JWT locally against Auth JWKS. No implicit trust between services. Service-to-service tokens follow Contract 12.</w:t>
      </w:r>
    </w:p>
    <w:p>
      <w:pPr>
        <w:spacing w:after="80"/>
      </w:pPr>
      <w:r>
        <w:rPr>
          <w:b/>
          <w:color w:val="00B4D8"/>
          <w:sz w:val="21"/>
        </w:rPr>
        <w:t xml:space="preserve">Keyless Local Dev: </w:t>
      </w:r>
      <w:r>
        <w:rPr>
          <w:color w:val="48566A"/>
          <w:sz w:val="21"/>
        </w:rPr>
        <w:t>MOCK_PROVIDERS=true, MOCK_EMBEDDINGS=true, CLASSIFIER_MODE=stub, SEARCH_PROVIDER=mock. The entire platform runs offline without any API keys.</w:t>
      </w:r>
    </w:p>
    <w:p>
      <w:pPr>
        <w:pStyle w:val="Heading2"/>
        <w:spacing w:before="160" w:after="120"/>
      </w:pPr>
      <w:r>
        <w:rPr>
          <w:color w:val="00B4D8"/>
          <w:sz w:val="32"/>
        </w:rPr>
        <w:t>Service Inventory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0D1B2A"/>
          </w:tcPr>
          <w:p>
            <w:pPr>
              <w:jc w:val="center"/>
            </w:pPr>
            <w:r>
              <w:rPr>
                <w:b/>
                <w:color w:val="FFFFFF"/>
                <w:sz w:val="19"/>
              </w:rPr>
              <w:t>Service</w:t>
            </w:r>
          </w:p>
        </w:tc>
        <w:tc>
          <w:tcPr>
            <w:tcW w:type="dxa" w:w="2592"/>
            <w:shd w:val="clear" w:color="auto" w:fill="0D1B2A"/>
          </w:tcPr>
          <w:p>
            <w:pPr>
              <w:jc w:val="center"/>
            </w:pPr>
            <w:r>
              <w:rPr>
                <w:b/>
                <w:color w:val="FFFFFF"/>
                <w:sz w:val="19"/>
              </w:rPr>
              <w:t>Technology</w:t>
            </w:r>
          </w:p>
        </w:tc>
        <w:tc>
          <w:tcPr>
            <w:tcW w:type="dxa" w:w="3600"/>
            <w:shd w:val="clear" w:color="auto" w:fill="0D1B2A"/>
          </w:tcPr>
          <w:p>
            <w:pPr>
              <w:jc w:val="center"/>
            </w:pPr>
            <w:r>
              <w:rPr>
                <w:b/>
                <w:color w:val="FFFFFF"/>
                <w:sz w:val="19"/>
              </w:rPr>
              <w:t>Role</w:t>
            </w:r>
          </w:p>
        </w:tc>
        <w:tc>
          <w:tcPr>
            <w:tcW w:type="dxa" w:w="864"/>
            <w:shd w:val="clear" w:color="auto" w:fill="0D1B2A"/>
          </w:tcPr>
          <w:p>
            <w:pPr>
              <w:jc w:val="center"/>
            </w:pPr>
            <w:r>
              <w:rPr>
                <w:b/>
                <w:color w:val="FFFFFF"/>
                <w:sz w:val="19"/>
              </w:rPr>
              <w:t>Port</w:t>
            </w:r>
          </w:p>
        </w:tc>
      </w:tr>
      <w:tr>
        <w:tc>
          <w:tcPr>
            <w:tcW w:type="dxa" w:w="2160"/>
            <w:shd w:val="clear" w:color="auto" w:fill="F4F7FA"/>
          </w:tcPr>
          <w:p>
            <w:r>
              <w:rPr>
                <w:color w:val="48566A"/>
                <w:sz w:val="18"/>
              </w:rPr>
              <w:t>edge</w:t>
            </w:r>
          </w:p>
        </w:tc>
        <w:tc>
          <w:tcPr>
            <w:tcW w:type="dxa" w:w="2592"/>
            <w:shd w:val="clear" w:color="auto" w:fill="F4F7FA"/>
          </w:tcPr>
          <w:p>
            <w:r>
              <w:rPr>
                <w:color w:val="48566A"/>
                <w:sz w:val="18"/>
              </w:rPr>
              <w:t>Caddy 2</w:t>
            </w:r>
          </w:p>
        </w:tc>
        <w:tc>
          <w:tcPr>
            <w:tcW w:type="dxa" w:w="3600"/>
            <w:shd w:val="clear" w:color="auto" w:fill="F4F7FA"/>
          </w:tcPr>
          <w:p>
            <w:r>
              <w:rPr>
                <w:color w:val="48566A"/>
                <w:sz w:val="18"/>
              </w:rPr>
              <w:t>Single local entrypoint, reverse proxy</w:t>
            </w:r>
          </w:p>
        </w:tc>
        <w:tc>
          <w:tcPr>
            <w:tcW w:type="dxa" w:w="864"/>
            <w:shd w:val="clear" w:color="auto" w:fill="F4F7FA"/>
          </w:tcPr>
          <w:p>
            <w:r>
              <w:rPr>
                <w:color w:val="48566A"/>
                <w:sz w:val="18"/>
              </w:rPr>
              <w:t>8000</w:t>
            </w:r>
          </w:p>
        </w:tc>
      </w:tr>
      <w:tr>
        <w:tc>
          <w:tcPr>
            <w:tcW w:type="dxa" w:w="2160"/>
            <w:shd w:val="clear" w:color="auto" w:fill="FFFFFF"/>
          </w:tcPr>
          <w:p>
            <w:r>
              <w:rPr>
                <w:color w:val="48566A"/>
                <w:sz w:val="18"/>
              </w:rPr>
              <w:t>auth-service</w:t>
            </w:r>
          </w:p>
        </w:tc>
        <w:tc>
          <w:tcPr>
            <w:tcW w:type="dxa" w:w="2592"/>
            <w:shd w:val="clear" w:color="auto" w:fill="FFFFFF"/>
          </w:tcPr>
          <w:p>
            <w:r>
              <w:rPr>
                <w:color w:val="48566A"/>
                <w:sz w:val="18"/>
              </w:rPr>
              <w:t>Kotlin 2 / Spring Boot 3.3 / JDK 21</w:t>
            </w:r>
          </w:p>
        </w:tc>
        <w:tc>
          <w:tcPr>
            <w:tcW w:type="dxa" w:w="3600"/>
            <w:shd w:val="clear" w:color="auto" w:fill="FFFFFF"/>
          </w:tcPr>
          <w:p>
            <w:r>
              <w:rPr>
                <w:color w:val="48566A"/>
                <w:sz w:val="18"/>
              </w:rPr>
              <w:t>Agent identity, JWT, JWKS, API keys, audit</w:t>
            </w:r>
          </w:p>
        </w:tc>
        <w:tc>
          <w:tcPr>
            <w:tcW w:type="dxa" w:w="864"/>
            <w:shd w:val="clear" w:color="auto" w:fill="FFFFFF"/>
          </w:tcPr>
          <w:p>
            <w:r>
              <w:rPr>
                <w:color w:val="48566A"/>
                <w:sz w:val="18"/>
              </w:rPr>
              <w:t>8080</w:t>
            </w:r>
          </w:p>
        </w:tc>
      </w:tr>
      <w:tr>
        <w:tc>
          <w:tcPr>
            <w:tcW w:type="dxa" w:w="2160"/>
            <w:shd w:val="clear" w:color="auto" w:fill="F4F7FA"/>
          </w:tcPr>
          <w:p>
            <w:r>
              <w:rPr>
                <w:color w:val="48566A"/>
                <w:sz w:val="18"/>
              </w:rPr>
              <w:t>xagent/ax-1</w:t>
            </w:r>
          </w:p>
        </w:tc>
        <w:tc>
          <w:tcPr>
            <w:tcW w:type="dxa" w:w="2592"/>
            <w:shd w:val="clear" w:color="auto" w:fill="F4F7FA"/>
          </w:tcPr>
          <w:p>
            <w:r>
              <w:rPr>
                <w:color w:val="48566A"/>
                <w:sz w:val="18"/>
              </w:rPr>
              <w:t>Python 3.12 / FastAPI</w:t>
            </w:r>
          </w:p>
        </w:tc>
        <w:tc>
          <w:tcPr>
            <w:tcW w:type="dxa" w:w="3600"/>
            <w:shd w:val="clear" w:color="auto" w:fill="F4F7FA"/>
          </w:tcPr>
          <w:p>
            <w:r>
              <w:rPr>
                <w:color w:val="48566A"/>
                <w:sz w:val="18"/>
              </w:rPr>
              <w:t>Single-agent runtime (stage pipeline)</w:t>
            </w:r>
          </w:p>
        </w:tc>
        <w:tc>
          <w:tcPr>
            <w:tcW w:type="dxa" w:w="864"/>
            <w:shd w:val="clear" w:color="auto" w:fill="F4F7FA"/>
          </w:tcPr>
          <w:p>
            <w:r>
              <w:rPr>
                <w:color w:val="48566A"/>
                <w:sz w:val="18"/>
              </w:rPr>
              <w:t>8083</w:t>
            </w:r>
          </w:p>
        </w:tc>
      </w:tr>
      <w:tr>
        <w:tc>
          <w:tcPr>
            <w:tcW w:type="dxa" w:w="2160"/>
            <w:shd w:val="clear" w:color="auto" w:fill="FFFFFF"/>
          </w:tcPr>
          <w:p>
            <w:r>
              <w:rPr>
                <w:color w:val="48566A"/>
                <w:sz w:val="18"/>
              </w:rPr>
              <w:t>llms-gateway</w:t>
            </w:r>
          </w:p>
        </w:tc>
        <w:tc>
          <w:tcPr>
            <w:tcW w:type="dxa" w:w="2592"/>
            <w:shd w:val="clear" w:color="auto" w:fill="FFFFFF"/>
          </w:tcPr>
          <w:p>
            <w:r>
              <w:rPr>
                <w:color w:val="48566A"/>
                <w:sz w:val="18"/>
              </w:rPr>
              <w:t>Python 3.12 / FastAPI</w:t>
            </w:r>
          </w:p>
        </w:tc>
        <w:tc>
          <w:tcPr>
            <w:tcW w:type="dxa" w:w="3600"/>
            <w:shd w:val="clear" w:color="auto" w:fill="FFFFFF"/>
          </w:tcPr>
          <w:p>
            <w:r>
              <w:rPr>
                <w:color w:val="48566A"/>
                <w:sz w:val="18"/>
              </w:rPr>
              <w:t>Unified LLM gateway, token metering, BYOK</w:t>
            </w:r>
          </w:p>
        </w:tc>
        <w:tc>
          <w:tcPr>
            <w:tcW w:type="dxa" w:w="864"/>
            <w:shd w:val="clear" w:color="auto" w:fill="FFFFFF"/>
          </w:tcPr>
          <w:p>
            <w:r>
              <w:rPr>
                <w:color w:val="48566A"/>
                <w:sz w:val="18"/>
              </w:rPr>
              <w:t>8085</w:t>
            </w:r>
          </w:p>
        </w:tc>
      </w:tr>
      <w:tr>
        <w:tc>
          <w:tcPr>
            <w:tcW w:type="dxa" w:w="2160"/>
            <w:shd w:val="clear" w:color="auto" w:fill="F4F7FA"/>
          </w:tcPr>
          <w:p>
            <w:r>
              <w:rPr>
                <w:color w:val="48566A"/>
                <w:sz w:val="18"/>
              </w:rPr>
              <w:t>guardrails-service</w:t>
            </w:r>
          </w:p>
        </w:tc>
        <w:tc>
          <w:tcPr>
            <w:tcW w:type="dxa" w:w="2592"/>
            <w:shd w:val="clear" w:color="auto" w:fill="F4F7FA"/>
          </w:tcPr>
          <w:p>
            <w:r>
              <w:rPr>
                <w:color w:val="48566A"/>
                <w:sz w:val="18"/>
              </w:rPr>
              <w:t>Python 3.12 / FastAPI</w:t>
            </w:r>
          </w:p>
        </w:tc>
        <w:tc>
          <w:tcPr>
            <w:tcW w:type="dxa" w:w="3600"/>
            <w:shd w:val="clear" w:color="auto" w:fill="F4F7FA"/>
          </w:tcPr>
          <w:p>
            <w:r>
              <w:rPr>
                <w:color w:val="48566A"/>
                <w:sz w:val="18"/>
              </w:rPr>
              <w:t>Input/output safety filter, rule engine</w:t>
            </w:r>
          </w:p>
        </w:tc>
        <w:tc>
          <w:tcPr>
            <w:tcW w:type="dxa" w:w="864"/>
            <w:shd w:val="clear" w:color="auto" w:fill="F4F7FA"/>
          </w:tcPr>
          <w:p>
            <w:r>
              <w:rPr>
                <w:color w:val="48566A"/>
                <w:sz w:val="18"/>
              </w:rPr>
              <w:t>8086</w:t>
            </w:r>
          </w:p>
        </w:tc>
      </w:tr>
      <w:tr>
        <w:tc>
          <w:tcPr>
            <w:tcW w:type="dxa" w:w="2160"/>
            <w:shd w:val="clear" w:color="auto" w:fill="FFFFFF"/>
          </w:tcPr>
          <w:p>
            <w:r>
              <w:rPr>
                <w:color w:val="48566A"/>
                <w:sz w:val="18"/>
              </w:rPr>
              <w:t>rag-service</w:t>
            </w:r>
          </w:p>
        </w:tc>
        <w:tc>
          <w:tcPr>
            <w:tcW w:type="dxa" w:w="2592"/>
            <w:shd w:val="clear" w:color="auto" w:fill="FFFFFF"/>
          </w:tcPr>
          <w:p>
            <w:r>
              <w:rPr>
                <w:color w:val="48566A"/>
                <w:sz w:val="18"/>
              </w:rPr>
              <w:t>Python 3.12 / FastAPI</w:t>
            </w:r>
          </w:p>
        </w:tc>
        <w:tc>
          <w:tcPr>
            <w:tcW w:type="dxa" w:w="3600"/>
            <w:shd w:val="clear" w:color="auto" w:fill="FFFFFF"/>
          </w:tcPr>
          <w:p>
            <w:r>
              <w:rPr>
                <w:color w:val="48566A"/>
                <w:sz w:val="18"/>
              </w:rPr>
              <w:t>Knowledge bases, chunking, pgvector retrieval</w:t>
            </w:r>
          </w:p>
        </w:tc>
        <w:tc>
          <w:tcPr>
            <w:tcW w:type="dxa" w:w="864"/>
            <w:shd w:val="clear" w:color="auto" w:fill="FFFFFF"/>
          </w:tcPr>
          <w:p>
            <w:r>
              <w:rPr>
                <w:color w:val="48566A"/>
                <w:sz w:val="18"/>
              </w:rPr>
              <w:t>8087</w:t>
            </w:r>
          </w:p>
        </w:tc>
      </w:tr>
      <w:tr>
        <w:tc>
          <w:tcPr>
            <w:tcW w:type="dxa" w:w="2160"/>
            <w:shd w:val="clear" w:color="auto" w:fill="F4F7FA"/>
          </w:tcPr>
          <w:p>
            <w:r>
              <w:rPr>
                <w:color w:val="48566A"/>
                <w:sz w:val="18"/>
              </w:rPr>
              <w:t>memory-service</w:t>
            </w:r>
          </w:p>
        </w:tc>
        <w:tc>
          <w:tcPr>
            <w:tcW w:type="dxa" w:w="2592"/>
            <w:shd w:val="clear" w:color="auto" w:fill="F4F7FA"/>
          </w:tcPr>
          <w:p>
            <w:r>
              <w:rPr>
                <w:color w:val="48566A"/>
                <w:sz w:val="18"/>
              </w:rPr>
              <w:t>Python 3.12 / FastAPI</w:t>
            </w:r>
          </w:p>
        </w:tc>
        <w:tc>
          <w:tcPr>
            <w:tcW w:type="dxa" w:w="3600"/>
            <w:shd w:val="clear" w:color="auto" w:fill="F4F7FA"/>
          </w:tcPr>
          <w:p>
            <w:r>
              <w:rPr>
                <w:color w:val="48566A"/>
                <w:sz w:val="18"/>
              </w:rPr>
              <w:t>Principal-scoped agent memory, semantic search</w:t>
            </w:r>
          </w:p>
        </w:tc>
        <w:tc>
          <w:tcPr>
            <w:tcW w:type="dxa" w:w="864"/>
            <w:shd w:val="clear" w:color="auto" w:fill="F4F7FA"/>
          </w:tcPr>
          <w:p>
            <w:r>
              <w:rPr>
                <w:color w:val="48566A"/>
                <w:sz w:val="18"/>
              </w:rPr>
              <w:t>8088</w:t>
            </w:r>
          </w:p>
        </w:tc>
      </w:tr>
      <w:tr>
        <w:tc>
          <w:tcPr>
            <w:tcW w:type="dxa" w:w="2160"/>
            <w:shd w:val="clear" w:color="auto" w:fill="FFFFFF"/>
          </w:tcPr>
          <w:p>
            <w:r>
              <w:rPr>
                <w:color w:val="48566A"/>
                <w:sz w:val="18"/>
              </w:rPr>
              <w:t>tool-registry</w:t>
            </w:r>
          </w:p>
        </w:tc>
        <w:tc>
          <w:tcPr>
            <w:tcW w:type="dxa" w:w="2592"/>
            <w:shd w:val="clear" w:color="auto" w:fill="FFFFFF"/>
          </w:tcPr>
          <w:p>
            <w:r>
              <w:rPr>
                <w:color w:val="48566A"/>
                <w:sz w:val="18"/>
              </w:rPr>
              <w:t>Python 3.12 / FastAPI</w:t>
            </w:r>
          </w:p>
        </w:tc>
        <w:tc>
          <w:tcPr>
            <w:tcW w:type="dxa" w:w="3600"/>
            <w:shd w:val="clear" w:color="auto" w:fill="FFFFFF"/>
          </w:tcPr>
          <w:p>
            <w:r>
              <w:rPr>
                <w:color w:val="48566A"/>
                <w:sz w:val="18"/>
              </w:rPr>
              <w:t>MCP tool catalogue, health polling</w:t>
            </w:r>
          </w:p>
        </w:tc>
        <w:tc>
          <w:tcPr>
            <w:tcW w:type="dxa" w:w="864"/>
            <w:shd w:val="clear" w:color="auto" w:fill="FFFFFF"/>
          </w:tcPr>
          <w:p>
            <w:r>
              <w:rPr>
                <w:color w:val="48566A"/>
                <w:sz w:val="18"/>
              </w:rPr>
              <w:t>8089</w:t>
            </w:r>
          </w:p>
        </w:tc>
      </w:tr>
      <w:tr>
        <w:tc>
          <w:tcPr>
            <w:tcW w:type="dxa" w:w="2160"/>
            <w:shd w:val="clear" w:color="auto" w:fill="F4F7FA"/>
          </w:tcPr>
          <w:p>
            <w:r>
              <w:rPr>
                <w:color w:val="48566A"/>
                <w:sz w:val="18"/>
              </w:rPr>
              <w:t>tool-web-search</w:t>
            </w:r>
          </w:p>
        </w:tc>
        <w:tc>
          <w:tcPr>
            <w:tcW w:type="dxa" w:w="2592"/>
            <w:shd w:val="clear" w:color="auto" w:fill="F4F7FA"/>
          </w:tcPr>
          <w:p>
            <w:r>
              <w:rPr>
                <w:color w:val="48566A"/>
                <w:sz w:val="18"/>
              </w:rPr>
              <w:t>Python 3.12 / FastAPI</w:t>
            </w:r>
          </w:p>
        </w:tc>
        <w:tc>
          <w:tcPr>
            <w:tcW w:type="dxa" w:w="3600"/>
            <w:shd w:val="clear" w:color="auto" w:fill="F4F7FA"/>
          </w:tcPr>
          <w:p>
            <w:r>
              <w:rPr>
                <w:color w:val="48566A"/>
                <w:sz w:val="18"/>
              </w:rPr>
              <w:t>MCP web_search tool (mock/SerpAPI/Brave)</w:t>
            </w:r>
          </w:p>
        </w:tc>
        <w:tc>
          <w:tcPr>
            <w:tcW w:type="dxa" w:w="864"/>
            <w:shd w:val="clear" w:color="auto" w:fill="F4F7FA"/>
          </w:tcPr>
          <w:p>
            <w:r>
              <w:rPr>
                <w:color w:val="48566A"/>
                <w:sz w:val="18"/>
              </w:rPr>
              <w:t>8091</w:t>
            </w:r>
          </w:p>
        </w:tc>
      </w:tr>
      <w:tr>
        <w:tc>
          <w:tcPr>
            <w:tcW w:type="dxa" w:w="2160"/>
            <w:shd w:val="clear" w:color="auto" w:fill="FFFFFF"/>
          </w:tcPr>
          <w:p>
            <w:r>
              <w:rPr>
                <w:color w:val="48566A"/>
                <w:sz w:val="18"/>
              </w:rPr>
              <w:t>frontend-bff</w:t>
            </w:r>
          </w:p>
        </w:tc>
        <w:tc>
          <w:tcPr>
            <w:tcW w:type="dxa" w:w="2592"/>
            <w:shd w:val="clear" w:color="auto" w:fill="FFFFFF"/>
          </w:tcPr>
          <w:p>
            <w:r>
              <w:rPr>
                <w:color w:val="48566A"/>
                <w:sz w:val="18"/>
              </w:rPr>
              <w:t>Node 22 / Fastify 4</w:t>
            </w:r>
          </w:p>
        </w:tc>
        <w:tc>
          <w:tcPr>
            <w:tcW w:type="dxa" w:w="3600"/>
            <w:shd w:val="clear" w:color="auto" w:fill="FFFFFF"/>
          </w:tcPr>
          <w:p>
            <w:r>
              <w:rPr>
                <w:color w:val="48566A"/>
                <w:sz w:val="18"/>
              </w:rPr>
              <w:t>BFF: session, CSRF, JWT inject, proxy</w:t>
            </w:r>
          </w:p>
        </w:tc>
        <w:tc>
          <w:tcPr>
            <w:tcW w:type="dxa" w:w="864"/>
            <w:shd w:val="clear" w:color="auto" w:fill="FFFFFF"/>
          </w:tcPr>
          <w:p>
            <w:r>
              <w:rPr>
                <w:color w:val="48566A"/>
                <w:sz w:val="18"/>
              </w:rPr>
              <w:t>8092</w:t>
            </w:r>
          </w:p>
        </w:tc>
      </w:tr>
      <w:tr>
        <w:tc>
          <w:tcPr>
            <w:tcW w:type="dxa" w:w="2160"/>
            <w:shd w:val="clear" w:color="auto" w:fill="F4F7FA"/>
          </w:tcPr>
          <w:p>
            <w:r>
              <w:rPr>
                <w:color w:val="48566A"/>
                <w:sz w:val="18"/>
              </w:rPr>
              <w:t>frontend-app</w:t>
            </w:r>
          </w:p>
        </w:tc>
        <w:tc>
          <w:tcPr>
            <w:tcW w:type="dxa" w:w="2592"/>
            <w:shd w:val="clear" w:color="auto" w:fill="F4F7FA"/>
          </w:tcPr>
          <w:p>
            <w:r>
              <w:rPr>
                <w:color w:val="48566A"/>
                <w:sz w:val="18"/>
              </w:rPr>
              <w:t>Next.js 15 / React 19</w:t>
            </w:r>
          </w:p>
        </w:tc>
        <w:tc>
          <w:tcPr>
            <w:tcW w:type="dxa" w:w="3600"/>
            <w:shd w:val="clear" w:color="auto" w:fill="F4F7FA"/>
          </w:tcPr>
          <w:p>
            <w:r>
              <w:rPr>
                <w:color w:val="48566A"/>
                <w:sz w:val="18"/>
              </w:rPr>
              <w:t>Admin SPA console</w:t>
            </w:r>
          </w:p>
        </w:tc>
        <w:tc>
          <w:tcPr>
            <w:tcW w:type="dxa" w:w="864"/>
            <w:shd w:val="clear" w:color="auto" w:fill="F4F7FA"/>
          </w:tcPr>
          <w:p>
            <w:r>
              <w:rPr>
                <w:color w:val="48566A"/>
                <w:sz w:val="18"/>
              </w:rPr>
              <w:t>3000</w:t>
            </w:r>
          </w:p>
        </w:tc>
      </w:tr>
      <w:tr>
        <w:tc>
          <w:tcPr>
            <w:tcW w:type="dxa" w:w="2160"/>
            <w:shd w:val="clear" w:color="auto" w:fill="FFFFFF"/>
          </w:tcPr>
          <w:p>
            <w:r>
              <w:rPr>
                <w:color w:val="48566A"/>
                <w:sz w:val="18"/>
              </w:rPr>
              <w:t>cypherx-a1</w:t>
            </w:r>
          </w:p>
        </w:tc>
        <w:tc>
          <w:tcPr>
            <w:tcW w:type="dxa" w:w="2592"/>
            <w:shd w:val="clear" w:color="auto" w:fill="FFFFFF"/>
          </w:tcPr>
          <w:p>
            <w:r>
              <w:rPr>
                <w:color w:val="48566A"/>
                <w:sz w:val="18"/>
              </w:rPr>
              <w:t>Python 3.12 / FastAPI</w:t>
            </w:r>
          </w:p>
        </w:tc>
        <w:tc>
          <w:tcPr>
            <w:tcW w:type="dxa" w:w="3600"/>
            <w:shd w:val="clear" w:color="auto" w:fill="FFFFFF"/>
          </w:tcPr>
          <w:p>
            <w:r>
              <w:rPr>
                <w:color w:val="48566A"/>
                <w:sz w:val="18"/>
              </w:rPr>
              <w:t>Autonomous engineering memory (consuming app)</w:t>
            </w:r>
          </w:p>
        </w:tc>
        <w:tc>
          <w:tcPr>
            <w:tcW w:type="dxa" w:w="864"/>
            <w:shd w:val="clear" w:color="auto" w:fill="FFFFFF"/>
          </w:tcPr>
          <w:p>
            <w:r>
              <w:rPr>
                <w:color w:val="48566A"/>
                <w:sz w:val="18"/>
              </w:rPr>
              <w:t>8093</w:t>
            </w:r>
          </w:p>
        </w:tc>
      </w:tr>
    </w:tbl>
    <w:p/>
    <w:p>
      <w:r>
        <w:br w:type="page"/>
      </w:r>
    </w:p>
    <w:p>
      <w:pPr>
        <w:pStyle w:val="Heading1"/>
        <w:spacing w:before="280" w:after="120"/>
      </w:pPr>
      <w:r>
        <w:rPr>
          <w:color w:val="0D1B2A"/>
          <w:sz w:val="44"/>
        </w:rPr>
        <w:t>4. Core Services Deep-Dive</w:t>
      </w:r>
    </w:p>
    <w:p>
      <w:pPr>
        <w:pStyle w:val="Heading2"/>
        <w:spacing w:before="160" w:after="120"/>
      </w:pPr>
      <w:r>
        <w:rPr>
          <w:color w:val="00B4D8"/>
          <w:sz w:val="32"/>
        </w:rPr>
        <w:t>auth-service</w:t>
      </w:r>
    </w:p>
    <w:p>
      <w:r>
        <w:rPr>
          <w:i/>
          <w:color w:val="00B4D8"/>
          <w:sz w:val="19"/>
        </w:rPr>
        <w:t>Technology: Kotlin 2 / Spring Boot 3.3 / JDK 21 / Gradle KTS</w:t>
      </w:r>
    </w:p>
    <w:p>
      <w:pPr>
        <w:spacing w:after="120"/>
      </w:pPr>
      <w:r>
        <w:rPr>
          <w:color w:val="48566A"/>
          <w:sz w:val="21"/>
        </w:rPr>
        <w:t>Agent identity and access management. Issues RS256 JWT (Contract 1), manages API keys (Argon2id), JWKS/OIDC endpoint for verification, tenant and quota management, webhook delivery, append-only audit log, Valkey revocation mirror.</w:t>
      </w:r>
    </w:p>
    <w:p>
      <w:pPr>
        <w:pStyle w:val="Heading3"/>
        <w:spacing w:before="160" w:after="120"/>
      </w:pPr>
      <w:r>
        <w:rPr>
          <w:color w:val="00B4D8"/>
          <w:sz w:val="26"/>
        </w:rPr>
        <w:t>Key Endpoints</w:t>
      </w:r>
    </w:p>
    <w:p>
      <w:pPr>
        <w:pStyle w:val="ListBullet"/>
        <w:spacing w:after="60"/>
        <w:ind w:left="432"/>
      </w:pPr>
      <w:r>
        <w:rPr>
          <w:color w:val="48566A"/>
          <w:sz w:val="20"/>
        </w:rPr>
        <w:t>POST /v1/agents — register agent</w:t>
      </w:r>
    </w:p>
    <w:p>
      <w:pPr>
        <w:pStyle w:val="ListBullet"/>
        <w:spacing w:after="60"/>
        <w:ind w:left="432"/>
      </w:pPr>
      <w:r>
        <w:rPr>
          <w:color w:val="48566A"/>
          <w:sz w:val="20"/>
        </w:rPr>
        <w:t>POST /v1/agents/{id}/token — exchange api_key for JWT</w:t>
      </w:r>
    </w:p>
    <w:p>
      <w:pPr>
        <w:pStyle w:val="ListBullet"/>
        <w:spacing w:after="60"/>
        <w:ind w:left="432"/>
      </w:pPr>
      <w:r>
        <w:rPr>
          <w:color w:val="48566A"/>
          <w:sz w:val="20"/>
        </w:rPr>
        <w:t>GET /.well-known/jwks.json — JWKS endpoint (cached 24h by consumers)</w:t>
      </w:r>
    </w:p>
    <w:p>
      <w:pPr>
        <w:pStyle w:val="ListBullet"/>
        <w:spacing w:after="60"/>
        <w:ind w:left="432"/>
      </w:pPr>
      <w:r>
        <w:rPr>
          <w:color w:val="48566A"/>
          <w:sz w:val="20"/>
        </w:rPr>
        <w:t>POST /v1/agents/{id}/revoke — invalidate JWT (Valkey + Kafka broadcast)</w:t>
      </w:r>
    </w:p>
    <w:p>
      <w:pPr>
        <w:pStyle w:val="ListBullet"/>
        <w:spacing w:after="60"/>
        <w:ind w:left="432"/>
      </w:pPr>
      <w:r>
        <w:rPr>
          <w:color w:val="48566A"/>
          <w:sz w:val="20"/>
        </w:rPr>
        <w:t>GET /v1/tenants/{id}/quota — quota status</w:t>
      </w:r>
    </w:p>
    <w:p>
      <w:pPr>
        <w:pBdr>
          <w:bottom w:val="single" w:sz="6" w:space="1" w:color="00B4D8"/>
        </w:pBdr>
        <w:spacing w:after="200"/>
      </w:pPr>
    </w:p>
    <w:p>
      <w:pPr>
        <w:pStyle w:val="Heading2"/>
        <w:spacing w:before="160" w:after="120"/>
      </w:pPr>
      <w:r>
        <w:rPr>
          <w:color w:val="00B4D8"/>
          <w:sz w:val="32"/>
        </w:rPr>
        <w:t>xAgent / ax-1</w:t>
      </w:r>
    </w:p>
    <w:p>
      <w:r>
        <w:rPr>
          <w:i/>
          <w:color w:val="00B4D8"/>
          <w:sz w:val="19"/>
        </w:rPr>
        <w:t>Technology: Python 3.12 / FastAPI / psycopg3 / aiokafka</w:t>
      </w:r>
    </w:p>
    <w:p>
      <w:pPr>
        <w:spacing w:after="120"/>
      </w:pPr>
      <w:r>
        <w:rPr>
          <w:color w:val="48566A"/>
          <w:sz w:val="21"/>
        </w:rPr>
        <w:t>Single-agent runtime. Re-verifies agent JWT, runs the named stage pipeline LOAD → PRE_GUARDRAIL → PROMPT_BUILD → LLM → POST_GUARDRAIL → EVENT. Each stage records a task_step row. The EVENT stage atomically updates the task and writes to the Kafka outbox. WP12 stages (RAG_QUERY, MEM_RETRIEVE, TOOL_LOOP, MEM_WRITE) are coded but flag-disabled.</w:t>
      </w:r>
    </w:p>
    <w:p>
      <w:pPr>
        <w:pStyle w:val="Heading3"/>
        <w:spacing w:before="160" w:after="120"/>
      </w:pPr>
      <w:r>
        <w:rPr>
          <w:color w:val="00B4D8"/>
          <w:sz w:val="26"/>
        </w:rPr>
        <w:t>Key Endpoints</w:t>
      </w:r>
    </w:p>
    <w:p>
      <w:pPr>
        <w:pStyle w:val="ListBullet"/>
        <w:spacing w:after="60"/>
        <w:ind w:left="432"/>
      </w:pPr>
      <w:r>
        <w:rPr>
          <w:color w:val="48566A"/>
          <w:sz w:val="20"/>
        </w:rPr>
        <w:t>POST /v1/tasks — submit a task (sync response, Contract-3 A2A)</w:t>
      </w:r>
    </w:p>
    <w:p>
      <w:pPr>
        <w:pStyle w:val="ListBullet"/>
        <w:spacing w:after="60"/>
        <w:ind w:left="432"/>
      </w:pPr>
      <w:r>
        <w:rPr>
          <w:color w:val="48566A"/>
          <w:sz w:val="20"/>
        </w:rPr>
        <w:t>GET /v1/tasks/{id} — poll task status</w:t>
      </w:r>
    </w:p>
    <w:p>
      <w:pPr>
        <w:pStyle w:val="ListBullet"/>
        <w:spacing w:after="60"/>
        <w:ind w:left="432"/>
      </w:pPr>
      <w:r>
        <w:rPr>
          <w:color w:val="48566A"/>
          <w:sz w:val="20"/>
        </w:rPr>
        <w:t>GET /v1/tasks/{id}/steps — stage-by-stage execution trace</w:t>
      </w:r>
    </w:p>
    <w:p>
      <w:pPr>
        <w:pBdr>
          <w:bottom w:val="single" w:sz="6" w:space="1" w:color="00B4D8"/>
        </w:pBdr>
        <w:spacing w:after="200"/>
      </w:pPr>
    </w:p>
    <w:p>
      <w:pPr>
        <w:pStyle w:val="Heading2"/>
        <w:spacing w:before="160" w:after="120"/>
      </w:pPr>
      <w:r>
        <w:rPr>
          <w:color w:val="00B4D8"/>
          <w:sz w:val="32"/>
        </w:rPr>
        <w:t>llms-gateway</w:t>
      </w:r>
    </w:p>
    <w:p>
      <w:r>
        <w:rPr>
          <w:i/>
          <w:color w:val="00B4D8"/>
          <w:sz w:val="19"/>
        </w:rPr>
        <w:t>Technology: Python 3.12 / FastAPI / Anthropic + OpenAI SDKs</w:t>
      </w:r>
    </w:p>
    <w:p>
      <w:pPr>
        <w:spacing w:after="120"/>
      </w:pPr>
      <w:r>
        <w:rPr>
          <w:color w:val="48566A"/>
          <w:sz w:val="21"/>
        </w:rPr>
        <w:t>The only path to any LLM provider in the platform. Normalises a single OpenAI-superset schema to Anthropic or OpenAI. Resolves model aliases (fast → claude-3-5-sonnet). BYOK: tenant_provider_keys table (AES-encrypted). Records usage_records atomically. Idempotency via Valkey 24h cache. SSE passthrough for streaming.</w:t>
      </w:r>
    </w:p>
    <w:p>
      <w:pPr>
        <w:pStyle w:val="Heading3"/>
        <w:spacing w:before="160" w:after="120"/>
      </w:pPr>
      <w:r>
        <w:rPr>
          <w:color w:val="00B4D8"/>
          <w:sz w:val="26"/>
        </w:rPr>
        <w:t>Key Endpoints</w:t>
      </w:r>
    </w:p>
    <w:p>
      <w:pPr>
        <w:pStyle w:val="ListBullet"/>
        <w:spacing w:after="60"/>
        <w:ind w:left="432"/>
      </w:pPr>
      <w:r>
        <w:rPr>
          <w:color w:val="48566A"/>
          <w:sz w:val="20"/>
        </w:rPr>
        <w:t>POST /v1/chat/completions — completion (sync or streaming SSE)</w:t>
      </w:r>
    </w:p>
    <w:p>
      <w:pPr>
        <w:pStyle w:val="ListBullet"/>
        <w:spacing w:after="60"/>
        <w:ind w:left="432"/>
      </w:pPr>
      <w:r>
        <w:rPr>
          <w:color w:val="48566A"/>
          <w:sz w:val="20"/>
        </w:rPr>
        <w:t>POST /v1/embeddings — embedding vectors (used by rag + memory)</w:t>
      </w:r>
    </w:p>
    <w:p>
      <w:pPr>
        <w:pStyle w:val="ListBullet"/>
        <w:spacing w:after="60"/>
        <w:ind w:left="432"/>
      </w:pPr>
      <w:r>
        <w:rPr>
          <w:color w:val="48566A"/>
          <w:sz w:val="20"/>
        </w:rPr>
        <w:t>GET /v1/models — available model aliases</w:t>
      </w:r>
    </w:p>
    <w:p>
      <w:pPr>
        <w:pBdr>
          <w:bottom w:val="single" w:sz="6" w:space="1" w:color="00B4D8"/>
        </w:pBdr>
        <w:spacing w:after="200"/>
      </w:pPr>
    </w:p>
    <w:p>
      <w:pPr>
        <w:pStyle w:val="Heading2"/>
        <w:spacing w:before="160" w:after="120"/>
      </w:pPr>
      <w:r>
        <w:rPr>
          <w:color w:val="00B4D8"/>
          <w:sz w:val="32"/>
        </w:rPr>
        <w:t>guardrails-service</w:t>
      </w:r>
    </w:p>
    <w:p>
      <w:r>
        <w:rPr>
          <w:i/>
          <w:color w:val="00B4D8"/>
          <w:sz w:val="19"/>
        </w:rPr>
        <w:t>Technology: Python 3.12 / FastAPI / Neon Postgres</w:t>
      </w:r>
    </w:p>
    <w:p>
      <w:pPr>
        <w:spacing w:after="120"/>
      </w:pPr>
      <w:r>
        <w:rPr>
          <w:color w:val="48566A"/>
          <w:sz w:val="21"/>
        </w:rPr>
        <w:t>Guardrail-as-a-Service. Cascading policy evaluation: system → platform → tenant → agent. 11+ built-in rule types including PII detection (HMAC redaction), topic blocking, length limits, and custom patterns. Decisions: allow / warn / redact / block. Records violations to DB + Kafka outbox.</w:t>
      </w:r>
    </w:p>
    <w:p>
      <w:pPr>
        <w:pStyle w:val="Heading3"/>
        <w:spacing w:before="160" w:after="120"/>
      </w:pPr>
      <w:r>
        <w:rPr>
          <w:color w:val="00B4D8"/>
          <w:sz w:val="26"/>
        </w:rPr>
        <w:t>Key Endpoints</w:t>
      </w:r>
    </w:p>
    <w:p>
      <w:pPr>
        <w:pStyle w:val="ListBullet"/>
        <w:spacing w:after="60"/>
        <w:ind w:left="432"/>
      </w:pPr>
      <w:r>
        <w:rPr>
          <w:color w:val="48566A"/>
          <w:sz w:val="20"/>
        </w:rPr>
        <w:t>POST /v1/check/input — evaluate agent input before LLM</w:t>
      </w:r>
    </w:p>
    <w:p>
      <w:pPr>
        <w:pStyle w:val="ListBullet"/>
        <w:spacing w:after="60"/>
        <w:ind w:left="432"/>
      </w:pPr>
      <w:r>
        <w:rPr>
          <w:color w:val="48566A"/>
          <w:sz w:val="20"/>
        </w:rPr>
        <w:t>POST /v1/check/output — evaluate LLM response before delivery</w:t>
      </w:r>
    </w:p>
    <w:p>
      <w:pPr>
        <w:pStyle w:val="ListBullet"/>
        <w:spacing w:after="60"/>
        <w:ind w:left="432"/>
      </w:pPr>
      <w:r>
        <w:rPr>
          <w:color w:val="48566A"/>
          <w:sz w:val="20"/>
        </w:rPr>
        <w:t>POST /v1/policies — create/update guardrail policy</w:t>
      </w:r>
    </w:p>
    <w:p>
      <w:pPr>
        <w:pStyle w:val="ListBullet"/>
        <w:spacing w:after="60"/>
        <w:ind w:left="432"/>
      </w:pPr>
      <w:r>
        <w:rPr>
          <w:color w:val="48566A"/>
          <w:sz w:val="20"/>
        </w:rPr>
        <w:t>POST /v1/simulate — dry-run check (no side effects)</w:t>
      </w:r>
    </w:p>
    <w:p>
      <w:pPr>
        <w:pBdr>
          <w:bottom w:val="single" w:sz="6" w:space="1" w:color="00B4D8"/>
        </w:pBdr>
        <w:spacing w:after="200"/>
      </w:pPr>
    </w:p>
    <w:p>
      <w:pPr>
        <w:pStyle w:val="Heading2"/>
        <w:spacing w:before="160" w:after="120"/>
      </w:pPr>
      <w:r>
        <w:rPr>
          <w:color w:val="00B4D8"/>
          <w:sz w:val="32"/>
        </w:rPr>
        <w:t>rag-service</w:t>
      </w:r>
    </w:p>
    <w:p>
      <w:r>
        <w:rPr>
          <w:i/>
          <w:color w:val="00B4D8"/>
          <w:sz w:val="19"/>
        </w:rPr>
        <w:t>Technology: Python 3.12 / FastAPI / psycopg3 + pgvector / MinIO</w:t>
      </w:r>
    </w:p>
    <w:p>
      <w:pPr>
        <w:spacing w:after="120"/>
      </w:pPr>
      <w:r>
        <w:rPr>
          <w:color w:val="48566A"/>
          <w:sz w:val="21"/>
        </w:rPr>
        <w:t>Universal RAG: knowledge bases, document ingestion (inline/presigned/Kafka worker), chunking, embedding via llms-gateway, pgvector cosine similarity retrieval. Documents progress through status: pending → processing → indexed. Raw files stored in MinIO/S3.</w:t>
      </w:r>
    </w:p>
    <w:p>
      <w:pPr>
        <w:pStyle w:val="Heading3"/>
        <w:spacing w:before="160" w:after="120"/>
      </w:pPr>
      <w:r>
        <w:rPr>
          <w:color w:val="00B4D8"/>
          <w:sz w:val="26"/>
        </w:rPr>
        <w:t>Key Endpoints</w:t>
      </w:r>
    </w:p>
    <w:p>
      <w:pPr>
        <w:pStyle w:val="ListBullet"/>
        <w:spacing w:after="60"/>
        <w:ind w:left="432"/>
      </w:pPr>
      <w:r>
        <w:rPr>
          <w:color w:val="48566A"/>
          <w:sz w:val="20"/>
        </w:rPr>
        <w:t>POST /v1/kbs — create knowledge base</w:t>
      </w:r>
    </w:p>
    <w:p>
      <w:pPr>
        <w:pStyle w:val="ListBullet"/>
        <w:spacing w:after="60"/>
        <w:ind w:left="432"/>
      </w:pPr>
      <w:r>
        <w:rPr>
          <w:color w:val="48566A"/>
          <w:sz w:val="20"/>
        </w:rPr>
        <w:t>POST /v1/kbs/{id}/documents — ingest document</w:t>
      </w:r>
    </w:p>
    <w:p>
      <w:pPr>
        <w:pStyle w:val="ListBullet"/>
        <w:spacing w:after="60"/>
        <w:ind w:left="432"/>
      </w:pPr>
      <w:r>
        <w:rPr>
          <w:color w:val="48566A"/>
          <w:sz w:val="20"/>
        </w:rPr>
        <w:t>POST /v1/kbs/{id}/query — semantic retrieval (top-K chunks with scores)</w:t>
      </w:r>
    </w:p>
    <w:p>
      <w:pPr>
        <w:pBdr>
          <w:bottom w:val="single" w:sz="6" w:space="1" w:color="00B4D8"/>
        </w:pBdr>
        <w:spacing w:after="200"/>
      </w:pPr>
    </w:p>
    <w:p>
      <w:pPr>
        <w:pStyle w:val="Heading2"/>
        <w:spacing w:before="160" w:after="120"/>
      </w:pPr>
      <w:r>
        <w:rPr>
          <w:color w:val="00B4D8"/>
          <w:sz w:val="32"/>
        </w:rPr>
        <w:t>memory-service</w:t>
      </w:r>
    </w:p>
    <w:p>
      <w:r>
        <w:rPr>
          <w:i/>
          <w:color w:val="00B4D8"/>
          <w:sz w:val="19"/>
        </w:rPr>
        <w:t>Technology: Python 3.12 / FastAPI / psycopg3 + pgvector / aiokafka</w:t>
      </w:r>
    </w:p>
    <w:p>
      <w:pPr>
        <w:spacing w:after="120"/>
      </w:pPr>
      <w:r>
        <w:rPr>
          <w:color w:val="48566A"/>
          <w:sz w:val="21"/>
        </w:rPr>
        <w:t>Principal-scoped agent memory: store/search/CRUD/sessions/GDPR-wipe. Embeds memories via llms-gateway (mock fallback). Semantic search uses pgvector cosine similarity over memory_vectors_1536. Importance-weighted retrieval. GDPR wipe emits Kafka event.</w:t>
      </w:r>
    </w:p>
    <w:p>
      <w:pPr>
        <w:pStyle w:val="Heading3"/>
        <w:spacing w:before="160" w:after="120"/>
      </w:pPr>
      <w:r>
        <w:rPr>
          <w:color w:val="00B4D8"/>
          <w:sz w:val="26"/>
        </w:rPr>
        <w:t>Key Endpoints</w:t>
      </w:r>
    </w:p>
    <w:p>
      <w:pPr>
        <w:pStyle w:val="ListBullet"/>
        <w:spacing w:after="60"/>
        <w:ind w:left="432"/>
      </w:pPr>
      <w:r>
        <w:rPr>
          <w:color w:val="48566A"/>
          <w:sz w:val="20"/>
        </w:rPr>
        <w:t>POST /v1/memories — store memory (embeds asynchronously)</w:t>
      </w:r>
    </w:p>
    <w:p>
      <w:pPr>
        <w:pStyle w:val="ListBullet"/>
        <w:spacing w:after="60"/>
        <w:ind w:left="432"/>
      </w:pPr>
      <w:r>
        <w:rPr>
          <w:color w:val="48566A"/>
          <w:sz w:val="20"/>
        </w:rPr>
        <w:t>POST /v1/memories/search — semantic search (top-K)</w:t>
      </w:r>
    </w:p>
    <w:p>
      <w:pPr>
        <w:pStyle w:val="ListBullet"/>
        <w:spacing w:after="60"/>
        <w:ind w:left="432"/>
      </w:pPr>
      <w:r>
        <w:rPr>
          <w:color w:val="48566A"/>
          <w:sz w:val="20"/>
        </w:rPr>
        <w:t>DELETE /v1/principals/{id}/memories — GDPR wipe</w:t>
      </w:r>
    </w:p>
    <w:p>
      <w:pPr>
        <w:pBdr>
          <w:bottom w:val="single" w:sz="6" w:space="1" w:color="00B4D8"/>
        </w:pBdr>
        <w:spacing w:after="200"/>
      </w:pPr>
    </w:p>
    <w:p>
      <w:pPr>
        <w:jc w:val="center"/>
      </w:pPr>
      <w:r>
        <w:drawing>
          <wp:inline xmlns:a="http://schemas.openxmlformats.org/drawingml/2006/main" xmlns:pic="http://schemas.openxmlformats.org/drawingml/2006/picture">
            <wp:extent cx="5669280" cy="3751671"/>
            <wp:docPr id="4" name="Picture 4"/>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669280" cy="3751671"/>
                    </a:xfrm>
                    <a:prstGeom prst="rect"/>
                  </pic:spPr>
                </pic:pic>
              </a:graphicData>
            </a:graphic>
          </wp:inline>
        </w:drawing>
      </w:r>
    </w:p>
    <w:p>
      <w:pPr>
        <w:spacing w:after="200"/>
        <w:jc w:val="center"/>
      </w:pPr>
      <w:r>
        <w:rPr>
          <w:i/>
          <w:color w:val="48566A"/>
          <w:sz w:val="18"/>
        </w:rPr>
        <w:t>Figure 4.1 — Service Interaction Overview</w:t>
      </w:r>
    </w:p>
    <w:p>
      <w:r>
        <w:br w:type="page"/>
      </w:r>
    </w:p>
    <w:p>
      <w:pPr>
        <w:pStyle w:val="Heading1"/>
        <w:spacing w:before="280" w:after="120"/>
      </w:pPr>
      <w:r>
        <w:rPr>
          <w:color w:val="0D1B2A"/>
          <w:sz w:val="44"/>
        </w:rPr>
        <w:t>5. Security &amp; Multi-Tenancy Model</w:t>
      </w:r>
    </w:p>
    <w:p>
      <w:pPr>
        <w:spacing w:after="120"/>
      </w:pPr>
      <w:r>
        <w:rPr>
          <w:color w:val="48566A"/>
          <w:sz w:val="21"/>
        </w:rPr>
        <w:t>Security is a first-class architectural concern, not a layer added after the fact. Every tenant's data is isolated at the database layer via PostgreSQL RLS; every service re-verifies JWTs; every sensitive action is appended to an immutable audit log; and all secrets live in Doppler — never in git.</w:t>
      </w:r>
    </w:p>
    <w:p>
      <w:pPr>
        <w:jc w:val="center"/>
      </w:pPr>
      <w:r>
        <w:drawing>
          <wp:inline xmlns:a="http://schemas.openxmlformats.org/drawingml/2006/main" xmlns:pic="http://schemas.openxmlformats.org/drawingml/2006/picture">
            <wp:extent cx="5852160" cy="3937233"/>
            <wp:docPr id="5" name="Picture 5"/>
            <wp:cNvGraphicFramePr>
              <a:graphicFrameLocks noChangeAspect="1"/>
            </wp:cNvGraphicFramePr>
            <a:graphic>
              <a:graphicData uri="http://schemas.openxmlformats.org/drawingml/2006/picture">
                <pic:pic>
                  <pic:nvPicPr>
                    <pic:cNvPr id="0" name="04_security.png"/>
                    <pic:cNvPicPr/>
                  </pic:nvPicPr>
                  <pic:blipFill>
                    <a:blip r:embed="rId11"/>
                    <a:stretch>
                      <a:fillRect/>
                    </a:stretch>
                  </pic:blipFill>
                  <pic:spPr>
                    <a:xfrm>
                      <a:off x="0" y="0"/>
                      <a:ext cx="5852160" cy="3937233"/>
                    </a:xfrm>
                    <a:prstGeom prst="rect"/>
                  </pic:spPr>
                </pic:pic>
              </a:graphicData>
            </a:graphic>
          </wp:inline>
        </w:drawing>
      </w:r>
    </w:p>
    <w:p>
      <w:pPr>
        <w:spacing w:after="200"/>
        <w:jc w:val="center"/>
      </w:pPr>
      <w:r>
        <w:rPr>
          <w:i/>
          <w:color w:val="48566A"/>
          <w:sz w:val="18"/>
        </w:rPr>
        <w:t>Figure 5.1 — Multi-Tenant Security Architecture</w:t>
      </w:r>
    </w:p>
    <w:p>
      <w:pPr>
        <w:pStyle w:val="Heading2"/>
        <w:spacing w:before="160" w:after="120"/>
      </w:pPr>
      <w:r>
        <w:rPr>
          <w:color w:val="00B4D8"/>
          <w:sz w:val="32"/>
        </w:rPr>
        <w:t>JWT Authentication Flow</w:t>
      </w:r>
    </w:p>
    <w:p>
      <w:pPr>
        <w:spacing w:after="80"/>
      </w:pPr>
      <w:r>
        <w:rPr>
          <w:b/>
          <w:color w:val="00B4D8"/>
          <w:sz w:val="21"/>
        </w:rPr>
        <w:t xml:space="preserve">Step 1: </w:t>
      </w:r>
      <w:r>
        <w:rPr>
          <w:color w:val="48566A"/>
          <w:sz w:val="21"/>
        </w:rPr>
        <w:t>Client presents an API key (Argon2id hash stored in auth.api_keys table).</w:t>
      </w:r>
    </w:p>
    <w:p>
      <w:pPr>
        <w:spacing w:after="80"/>
      </w:pPr>
      <w:r>
        <w:rPr>
          <w:b/>
          <w:color w:val="00B4D8"/>
          <w:sz w:val="21"/>
        </w:rPr>
        <w:t xml:space="preserve">Step 2: </w:t>
      </w:r>
      <w:r>
        <w:rPr>
          <w:color w:val="48566A"/>
          <w:sz w:val="21"/>
        </w:rPr>
        <w:t>auth-service validates the hash, checks scopes and quota, mints an RS256 JWT (kid, iss, aud, jti, scopes, tenant_id).</w:t>
      </w:r>
    </w:p>
    <w:p>
      <w:pPr>
        <w:spacing w:after="80"/>
      </w:pPr>
      <w:r>
        <w:rPr>
          <w:b/>
          <w:color w:val="00B4D8"/>
          <w:sz w:val="21"/>
        </w:rPr>
        <w:t xml:space="preserve">Step 3: </w:t>
      </w:r>
      <w:r>
        <w:rPr>
          <w:color w:val="48566A"/>
          <w:sz w:val="21"/>
        </w:rPr>
        <w:t>JWT is returned to the client (BFF holds it in server-side Valkey session; never exposed to browser).</w:t>
      </w:r>
    </w:p>
    <w:p>
      <w:pPr>
        <w:spacing w:after="80"/>
      </w:pPr>
      <w:r>
        <w:rPr>
          <w:b/>
          <w:color w:val="00B4D8"/>
          <w:sz w:val="21"/>
        </w:rPr>
        <w:t xml:space="preserve">Step 4: </w:t>
      </w:r>
      <w:r>
        <w:rPr>
          <w:color w:val="48566A"/>
          <w:sz w:val="21"/>
        </w:rPr>
        <w:t>Each downstream service re-verifies the JWT locally against the Auth JWKS endpoint (cached for 24h). No service trusts another service to have already verified.</w:t>
      </w:r>
    </w:p>
    <w:p>
      <w:pPr>
        <w:spacing w:after="80"/>
      </w:pPr>
      <w:r>
        <w:rPr>
          <w:b/>
          <w:color w:val="00B4D8"/>
          <w:sz w:val="21"/>
        </w:rPr>
        <w:t xml:space="preserve">Step 5: </w:t>
      </w:r>
      <w:r>
        <w:rPr>
          <w:color w:val="48566A"/>
          <w:sz w:val="21"/>
        </w:rPr>
        <w:t>On revocation, auth-service writes jti to Valkey mirror (key: cypherx:rev:jti:&lt;jti&gt;) and broadcasts a Kafka event so all services flush their caches.</w:t>
      </w:r>
    </w:p>
    <w:p>
      <w:pPr>
        <w:pStyle w:val="Heading2"/>
        <w:spacing w:before="160" w:after="120"/>
      </w:pPr>
      <w:r>
        <w:rPr>
          <w:color w:val="00B4D8"/>
          <w:sz w:val="32"/>
        </w:rPr>
        <w:t>Multi-Tenancy (PostgreSQL RLS)</w:t>
      </w:r>
    </w:p>
    <w:p>
      <w:pPr>
        <w:spacing w:before="120" w:after="120"/>
        <w:ind w:left="576"/>
        <w:pBdr>
          <w:left w:val="single" w:sz="12" w:space="4" w:color="10B981"/>
        </w:pBdr>
      </w:pPr>
      <w:r>
        <w:rPr>
          <w:i/>
          <w:color w:val="48566A"/>
          <w:sz w:val="20"/>
        </w:rPr>
        <w:t>Every tenant-scoped table has RLS policies that check current_setting('app.tenant_id'). Services run as non-superuser roles (no BYPASSRLS). Each request sets SET LOCAL app.tenant_id = '{tenant_id}' at the start of the transaction. Cross-tenant access is architecturally impossible.</w:t>
      </w:r>
    </w:p>
    <w:p>
      <w:pPr>
        <w:pStyle w:val="Heading2"/>
        <w:spacing w:before="160" w:after="120"/>
      </w:pPr>
      <w:r>
        <w:rPr>
          <w:color w:val="00B4D8"/>
          <w:sz w:val="32"/>
        </w:rPr>
        <w:t>RBAC Scope Hierarchy</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0D1B2A"/>
          </w:tcPr>
          <w:p>
            <w:pPr>
              <w:jc w:val="center"/>
            </w:pPr>
            <w:r>
              <w:rPr>
                <w:b/>
                <w:color w:val="FFFFFF"/>
                <w:sz w:val="19"/>
              </w:rPr>
              <w:t>Scope</w:t>
            </w:r>
          </w:p>
        </w:tc>
        <w:tc>
          <w:tcPr>
            <w:tcW w:type="dxa" w:w="2160"/>
            <w:shd w:val="clear" w:color="auto" w:fill="0D1B2A"/>
          </w:tcPr>
          <w:p>
            <w:pPr>
              <w:jc w:val="center"/>
            </w:pPr>
            <w:r>
              <w:rPr>
                <w:b/>
                <w:color w:val="FFFFFF"/>
                <w:sz w:val="19"/>
              </w:rPr>
              <w:t>Service</w:t>
            </w:r>
          </w:p>
        </w:tc>
        <w:tc>
          <w:tcPr>
            <w:tcW w:type="dxa" w:w="5040"/>
            <w:shd w:val="clear" w:color="auto" w:fill="0D1B2A"/>
          </w:tcPr>
          <w:p>
            <w:pPr>
              <w:jc w:val="center"/>
            </w:pPr>
            <w:r>
              <w:rPr>
                <w:b/>
                <w:color w:val="FFFFFF"/>
                <w:sz w:val="19"/>
              </w:rPr>
              <w:t>Grants Access To</w:t>
            </w:r>
          </w:p>
        </w:tc>
      </w:tr>
      <w:tr>
        <w:tc>
          <w:tcPr>
            <w:tcW w:type="dxa" w:w="2160"/>
            <w:shd w:val="clear" w:color="auto" w:fill="F4F7FA"/>
          </w:tcPr>
          <w:p>
            <w:r>
              <w:rPr>
                <w:color w:val="48566A"/>
                <w:sz w:val="18"/>
              </w:rPr>
              <w:t>agent:register</w:t>
            </w:r>
          </w:p>
        </w:tc>
        <w:tc>
          <w:tcPr>
            <w:tcW w:type="dxa" w:w="2160"/>
            <w:shd w:val="clear" w:color="auto" w:fill="F4F7FA"/>
          </w:tcPr>
          <w:p>
            <w:r>
              <w:rPr>
                <w:color w:val="48566A"/>
                <w:sz w:val="18"/>
              </w:rPr>
              <w:t>auth-service</w:t>
            </w:r>
          </w:p>
        </w:tc>
        <w:tc>
          <w:tcPr>
            <w:tcW w:type="dxa" w:w="5040"/>
            <w:shd w:val="clear" w:color="auto" w:fill="F4F7FA"/>
          </w:tcPr>
          <w:p>
            <w:r>
              <w:rPr>
                <w:color w:val="48566A"/>
                <w:sz w:val="18"/>
              </w:rPr>
              <w:t>Register new agents, manage API keys</w:t>
            </w:r>
          </w:p>
        </w:tc>
      </w:tr>
      <w:tr>
        <w:tc>
          <w:tcPr>
            <w:tcW w:type="dxa" w:w="2160"/>
            <w:shd w:val="clear" w:color="auto" w:fill="FFFFFF"/>
          </w:tcPr>
          <w:p>
            <w:r>
              <w:rPr>
                <w:color w:val="48566A"/>
                <w:sz w:val="18"/>
              </w:rPr>
              <w:t>llm:invoke</w:t>
            </w:r>
          </w:p>
        </w:tc>
        <w:tc>
          <w:tcPr>
            <w:tcW w:type="dxa" w:w="2160"/>
            <w:shd w:val="clear" w:color="auto" w:fill="FFFFFF"/>
          </w:tcPr>
          <w:p>
            <w:r>
              <w:rPr>
                <w:color w:val="48566A"/>
                <w:sz w:val="18"/>
              </w:rPr>
              <w:t>llms-gateway</w:t>
            </w:r>
          </w:p>
        </w:tc>
        <w:tc>
          <w:tcPr>
            <w:tcW w:type="dxa" w:w="5040"/>
            <w:shd w:val="clear" w:color="auto" w:fill="FFFFFF"/>
          </w:tcPr>
          <w:p>
            <w:r>
              <w:rPr>
                <w:color w:val="48566A"/>
                <w:sz w:val="18"/>
              </w:rPr>
              <w:t>Submit chat completions, read usage records</w:t>
            </w:r>
          </w:p>
        </w:tc>
      </w:tr>
      <w:tr>
        <w:tc>
          <w:tcPr>
            <w:tcW w:type="dxa" w:w="2160"/>
            <w:shd w:val="clear" w:color="auto" w:fill="F4F7FA"/>
          </w:tcPr>
          <w:p>
            <w:r>
              <w:rPr>
                <w:color w:val="48566A"/>
                <w:sz w:val="18"/>
              </w:rPr>
              <w:t>rag:query / rag:admin</w:t>
            </w:r>
          </w:p>
        </w:tc>
        <w:tc>
          <w:tcPr>
            <w:tcW w:type="dxa" w:w="2160"/>
            <w:shd w:val="clear" w:color="auto" w:fill="F4F7FA"/>
          </w:tcPr>
          <w:p>
            <w:r>
              <w:rPr>
                <w:color w:val="48566A"/>
                <w:sz w:val="18"/>
              </w:rPr>
              <w:t>rag-service</w:t>
            </w:r>
          </w:p>
        </w:tc>
        <w:tc>
          <w:tcPr>
            <w:tcW w:type="dxa" w:w="5040"/>
            <w:shd w:val="clear" w:color="auto" w:fill="F4F7FA"/>
          </w:tcPr>
          <w:p>
            <w:r>
              <w:rPr>
                <w:color w:val="48566A"/>
                <w:sz w:val="18"/>
              </w:rPr>
              <w:t>Query knowledge bases (query) / full CRUD (admin)</w:t>
            </w:r>
          </w:p>
        </w:tc>
      </w:tr>
      <w:tr>
        <w:tc>
          <w:tcPr>
            <w:tcW w:type="dxa" w:w="2160"/>
            <w:shd w:val="clear" w:color="auto" w:fill="FFFFFF"/>
          </w:tcPr>
          <w:p>
            <w:r>
              <w:rPr>
                <w:color w:val="48566A"/>
                <w:sz w:val="18"/>
              </w:rPr>
              <w:t>mem:read / mem:write</w:t>
            </w:r>
          </w:p>
        </w:tc>
        <w:tc>
          <w:tcPr>
            <w:tcW w:type="dxa" w:w="2160"/>
            <w:shd w:val="clear" w:color="auto" w:fill="FFFFFF"/>
          </w:tcPr>
          <w:p>
            <w:r>
              <w:rPr>
                <w:color w:val="48566A"/>
                <w:sz w:val="18"/>
              </w:rPr>
              <w:t>memory-service</w:t>
            </w:r>
          </w:p>
        </w:tc>
        <w:tc>
          <w:tcPr>
            <w:tcW w:type="dxa" w:w="5040"/>
            <w:shd w:val="clear" w:color="auto" w:fill="FFFFFF"/>
          </w:tcPr>
          <w:p>
            <w:r>
              <w:rPr>
                <w:color w:val="48566A"/>
                <w:sz w:val="18"/>
              </w:rPr>
              <w:t>Read memories / store and delete memories</w:t>
            </w:r>
          </w:p>
        </w:tc>
      </w:tr>
      <w:tr>
        <w:tc>
          <w:tcPr>
            <w:tcW w:type="dxa" w:w="2160"/>
            <w:shd w:val="clear" w:color="auto" w:fill="F4F7FA"/>
          </w:tcPr>
          <w:p>
            <w:r>
              <w:rPr>
                <w:color w:val="48566A"/>
                <w:sz w:val="18"/>
              </w:rPr>
              <w:t>guardrails:check</w:t>
            </w:r>
          </w:p>
        </w:tc>
        <w:tc>
          <w:tcPr>
            <w:tcW w:type="dxa" w:w="2160"/>
            <w:shd w:val="clear" w:color="auto" w:fill="F4F7FA"/>
          </w:tcPr>
          <w:p>
            <w:r>
              <w:rPr>
                <w:color w:val="48566A"/>
                <w:sz w:val="18"/>
              </w:rPr>
              <w:t>guardrails-service</w:t>
            </w:r>
          </w:p>
        </w:tc>
        <w:tc>
          <w:tcPr>
            <w:tcW w:type="dxa" w:w="5040"/>
            <w:shd w:val="clear" w:color="auto" w:fill="F4F7FA"/>
          </w:tcPr>
          <w:p>
            <w:r>
              <w:rPr>
                <w:color w:val="48566A"/>
                <w:sz w:val="18"/>
              </w:rPr>
              <w:t>Check input/output (called by xAgent, not clients)</w:t>
            </w:r>
          </w:p>
        </w:tc>
      </w:tr>
      <w:tr>
        <w:tc>
          <w:tcPr>
            <w:tcW w:type="dxa" w:w="2160"/>
            <w:shd w:val="clear" w:color="auto" w:fill="FFFFFF"/>
          </w:tcPr>
          <w:p>
            <w:r>
              <w:rPr>
                <w:color w:val="48566A"/>
                <w:sz w:val="18"/>
              </w:rPr>
              <w:t>tools:invoke</w:t>
            </w:r>
          </w:p>
        </w:tc>
        <w:tc>
          <w:tcPr>
            <w:tcW w:type="dxa" w:w="2160"/>
            <w:shd w:val="clear" w:color="auto" w:fill="FFFFFF"/>
          </w:tcPr>
          <w:p>
            <w:r>
              <w:rPr>
                <w:color w:val="48566A"/>
                <w:sz w:val="18"/>
              </w:rPr>
              <w:t>tool-registry</w:t>
            </w:r>
          </w:p>
        </w:tc>
        <w:tc>
          <w:tcPr>
            <w:tcW w:type="dxa" w:w="5040"/>
            <w:shd w:val="clear" w:color="auto" w:fill="FFFFFF"/>
          </w:tcPr>
          <w:p>
            <w:r>
              <w:rPr>
                <w:color w:val="48566A"/>
                <w:sz w:val="18"/>
              </w:rPr>
              <w:t>Discover and invoke MCP tools</w:t>
            </w:r>
          </w:p>
        </w:tc>
      </w:tr>
      <w:tr>
        <w:tc>
          <w:tcPr>
            <w:tcW w:type="dxa" w:w="2160"/>
            <w:shd w:val="clear" w:color="auto" w:fill="F4F7FA"/>
          </w:tcPr>
          <w:p>
            <w:r>
              <w:rPr>
                <w:color w:val="48566A"/>
                <w:sz w:val="18"/>
              </w:rPr>
              <w:t>admin:*</w:t>
            </w:r>
          </w:p>
        </w:tc>
        <w:tc>
          <w:tcPr>
            <w:tcW w:type="dxa" w:w="2160"/>
            <w:shd w:val="clear" w:color="auto" w:fill="F4F7FA"/>
          </w:tcPr>
          <w:p>
            <w:r>
              <w:rPr>
                <w:color w:val="48566A"/>
                <w:sz w:val="18"/>
              </w:rPr>
              <w:t>All services</w:t>
            </w:r>
          </w:p>
        </w:tc>
        <w:tc>
          <w:tcPr>
            <w:tcW w:type="dxa" w:w="5040"/>
            <w:shd w:val="clear" w:color="auto" w:fill="F4F7FA"/>
          </w:tcPr>
          <w:p>
            <w:r>
              <w:rPr>
                <w:color w:val="48566A"/>
                <w:sz w:val="18"/>
              </w:rPr>
              <w:t>Full platform administration (console agents only)</w:t>
            </w:r>
          </w:p>
        </w:tc>
      </w:tr>
    </w:tbl>
    <w:p/>
    <w:p>
      <w:pPr>
        <w:pStyle w:val="Heading2"/>
        <w:spacing w:before="160" w:after="120"/>
      </w:pPr>
      <w:r>
        <w:rPr>
          <w:color w:val="00B4D8"/>
          <w:sz w:val="32"/>
        </w:rPr>
        <w:t>Encryption &amp; Secrets</w:t>
      </w:r>
    </w:p>
    <w:tbl>
      <w:tblPr>
        <w:tblStyle w:val="TableGrid"/>
        <w:tblW w:type="auto" w:w="0"/>
        <w:jc w:val="center"/>
        <w:tblLook w:firstColumn="1" w:firstRow="1" w:lastColumn="0" w:lastRow="0" w:noHBand="0" w:noVBand="1" w:val="04A0"/>
      </w:tblPr>
      <w:tblGrid>
        <w:gridCol w:w="4536"/>
        <w:gridCol w:w="4536"/>
      </w:tblGrid>
      <w:tr>
        <w:tc>
          <w:tcPr>
            <w:tcW w:type="dxa" w:w="3168"/>
            <w:shd w:val="clear" w:color="auto" w:fill="0D1B2A"/>
          </w:tcPr>
          <w:p>
            <w:pPr>
              <w:jc w:val="center"/>
            </w:pPr>
            <w:r>
              <w:rPr>
                <w:b/>
                <w:color w:val="FFFFFF"/>
                <w:sz w:val="19"/>
              </w:rPr>
              <w:t>What</w:t>
            </w:r>
          </w:p>
        </w:tc>
        <w:tc>
          <w:tcPr>
            <w:tcW w:type="dxa" w:w="6192"/>
            <w:shd w:val="clear" w:color="auto" w:fill="0D1B2A"/>
          </w:tcPr>
          <w:p>
            <w:pPr>
              <w:jc w:val="center"/>
            </w:pPr>
            <w:r>
              <w:rPr>
                <w:b/>
                <w:color w:val="FFFFFF"/>
                <w:sz w:val="19"/>
              </w:rPr>
              <w:t>How</w:t>
            </w:r>
          </w:p>
        </w:tc>
      </w:tr>
      <w:tr>
        <w:tc>
          <w:tcPr>
            <w:tcW w:type="dxa" w:w="3168"/>
            <w:shd w:val="clear" w:color="auto" w:fill="F4F7FA"/>
          </w:tcPr>
          <w:p>
            <w:r>
              <w:rPr>
                <w:color w:val="48566A"/>
                <w:sz w:val="18"/>
              </w:rPr>
              <w:t>LLM provider keys (BYOK)</w:t>
            </w:r>
          </w:p>
        </w:tc>
        <w:tc>
          <w:tcPr>
            <w:tcW w:type="dxa" w:w="6192"/>
            <w:shd w:val="clear" w:color="auto" w:fill="F4F7FA"/>
          </w:tcPr>
          <w:p>
            <w:r>
              <w:rPr>
                <w:color w:val="48566A"/>
                <w:sz w:val="18"/>
              </w:rPr>
              <w:t>AES-256-GCM envelope encryption; key in KMS/env; stored in tenant_provider_keys</w:t>
            </w:r>
          </w:p>
        </w:tc>
      </w:tr>
      <w:tr>
        <w:tc>
          <w:tcPr>
            <w:tcW w:type="dxa" w:w="3168"/>
            <w:shd w:val="clear" w:color="auto" w:fill="FFFFFF"/>
          </w:tcPr>
          <w:p>
            <w:r>
              <w:rPr>
                <w:color w:val="48566A"/>
                <w:sz w:val="18"/>
              </w:rPr>
              <w:t>JWT signing keys</w:t>
            </w:r>
          </w:p>
        </w:tc>
        <w:tc>
          <w:tcPr>
            <w:tcW w:type="dxa" w:w="6192"/>
            <w:shd w:val="clear" w:color="auto" w:fill="FFFFFF"/>
          </w:tcPr>
          <w:p>
            <w:r>
              <w:rPr>
                <w:color w:val="48566A"/>
                <w:sz w:val="18"/>
              </w:rPr>
              <w:t>RS256; private key stored AES-encrypted in auth.signing_keys; NEVER in env vars</w:t>
            </w:r>
          </w:p>
        </w:tc>
      </w:tr>
      <w:tr>
        <w:tc>
          <w:tcPr>
            <w:tcW w:type="dxa" w:w="3168"/>
            <w:shd w:val="clear" w:color="auto" w:fill="F4F7FA"/>
          </w:tcPr>
          <w:p>
            <w:r>
              <w:rPr>
                <w:color w:val="48566A"/>
                <w:sz w:val="18"/>
              </w:rPr>
              <w:t>API keys at rest</w:t>
            </w:r>
          </w:p>
        </w:tc>
        <w:tc>
          <w:tcPr>
            <w:tcW w:type="dxa" w:w="6192"/>
            <w:shd w:val="clear" w:color="auto" w:fill="F4F7FA"/>
          </w:tcPr>
          <w:p>
            <w:r>
              <w:rPr>
                <w:color w:val="48566A"/>
                <w:sz w:val="18"/>
              </w:rPr>
              <w:t>Argon2id hash; only the prefix is stored in plaintext (for display)</w:t>
            </w:r>
          </w:p>
        </w:tc>
      </w:tr>
      <w:tr>
        <w:tc>
          <w:tcPr>
            <w:tcW w:type="dxa" w:w="3168"/>
            <w:shd w:val="clear" w:color="auto" w:fill="FFFFFF"/>
          </w:tcPr>
          <w:p>
            <w:r>
              <w:rPr>
                <w:color w:val="48566A"/>
                <w:sz w:val="18"/>
              </w:rPr>
              <w:t>DB connections</w:t>
            </w:r>
          </w:p>
        </w:tc>
        <w:tc>
          <w:tcPr>
            <w:tcW w:type="dxa" w:w="6192"/>
            <w:shd w:val="clear" w:color="auto" w:fill="FFFFFF"/>
          </w:tcPr>
          <w:p>
            <w:r>
              <w:rPr>
                <w:color w:val="48566A"/>
                <w:sz w:val="18"/>
              </w:rPr>
              <w:t>sslmode=require on all DSNs; PgBouncer in cloud (transaction mode)</w:t>
            </w:r>
          </w:p>
        </w:tc>
      </w:tr>
      <w:tr>
        <w:tc>
          <w:tcPr>
            <w:tcW w:type="dxa" w:w="3168"/>
            <w:shd w:val="clear" w:color="auto" w:fill="F4F7FA"/>
          </w:tcPr>
          <w:p>
            <w:r>
              <w:rPr>
                <w:color w:val="48566A"/>
                <w:sz w:val="18"/>
              </w:rPr>
              <w:t>Service secrets</w:t>
            </w:r>
          </w:p>
        </w:tc>
        <w:tc>
          <w:tcPr>
            <w:tcW w:type="dxa" w:w="6192"/>
            <w:shd w:val="clear" w:color="auto" w:fill="F4F7FA"/>
          </w:tcPr>
          <w:p>
            <w:r>
              <w:rPr>
                <w:color w:val="48566A"/>
                <w:sz w:val="18"/>
              </w:rPr>
              <w:t>Doppler → K8s Secrets (cloud) / .env (local-only throwaway values)</w:t>
            </w:r>
          </w:p>
        </w:tc>
      </w:tr>
      <w:tr>
        <w:tc>
          <w:tcPr>
            <w:tcW w:type="dxa" w:w="3168"/>
            <w:shd w:val="clear" w:color="auto" w:fill="FFFFFF"/>
          </w:tcPr>
          <w:p>
            <w:r>
              <w:rPr>
                <w:color w:val="48566A"/>
                <w:sz w:val="18"/>
              </w:rPr>
              <w:t>Session cookies</w:t>
            </w:r>
          </w:p>
        </w:tc>
        <w:tc>
          <w:tcPr>
            <w:tcW w:type="dxa" w:w="6192"/>
            <w:shd w:val="clear" w:color="auto" w:fill="FFFFFF"/>
          </w:tcPr>
          <w:p>
            <w:r>
              <w:rPr>
                <w:color w:val="48566A"/>
                <w:sz w:val="18"/>
              </w:rPr>
              <w:t>httpOnly, SameSite=Strict; BFF holds Valkey session; browser never sees JWT</w:t>
            </w:r>
          </w:p>
        </w:tc>
      </w:tr>
      <w:tr>
        <w:tc>
          <w:tcPr>
            <w:tcW w:type="dxa" w:w="3168"/>
            <w:shd w:val="clear" w:color="auto" w:fill="F4F7FA"/>
          </w:tcPr>
          <w:p>
            <w:r>
              <w:rPr>
                <w:color w:val="48566A"/>
                <w:sz w:val="18"/>
              </w:rPr>
              <w:t>Transit</w:t>
            </w:r>
          </w:p>
        </w:tc>
        <w:tc>
          <w:tcPr>
            <w:tcW w:type="dxa" w:w="6192"/>
            <w:shd w:val="clear" w:color="auto" w:fill="F4F7FA"/>
          </w:tcPr>
          <w:p>
            <w:r>
              <w:rPr>
                <w:color w:val="48566A"/>
                <w:sz w:val="18"/>
              </w:rPr>
              <w:t>TLS 1.2+ externally; mTLS Istio mesh internally (cloud); plain HTTP within compose (local)</w:t>
            </w:r>
          </w:p>
        </w:tc>
      </w:tr>
    </w:tbl>
    <w:p/>
    <w:p>
      <w:r>
        <w:br w:type="page"/>
      </w:r>
    </w:p>
    <w:p>
      <w:pPr>
        <w:pStyle w:val="Heading1"/>
        <w:spacing w:before="280" w:after="120"/>
      </w:pPr>
      <w:r>
        <w:rPr>
          <w:color w:val="0D1B2A"/>
          <w:sz w:val="44"/>
        </w:rPr>
        <w:t>6. Data Architecture &amp; Persistence Strategy</w:t>
      </w:r>
    </w:p>
    <w:p>
      <w:pPr>
        <w:spacing w:after="120"/>
      </w:pPr>
      <w:r>
        <w:rPr>
          <w:color w:val="48566A"/>
          <w:sz w:val="21"/>
        </w:rPr>
        <w:t>The platform uses a single Neon Serverless Postgres instance (database: cypherx_platform) with 8 separate schemas — one per service domain. Each service owns its schema and runs migrations through Atlas. Services connect via POOLED endpoint (PgBouncer transaction mode for RLS compatibility) and a separate DIRECT endpoint for migrations only.</w:t>
      </w:r>
    </w:p>
    <w:p>
      <w:pPr>
        <w:jc w:val="center"/>
      </w:pPr>
      <w:r>
        <w:drawing>
          <wp:inline xmlns:a="http://schemas.openxmlformats.org/drawingml/2006/main" xmlns:pic="http://schemas.openxmlformats.org/drawingml/2006/picture">
            <wp:extent cx="5852160" cy="3852159"/>
            <wp:docPr id="6" name="Picture 6"/>
            <wp:cNvGraphicFramePr>
              <a:graphicFrameLocks noChangeAspect="1"/>
            </wp:cNvGraphicFramePr>
            <a:graphic>
              <a:graphicData uri="http://schemas.openxmlformats.org/drawingml/2006/picture">
                <pic:pic>
                  <pic:nvPicPr>
                    <pic:cNvPr id="0" name="05_schema.png"/>
                    <pic:cNvPicPr/>
                  </pic:nvPicPr>
                  <pic:blipFill>
                    <a:blip r:embed="rId12"/>
                    <a:stretch>
                      <a:fillRect/>
                    </a:stretch>
                  </pic:blipFill>
                  <pic:spPr>
                    <a:xfrm>
                      <a:off x="0" y="0"/>
                      <a:ext cx="5852160" cy="3852159"/>
                    </a:xfrm>
                    <a:prstGeom prst="rect"/>
                  </pic:spPr>
                </pic:pic>
              </a:graphicData>
            </a:graphic>
          </wp:inline>
        </w:drawing>
      </w:r>
    </w:p>
    <w:p>
      <w:pPr>
        <w:spacing w:after="200"/>
        <w:jc w:val="center"/>
      </w:pPr>
      <w:r>
        <w:rPr>
          <w:i/>
          <w:color w:val="48566A"/>
          <w:sz w:val="18"/>
        </w:rPr>
        <w:t>Figure 6.1 — Database Schema Map (8 Schemas, Neon + pgvector)</w:t>
      </w:r>
    </w:p>
    <w:p>
      <w:pPr>
        <w:pStyle w:val="Heading2"/>
        <w:spacing w:before="160" w:after="120"/>
      </w:pPr>
      <w:r>
        <w:rPr>
          <w:color w:val="00B4D8"/>
          <w:sz w:val="32"/>
        </w:rPr>
        <w:t>Schema Ownership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4"/>
            <w:shd w:val="clear" w:color="auto" w:fill="0D1B2A"/>
          </w:tcPr>
          <w:p>
            <w:pPr>
              <w:jc w:val="center"/>
            </w:pPr>
            <w:r>
              <w:rPr>
                <w:b/>
                <w:color w:val="FFFFFF"/>
                <w:sz w:val="19"/>
              </w:rPr>
              <w:t>Schema</w:t>
            </w:r>
          </w:p>
        </w:tc>
        <w:tc>
          <w:tcPr>
            <w:tcW w:type="dxa" w:w="1872"/>
            <w:shd w:val="clear" w:color="auto" w:fill="0D1B2A"/>
          </w:tcPr>
          <w:p>
            <w:pPr>
              <w:jc w:val="center"/>
            </w:pPr>
            <w:r>
              <w:rPr>
                <w:b/>
                <w:color w:val="FFFFFF"/>
                <w:sz w:val="19"/>
              </w:rPr>
              <w:t>Owner Service</w:t>
            </w:r>
          </w:p>
        </w:tc>
        <w:tc>
          <w:tcPr>
            <w:tcW w:type="dxa" w:w="3168"/>
            <w:shd w:val="clear" w:color="auto" w:fill="0D1B2A"/>
          </w:tcPr>
          <w:p>
            <w:pPr>
              <w:jc w:val="center"/>
            </w:pPr>
            <w:r>
              <w:rPr>
                <w:b/>
                <w:color w:val="FFFFFF"/>
                <w:sz w:val="19"/>
              </w:rPr>
              <w:t>Key Tables</w:t>
            </w:r>
          </w:p>
        </w:tc>
        <w:tc>
          <w:tcPr>
            <w:tcW w:type="dxa" w:w="2736"/>
            <w:shd w:val="clear" w:color="auto" w:fill="0D1B2A"/>
          </w:tcPr>
          <w:p>
            <w:pPr>
              <w:jc w:val="center"/>
            </w:pPr>
            <w:r>
              <w:rPr>
                <w:b/>
                <w:color w:val="FFFFFF"/>
                <w:sz w:val="19"/>
              </w:rPr>
              <w:t>Special Features</w:t>
            </w:r>
          </w:p>
        </w:tc>
      </w:tr>
      <w:tr>
        <w:tc>
          <w:tcPr>
            <w:tcW w:type="dxa" w:w="1584"/>
            <w:shd w:val="clear" w:color="auto" w:fill="F4F7FA"/>
          </w:tcPr>
          <w:p>
            <w:r>
              <w:rPr>
                <w:color w:val="48566A"/>
                <w:sz w:val="18"/>
              </w:rPr>
              <w:t>auth</w:t>
            </w:r>
          </w:p>
        </w:tc>
        <w:tc>
          <w:tcPr>
            <w:tcW w:type="dxa" w:w="1872"/>
            <w:shd w:val="clear" w:color="auto" w:fill="F4F7FA"/>
          </w:tcPr>
          <w:p>
            <w:r>
              <w:rPr>
                <w:color w:val="48566A"/>
                <w:sz w:val="18"/>
              </w:rPr>
              <w:t>auth-service</w:t>
            </w:r>
          </w:p>
        </w:tc>
        <w:tc>
          <w:tcPr>
            <w:tcW w:type="dxa" w:w="3168"/>
            <w:shd w:val="clear" w:color="auto" w:fill="F4F7FA"/>
          </w:tcPr>
          <w:p>
            <w:r>
              <w:rPr>
                <w:color w:val="48566A"/>
                <w:sz w:val="18"/>
              </w:rPr>
              <w:t>tenants, agents, api_keys, signing_keys, audit_log, webhooks</w:t>
            </w:r>
          </w:p>
        </w:tc>
        <w:tc>
          <w:tcPr>
            <w:tcW w:type="dxa" w:w="2736"/>
            <w:shd w:val="clear" w:color="auto" w:fill="F4F7FA"/>
          </w:tcPr>
          <w:p>
            <w:r>
              <w:rPr>
                <w:color w:val="48566A"/>
                <w:sz w:val="18"/>
              </w:rPr>
              <w:t>Argon2id key hashes; AES-encrypted private keys; RLS on all tenant tables</w:t>
            </w:r>
          </w:p>
        </w:tc>
      </w:tr>
      <w:tr>
        <w:tc>
          <w:tcPr>
            <w:tcW w:type="dxa" w:w="1584"/>
            <w:shd w:val="clear" w:color="auto" w:fill="FFFFFF"/>
          </w:tcPr>
          <w:p>
            <w:r>
              <w:rPr>
                <w:color w:val="48566A"/>
                <w:sz w:val="18"/>
              </w:rPr>
              <w:t>llms</w:t>
            </w:r>
          </w:p>
        </w:tc>
        <w:tc>
          <w:tcPr>
            <w:tcW w:type="dxa" w:w="1872"/>
            <w:shd w:val="clear" w:color="auto" w:fill="FFFFFF"/>
          </w:tcPr>
          <w:p>
            <w:r>
              <w:rPr>
                <w:color w:val="48566A"/>
                <w:sz w:val="18"/>
              </w:rPr>
              <w:t>llms-gateway</w:t>
            </w:r>
          </w:p>
        </w:tc>
        <w:tc>
          <w:tcPr>
            <w:tcW w:type="dxa" w:w="3168"/>
            <w:shd w:val="clear" w:color="auto" w:fill="FFFFFF"/>
          </w:tcPr>
          <w:p>
            <w:r>
              <w:rPr>
                <w:color w:val="48566A"/>
                <w:sz w:val="18"/>
              </w:rPr>
              <w:t>usage_records, model_aliases, tenant_provider_keys</w:t>
            </w:r>
          </w:p>
        </w:tc>
        <w:tc>
          <w:tcPr>
            <w:tcW w:type="dxa" w:w="2736"/>
            <w:shd w:val="clear" w:color="auto" w:fill="FFFFFF"/>
          </w:tcPr>
          <w:p>
            <w:r>
              <w:rPr>
                <w:color w:val="48566A"/>
                <w:sz w:val="18"/>
              </w:rPr>
              <w:t>UNIQUE on (tenant_id, llm_call_id) — idempotent billing; AES-encrypted BYOK keys</w:t>
            </w:r>
          </w:p>
        </w:tc>
      </w:tr>
      <w:tr>
        <w:tc>
          <w:tcPr>
            <w:tcW w:type="dxa" w:w="1584"/>
            <w:shd w:val="clear" w:color="auto" w:fill="F4F7FA"/>
          </w:tcPr>
          <w:p>
            <w:r>
              <w:rPr>
                <w:color w:val="48566A"/>
                <w:sz w:val="18"/>
              </w:rPr>
              <w:t>guardrails</w:t>
            </w:r>
          </w:p>
        </w:tc>
        <w:tc>
          <w:tcPr>
            <w:tcW w:type="dxa" w:w="1872"/>
            <w:shd w:val="clear" w:color="auto" w:fill="F4F7FA"/>
          </w:tcPr>
          <w:p>
            <w:r>
              <w:rPr>
                <w:color w:val="48566A"/>
                <w:sz w:val="18"/>
              </w:rPr>
              <w:t>guardrails-service</w:t>
            </w:r>
          </w:p>
        </w:tc>
        <w:tc>
          <w:tcPr>
            <w:tcW w:type="dxa" w:w="3168"/>
            <w:shd w:val="clear" w:color="auto" w:fill="F4F7FA"/>
          </w:tcPr>
          <w:p>
            <w:r>
              <w:rPr>
                <w:color w:val="48566A"/>
                <w:sz w:val="18"/>
              </w:rPr>
              <w:t>policies, rules, violations</w:t>
            </w:r>
          </w:p>
        </w:tc>
        <w:tc>
          <w:tcPr>
            <w:tcW w:type="dxa" w:w="2736"/>
            <w:shd w:val="clear" w:color="auto" w:fill="F4F7FA"/>
          </w:tcPr>
          <w:p>
            <w:r>
              <w:rPr>
                <w:color w:val="48566A"/>
                <w:sz w:val="18"/>
              </w:rPr>
              <w:t>Cascading policy precedence; violation audit trail; RLS</w:t>
            </w:r>
          </w:p>
        </w:tc>
      </w:tr>
      <w:tr>
        <w:tc>
          <w:tcPr>
            <w:tcW w:type="dxa" w:w="1584"/>
            <w:shd w:val="clear" w:color="auto" w:fill="FFFFFF"/>
          </w:tcPr>
          <w:p>
            <w:r>
              <w:rPr>
                <w:color w:val="48566A"/>
                <w:sz w:val="18"/>
              </w:rPr>
              <w:t>xagent</w:t>
            </w:r>
          </w:p>
        </w:tc>
        <w:tc>
          <w:tcPr>
            <w:tcW w:type="dxa" w:w="1872"/>
            <w:shd w:val="clear" w:color="auto" w:fill="FFFFFF"/>
          </w:tcPr>
          <w:p>
            <w:r>
              <w:rPr>
                <w:color w:val="48566A"/>
                <w:sz w:val="18"/>
              </w:rPr>
              <w:t>xagent/ax-1</w:t>
            </w:r>
          </w:p>
        </w:tc>
        <w:tc>
          <w:tcPr>
            <w:tcW w:type="dxa" w:w="3168"/>
            <w:shd w:val="clear" w:color="auto" w:fill="FFFFFF"/>
          </w:tcPr>
          <w:p>
            <w:r>
              <w:rPr>
                <w:color w:val="48566A"/>
                <w:sz w:val="18"/>
              </w:rPr>
              <w:t>tasks, task_steps, agent_configs</w:t>
            </w:r>
          </w:p>
        </w:tc>
        <w:tc>
          <w:tcPr>
            <w:tcW w:type="dxa" w:w="2736"/>
            <w:shd w:val="clear" w:color="auto" w:fill="FFFFFF"/>
          </w:tcPr>
          <w:p>
            <w:r>
              <w:rPr>
                <w:color w:val="48566A"/>
                <w:sz w:val="18"/>
              </w:rPr>
              <w:t>Idempotency key UNIQUE; outbox pattern; RLS; stage-level trace</w:t>
            </w:r>
          </w:p>
        </w:tc>
      </w:tr>
      <w:tr>
        <w:tc>
          <w:tcPr>
            <w:tcW w:type="dxa" w:w="1584"/>
            <w:shd w:val="clear" w:color="auto" w:fill="F4F7FA"/>
          </w:tcPr>
          <w:p>
            <w:r>
              <w:rPr>
                <w:color w:val="48566A"/>
                <w:sz w:val="18"/>
              </w:rPr>
              <w:t>rag</w:t>
            </w:r>
          </w:p>
        </w:tc>
        <w:tc>
          <w:tcPr>
            <w:tcW w:type="dxa" w:w="1872"/>
            <w:shd w:val="clear" w:color="auto" w:fill="F4F7FA"/>
          </w:tcPr>
          <w:p>
            <w:r>
              <w:rPr>
                <w:color w:val="48566A"/>
                <w:sz w:val="18"/>
              </w:rPr>
              <w:t>rag-service</w:t>
            </w:r>
          </w:p>
        </w:tc>
        <w:tc>
          <w:tcPr>
            <w:tcW w:type="dxa" w:w="3168"/>
            <w:shd w:val="clear" w:color="auto" w:fill="F4F7FA"/>
          </w:tcPr>
          <w:p>
            <w:r>
              <w:rPr>
                <w:color w:val="48566A"/>
                <w:sz w:val="18"/>
              </w:rPr>
              <w:t>knowledge_bases, documents, chunks, chunk_vectors</w:t>
            </w:r>
          </w:p>
        </w:tc>
        <w:tc>
          <w:tcPr>
            <w:tcW w:type="dxa" w:w="2736"/>
            <w:shd w:val="clear" w:color="auto" w:fill="F4F7FA"/>
          </w:tcPr>
          <w:p>
            <w:r>
              <w:rPr>
                <w:color w:val="48566A"/>
                <w:sz w:val="18"/>
              </w:rPr>
              <w:t>pgvector 1536-dim IVFFlat index for cosine similarity; MinIO storage_path; RLS</w:t>
            </w:r>
          </w:p>
        </w:tc>
      </w:tr>
      <w:tr>
        <w:tc>
          <w:tcPr>
            <w:tcW w:type="dxa" w:w="1584"/>
            <w:shd w:val="clear" w:color="auto" w:fill="FFFFFF"/>
          </w:tcPr>
          <w:p>
            <w:r>
              <w:rPr>
                <w:color w:val="48566A"/>
                <w:sz w:val="18"/>
              </w:rPr>
              <w:t>memory</w:t>
            </w:r>
          </w:p>
        </w:tc>
        <w:tc>
          <w:tcPr>
            <w:tcW w:type="dxa" w:w="1872"/>
            <w:shd w:val="clear" w:color="auto" w:fill="FFFFFF"/>
          </w:tcPr>
          <w:p>
            <w:r>
              <w:rPr>
                <w:color w:val="48566A"/>
                <w:sz w:val="18"/>
              </w:rPr>
              <w:t>memory-service</w:t>
            </w:r>
          </w:p>
        </w:tc>
        <w:tc>
          <w:tcPr>
            <w:tcW w:type="dxa" w:w="3168"/>
            <w:shd w:val="clear" w:color="auto" w:fill="FFFFFF"/>
          </w:tcPr>
          <w:p>
            <w:r>
              <w:rPr>
                <w:color w:val="48566A"/>
                <w:sz w:val="18"/>
              </w:rPr>
              <w:t>memories, memory_vectors, sessions</w:t>
            </w:r>
          </w:p>
        </w:tc>
        <w:tc>
          <w:tcPr>
            <w:tcW w:type="dxa" w:w="2736"/>
            <w:shd w:val="clear" w:color="auto" w:fill="FFFFFF"/>
          </w:tcPr>
          <w:p>
            <w:r>
              <w:rPr>
                <w:color w:val="48566A"/>
                <w:sz w:val="18"/>
              </w:rPr>
              <w:t>pgvector 1536-dim; importance-weighted retrieval; GDPR wipe support; RLS</w:t>
            </w:r>
          </w:p>
        </w:tc>
      </w:tr>
      <w:tr>
        <w:tc>
          <w:tcPr>
            <w:tcW w:type="dxa" w:w="1584"/>
            <w:shd w:val="clear" w:color="auto" w:fill="F4F7FA"/>
          </w:tcPr>
          <w:p>
            <w:r>
              <w:rPr>
                <w:color w:val="48566A"/>
                <w:sz w:val="18"/>
              </w:rPr>
              <w:t>tools</w:t>
            </w:r>
          </w:p>
        </w:tc>
        <w:tc>
          <w:tcPr>
            <w:tcW w:type="dxa" w:w="1872"/>
            <w:shd w:val="clear" w:color="auto" w:fill="F4F7FA"/>
          </w:tcPr>
          <w:p>
            <w:r>
              <w:rPr>
                <w:color w:val="48566A"/>
                <w:sz w:val="18"/>
              </w:rPr>
              <w:t>tool-registry</w:t>
            </w:r>
          </w:p>
        </w:tc>
        <w:tc>
          <w:tcPr>
            <w:tcW w:type="dxa" w:w="3168"/>
            <w:shd w:val="clear" w:color="auto" w:fill="F4F7FA"/>
          </w:tcPr>
          <w:p>
            <w:r>
              <w:rPr>
                <w:color w:val="48566A"/>
                <w:sz w:val="18"/>
              </w:rPr>
              <w:t>tools, tool_versions, tool_health</w:t>
            </w:r>
          </w:p>
        </w:tc>
        <w:tc>
          <w:tcPr>
            <w:tcW w:type="dxa" w:w="2736"/>
            <w:shd w:val="clear" w:color="auto" w:fill="F4F7FA"/>
          </w:tcPr>
          <w:p>
            <w:r>
              <w:rPr>
                <w:color w:val="48566A"/>
                <w:sz w:val="18"/>
              </w:rPr>
              <w:t>name@version resolution; periodic health polling</w:t>
            </w:r>
          </w:p>
        </w:tc>
      </w:tr>
      <w:tr>
        <w:tc>
          <w:tcPr>
            <w:tcW w:type="dxa" w:w="1584"/>
            <w:shd w:val="clear" w:color="auto" w:fill="FFFFFF"/>
          </w:tcPr>
          <w:p>
            <w:r>
              <w:rPr>
                <w:color w:val="48566A"/>
                <w:sz w:val="18"/>
              </w:rPr>
              <w:t>cypherx_a1</w:t>
            </w:r>
          </w:p>
        </w:tc>
        <w:tc>
          <w:tcPr>
            <w:tcW w:type="dxa" w:w="1872"/>
            <w:shd w:val="clear" w:color="auto" w:fill="FFFFFF"/>
          </w:tcPr>
          <w:p>
            <w:r>
              <w:rPr>
                <w:color w:val="48566A"/>
                <w:sz w:val="18"/>
              </w:rPr>
              <w:t>cypherx-a1</w:t>
            </w:r>
          </w:p>
        </w:tc>
        <w:tc>
          <w:tcPr>
            <w:tcW w:type="dxa" w:w="3168"/>
            <w:shd w:val="clear" w:color="auto" w:fill="FFFFFF"/>
          </w:tcPr>
          <w:p>
            <w:r>
              <w:rPr>
                <w:color w:val="48566A"/>
                <w:sz w:val="18"/>
              </w:rPr>
              <w:t>entities, relationships, eng_memories, sources</w:t>
            </w:r>
          </w:p>
        </w:tc>
        <w:tc>
          <w:tcPr>
            <w:tcW w:type="dxa" w:w="2736"/>
            <w:shd w:val="clear" w:color="auto" w:fill="FFFFFF"/>
          </w:tcPr>
          <w:p>
            <w:r>
              <w:rPr>
                <w:color w:val="48566A"/>
                <w:sz w:val="18"/>
              </w:rPr>
              <w:t>Knowledge graph + RAG corpus; separate Neon DB (engineering_knowledge_base)</w:t>
            </w:r>
          </w:p>
        </w:tc>
      </w:tr>
    </w:tbl>
    <w:p/>
    <w:p>
      <w:pPr>
        <w:pStyle w:val="Heading2"/>
        <w:spacing w:before="160" w:after="120"/>
      </w:pPr>
      <w:r>
        <w:rPr>
          <w:color w:val="00B4D8"/>
          <w:sz w:val="32"/>
        </w:rPr>
        <w:t>Migration Strategy</w:t>
      </w:r>
    </w:p>
    <w:p>
      <w:pPr>
        <w:pStyle w:val="ListBullet"/>
        <w:spacing w:after="60"/>
        <w:ind w:left="432"/>
      </w:pPr>
      <w:r>
        <w:rPr>
          <w:color w:val="48566A"/>
          <w:sz w:val="20"/>
        </w:rPr>
        <w:t>Atlas manages all schema migrations (Contract 14). Each service has a db/migrations/ directory.</w:t>
      </w:r>
    </w:p>
    <w:p>
      <w:pPr>
        <w:pStyle w:val="ListBullet"/>
        <w:spacing w:after="60"/>
        <w:ind w:left="432"/>
      </w:pPr>
      <w:r>
        <w:rPr>
          <w:color w:val="48566A"/>
          <w:sz w:val="20"/>
        </w:rPr>
        <w:t>Migration DSN uses a *_ddl role (CREATEROLE mitigation); runtime DSN uses a *_user non-superuser role.</w:t>
      </w:r>
    </w:p>
    <w:p>
      <w:pPr>
        <w:pStyle w:val="ListBullet"/>
        <w:spacing w:after="60"/>
        <w:ind w:left="432"/>
      </w:pPr>
      <w:r>
        <w:rPr>
          <w:color w:val="48566A"/>
          <w:sz w:val="20"/>
        </w:rPr>
        <w:t>Migrations run as a one-shot Docker Compose job (--profile migrate) against the DIRECT Neon endpoint.</w:t>
      </w:r>
    </w:p>
    <w:p>
      <w:pPr>
        <w:pStyle w:val="ListBullet"/>
        <w:spacing w:after="60"/>
        <w:ind w:left="432"/>
      </w:pPr>
      <w:r>
        <w:rPr>
          <w:color w:val="48566A"/>
          <w:sz w:val="20"/>
        </w:rPr>
        <w:t>All init scripts are idempotent (CREATE TABLE IF NOT EXISTS, DO $$ BEGIN ... EXCEPTION WHEN duplicate_object) — safe to re-run.</w:t>
      </w:r>
    </w:p>
    <w:p>
      <w:pPr>
        <w:pStyle w:val="ListBullet"/>
        <w:spacing w:after="60"/>
        <w:ind w:left="432"/>
      </w:pPr>
      <w:r>
        <w:rPr>
          <w:color w:val="48566A"/>
          <w:sz w:val="20"/>
        </w:rPr>
        <w:t>POOLED endpoint for app services (transaction mode, compatible with SET LOCAL RLS). DIRECT endpoint for migrations only (session mode for advisory locks).</w:t>
      </w:r>
    </w:p>
    <w:p>
      <w:pPr>
        <w:pStyle w:val="Heading2"/>
        <w:spacing w:before="160" w:after="120"/>
      </w:pPr>
      <w:r>
        <w:rPr>
          <w:color w:val="00B4D8"/>
          <w:sz w:val="32"/>
        </w:rPr>
        <w:t>pgvector — Vector Search at Scale</w:t>
      </w:r>
    </w:p>
    <w:p>
      <w:pPr>
        <w:spacing w:after="120"/>
      </w:pPr>
      <w:r>
        <w:rPr>
          <w:color w:val="48566A"/>
          <w:sz w:val="21"/>
        </w:rPr>
        <w:t>Both rag-service and memory-service use pgvector with 1536-dimensional embeddings (OpenAI text-embedding-3-small compatible). Vectors are stored in separate chunk_vectors and memory_vectors tables using IVFFlat indexes for approximate nearest-neighbour cosine similarity search. In local dev, embeddings fall back to a mock generator (MOCK_EMBEDDINGS=true).</w:t>
      </w:r>
    </w:p>
    <w:p>
      <w:r>
        <w:br w:type="page"/>
      </w:r>
    </w:p>
    <w:p>
      <w:pPr>
        <w:pStyle w:val="Heading1"/>
        <w:spacing w:before="280" w:after="120"/>
      </w:pPr>
      <w:r>
        <w:rPr>
          <w:color w:val="0D1B2A"/>
          <w:sz w:val="44"/>
        </w:rPr>
        <w:t>7. Event-Driven Architecture &amp; Kafka Topology</w:t>
      </w:r>
    </w:p>
    <w:p>
      <w:pPr>
        <w:spacing w:after="120"/>
      </w:pPr>
      <w:r>
        <w:rPr>
          <w:color w:val="48566A"/>
          <w:sz w:val="21"/>
        </w:rPr>
        <w:t>CypherX AI uses a transactional outbox pattern to guarantee at-least-once event delivery. Every service writes domain events to a local outbox table in the same database transaction as the state change. A relay process then publishes the outbox rows to Redpanda (Kafka-compatible). This eliminates the dual-write problem and ensures no events are lost even if Kafka is temporarily unavailable.</w:t>
      </w:r>
    </w:p>
    <w:p>
      <w:pPr>
        <w:jc w:val="center"/>
      </w:pPr>
      <w:r>
        <w:drawing>
          <wp:inline xmlns:a="http://schemas.openxmlformats.org/drawingml/2006/main" xmlns:pic="http://schemas.openxmlformats.org/drawingml/2006/picture">
            <wp:extent cx="5852160" cy="3137579"/>
            <wp:docPr id="7" name="Picture 7"/>
            <wp:cNvGraphicFramePr>
              <a:graphicFrameLocks noChangeAspect="1"/>
            </wp:cNvGraphicFramePr>
            <a:graphic>
              <a:graphicData uri="http://schemas.openxmlformats.org/drawingml/2006/picture">
                <pic:pic>
                  <pic:nvPicPr>
                    <pic:cNvPr id="0" name="03_kafka.png"/>
                    <pic:cNvPicPr/>
                  </pic:nvPicPr>
                  <pic:blipFill>
                    <a:blip r:embed="rId13"/>
                    <a:stretch>
                      <a:fillRect/>
                    </a:stretch>
                  </pic:blipFill>
                  <pic:spPr>
                    <a:xfrm>
                      <a:off x="0" y="0"/>
                      <a:ext cx="5852160" cy="3137579"/>
                    </a:xfrm>
                    <a:prstGeom prst="rect"/>
                  </pic:spPr>
                </pic:pic>
              </a:graphicData>
            </a:graphic>
          </wp:inline>
        </w:drawing>
      </w:r>
    </w:p>
    <w:p>
      <w:pPr>
        <w:spacing w:after="200"/>
        <w:jc w:val="center"/>
      </w:pPr>
      <w:r>
        <w:rPr>
          <w:i/>
          <w:color w:val="48566A"/>
          <w:sz w:val="18"/>
        </w:rPr>
        <w:t>Figure 7.1 — Kafka Event Topology &amp; Transactional Outbox Pattern</w:t>
      </w:r>
    </w:p>
    <w:p>
      <w:pPr>
        <w:pStyle w:val="Heading2"/>
        <w:spacing w:before="160" w:after="120"/>
      </w:pPr>
      <w:r>
        <w:rPr>
          <w:color w:val="00B4D8"/>
          <w:sz w:val="32"/>
        </w:rPr>
        <w:t>Topic Naming Convention</w:t>
      </w:r>
    </w:p>
    <w:p>
      <w:pPr>
        <w:spacing w:before="120" w:after="120"/>
        <w:ind w:left="576"/>
        <w:pBdr>
          <w:left w:val="single" w:sz="12" w:space="4" w:color="00B4D8"/>
        </w:pBdr>
      </w:pPr>
      <w:r>
        <w:rPr>
          <w:i/>
          <w:color w:val="48566A"/>
          <w:sz w:val="20"/>
        </w:rPr>
        <w:t>All topics follow the pattern: cypherx.&lt;domain&gt;.&lt;entity&gt;.&lt;event-type&gt;</w:t>
        <w:br/>
        <w:t>Example: cypherx.agent.task.completed, cypherx.llms.request.completed, cypherx.billing.usage.recorded</w:t>
      </w:r>
    </w:p>
    <w:p>
      <w:pPr>
        <w:pStyle w:val="Heading2"/>
        <w:spacing w:before="160" w:after="120"/>
      </w:pPr>
      <w:r>
        <w:rPr>
          <w:color w:val="00B4D8"/>
          <w:sz w:val="32"/>
        </w:rPr>
        <w:t>Key Topics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00"/>
            <w:shd w:val="clear" w:color="auto" w:fill="0D1B2A"/>
          </w:tcPr>
          <w:p>
            <w:pPr>
              <w:jc w:val="center"/>
            </w:pPr>
            <w:r>
              <w:rPr>
                <w:b/>
                <w:color w:val="FFFFFF"/>
                <w:sz w:val="19"/>
              </w:rPr>
              <w:t>Topic</w:t>
            </w:r>
          </w:p>
        </w:tc>
        <w:tc>
          <w:tcPr>
            <w:tcW w:type="dxa" w:w="1872"/>
            <w:shd w:val="clear" w:color="auto" w:fill="0D1B2A"/>
          </w:tcPr>
          <w:p>
            <w:pPr>
              <w:jc w:val="center"/>
            </w:pPr>
            <w:r>
              <w:rPr>
                <w:b/>
                <w:color w:val="FFFFFF"/>
                <w:sz w:val="19"/>
              </w:rPr>
              <w:t>Producer</w:t>
            </w:r>
          </w:p>
        </w:tc>
        <w:tc>
          <w:tcPr>
            <w:tcW w:type="dxa" w:w="2592"/>
            <w:shd w:val="clear" w:color="auto" w:fill="0D1B2A"/>
          </w:tcPr>
          <w:p>
            <w:pPr>
              <w:jc w:val="center"/>
            </w:pPr>
            <w:r>
              <w:rPr>
                <w:b/>
                <w:color w:val="FFFFFF"/>
                <w:sz w:val="19"/>
              </w:rPr>
              <w:t>Consumers</w:t>
            </w:r>
          </w:p>
        </w:tc>
        <w:tc>
          <w:tcPr>
            <w:tcW w:type="dxa" w:w="1440"/>
            <w:shd w:val="clear" w:color="auto" w:fill="0D1B2A"/>
          </w:tcPr>
          <w:p>
            <w:pPr>
              <w:jc w:val="center"/>
            </w:pPr>
            <w:r>
              <w:rPr>
                <w:b/>
                <w:color w:val="FFFFFF"/>
                <w:sz w:val="19"/>
              </w:rPr>
              <w:t>Partition Key</w:t>
            </w:r>
          </w:p>
        </w:tc>
      </w:tr>
      <w:tr>
        <w:tc>
          <w:tcPr>
            <w:tcW w:type="dxa" w:w="3600"/>
            <w:shd w:val="clear" w:color="auto" w:fill="F4F7FA"/>
          </w:tcPr>
          <w:p>
            <w:r>
              <w:rPr>
                <w:color w:val="48566A"/>
                <w:sz w:val="18"/>
              </w:rPr>
              <w:t>cypherx.auth.agent.registered</w:t>
            </w:r>
          </w:p>
        </w:tc>
        <w:tc>
          <w:tcPr>
            <w:tcW w:type="dxa" w:w="1872"/>
            <w:shd w:val="clear" w:color="auto" w:fill="F4F7FA"/>
          </w:tcPr>
          <w:p>
            <w:r>
              <w:rPr>
                <w:color w:val="48566A"/>
                <w:sz w:val="18"/>
              </w:rPr>
              <w:t>auth-service</w:t>
            </w:r>
          </w:p>
        </w:tc>
        <w:tc>
          <w:tcPr>
            <w:tcW w:type="dxa" w:w="2592"/>
            <w:shd w:val="clear" w:color="auto" w:fill="F4F7FA"/>
          </w:tcPr>
          <w:p>
            <w:r>
              <w:rPr>
                <w:color w:val="48566A"/>
                <w:sz w:val="18"/>
              </w:rPr>
              <w:t>platform (billing), audit log</w:t>
            </w:r>
          </w:p>
        </w:tc>
        <w:tc>
          <w:tcPr>
            <w:tcW w:type="dxa" w:w="1440"/>
            <w:shd w:val="clear" w:color="auto" w:fill="F4F7FA"/>
          </w:tcPr>
          <w:p>
            <w:r>
              <w:rPr>
                <w:color w:val="48566A"/>
                <w:sz w:val="18"/>
              </w:rPr>
              <w:t>tenant_id</w:t>
            </w:r>
          </w:p>
        </w:tc>
      </w:tr>
      <w:tr>
        <w:tc>
          <w:tcPr>
            <w:tcW w:type="dxa" w:w="3600"/>
            <w:shd w:val="clear" w:color="auto" w:fill="FFFFFF"/>
          </w:tcPr>
          <w:p>
            <w:r>
              <w:rPr>
                <w:color w:val="48566A"/>
                <w:sz w:val="18"/>
              </w:rPr>
              <w:t>cypherx.agent.task.completed</w:t>
            </w:r>
          </w:p>
        </w:tc>
        <w:tc>
          <w:tcPr>
            <w:tcW w:type="dxa" w:w="1872"/>
            <w:shd w:val="clear" w:color="auto" w:fill="FFFFFF"/>
          </w:tcPr>
          <w:p>
            <w:r>
              <w:rPr>
                <w:color w:val="48566A"/>
                <w:sz w:val="18"/>
              </w:rPr>
              <w:t>xagent</w:t>
            </w:r>
          </w:p>
        </w:tc>
        <w:tc>
          <w:tcPr>
            <w:tcW w:type="dxa" w:w="2592"/>
            <w:shd w:val="clear" w:color="auto" w:fill="FFFFFF"/>
          </w:tcPr>
          <w:p>
            <w:r>
              <w:rPr>
                <w:color w:val="48566A"/>
                <w:sz w:val="18"/>
              </w:rPr>
              <w:t>platform, observability, analytics</w:t>
            </w:r>
          </w:p>
        </w:tc>
        <w:tc>
          <w:tcPr>
            <w:tcW w:type="dxa" w:w="1440"/>
            <w:shd w:val="clear" w:color="auto" w:fill="FFFFFF"/>
          </w:tcPr>
          <w:p>
            <w:r>
              <w:rPr>
                <w:color w:val="48566A"/>
                <w:sz w:val="18"/>
              </w:rPr>
              <w:t>task_id</w:t>
            </w:r>
          </w:p>
        </w:tc>
      </w:tr>
      <w:tr>
        <w:tc>
          <w:tcPr>
            <w:tcW w:type="dxa" w:w="3600"/>
            <w:shd w:val="clear" w:color="auto" w:fill="F4F7FA"/>
          </w:tcPr>
          <w:p>
            <w:r>
              <w:rPr>
                <w:color w:val="48566A"/>
                <w:sz w:val="18"/>
              </w:rPr>
              <w:t>cypherx.agent.task.failed</w:t>
            </w:r>
          </w:p>
        </w:tc>
        <w:tc>
          <w:tcPr>
            <w:tcW w:type="dxa" w:w="1872"/>
            <w:shd w:val="clear" w:color="auto" w:fill="F4F7FA"/>
          </w:tcPr>
          <w:p>
            <w:r>
              <w:rPr>
                <w:color w:val="48566A"/>
                <w:sz w:val="18"/>
              </w:rPr>
              <w:t>xagent</w:t>
            </w:r>
          </w:p>
        </w:tc>
        <w:tc>
          <w:tcPr>
            <w:tcW w:type="dxa" w:w="2592"/>
            <w:shd w:val="clear" w:color="auto" w:fill="F4F7FA"/>
          </w:tcPr>
          <w:p>
            <w:r>
              <w:rPr>
                <w:color w:val="48566A"/>
                <w:sz w:val="18"/>
              </w:rPr>
              <w:t>platform, alerting, DLQ</w:t>
            </w:r>
          </w:p>
        </w:tc>
        <w:tc>
          <w:tcPr>
            <w:tcW w:type="dxa" w:w="1440"/>
            <w:shd w:val="clear" w:color="auto" w:fill="F4F7FA"/>
          </w:tcPr>
          <w:p>
            <w:r>
              <w:rPr>
                <w:color w:val="48566A"/>
                <w:sz w:val="18"/>
              </w:rPr>
              <w:t>task_id</w:t>
            </w:r>
          </w:p>
        </w:tc>
      </w:tr>
      <w:tr>
        <w:tc>
          <w:tcPr>
            <w:tcW w:type="dxa" w:w="3600"/>
            <w:shd w:val="clear" w:color="auto" w:fill="FFFFFF"/>
          </w:tcPr>
          <w:p>
            <w:r>
              <w:rPr>
                <w:color w:val="48566A"/>
                <w:sz w:val="18"/>
              </w:rPr>
              <w:t>cypherx.llms.request.completed</w:t>
            </w:r>
          </w:p>
        </w:tc>
        <w:tc>
          <w:tcPr>
            <w:tcW w:type="dxa" w:w="1872"/>
            <w:shd w:val="clear" w:color="auto" w:fill="FFFFFF"/>
          </w:tcPr>
          <w:p>
            <w:r>
              <w:rPr>
                <w:color w:val="48566A"/>
                <w:sz w:val="18"/>
              </w:rPr>
              <w:t>llms-gateway</w:t>
            </w:r>
          </w:p>
        </w:tc>
        <w:tc>
          <w:tcPr>
            <w:tcW w:type="dxa" w:w="2592"/>
            <w:shd w:val="clear" w:color="auto" w:fill="FFFFFF"/>
          </w:tcPr>
          <w:p>
            <w:r>
              <w:rPr>
                <w:color w:val="48566A"/>
                <w:sz w:val="18"/>
              </w:rPr>
              <w:t>billing, analytics</w:t>
            </w:r>
          </w:p>
        </w:tc>
        <w:tc>
          <w:tcPr>
            <w:tcW w:type="dxa" w:w="1440"/>
            <w:shd w:val="clear" w:color="auto" w:fill="FFFFFF"/>
          </w:tcPr>
          <w:p>
            <w:r>
              <w:rPr>
                <w:color w:val="48566A"/>
                <w:sz w:val="18"/>
              </w:rPr>
              <w:t>tenant_id</w:t>
            </w:r>
          </w:p>
        </w:tc>
      </w:tr>
      <w:tr>
        <w:tc>
          <w:tcPr>
            <w:tcW w:type="dxa" w:w="3600"/>
            <w:shd w:val="clear" w:color="auto" w:fill="F4F7FA"/>
          </w:tcPr>
          <w:p>
            <w:r>
              <w:rPr>
                <w:color w:val="48566A"/>
                <w:sz w:val="18"/>
              </w:rPr>
              <w:t>cypherx.billing.usage.recorded</w:t>
            </w:r>
          </w:p>
        </w:tc>
        <w:tc>
          <w:tcPr>
            <w:tcW w:type="dxa" w:w="1872"/>
            <w:shd w:val="clear" w:color="auto" w:fill="F4F7FA"/>
          </w:tcPr>
          <w:p>
            <w:r>
              <w:rPr>
                <w:color w:val="48566A"/>
                <w:sz w:val="18"/>
              </w:rPr>
              <w:t>llms-gateway</w:t>
            </w:r>
          </w:p>
        </w:tc>
        <w:tc>
          <w:tcPr>
            <w:tcW w:type="dxa" w:w="2592"/>
            <w:shd w:val="clear" w:color="auto" w:fill="F4F7FA"/>
          </w:tcPr>
          <w:p>
            <w:r>
              <w:rPr>
                <w:color w:val="48566A"/>
                <w:sz w:val="18"/>
              </w:rPr>
              <w:t>platform (cost roll-up)</w:t>
            </w:r>
          </w:p>
        </w:tc>
        <w:tc>
          <w:tcPr>
            <w:tcW w:type="dxa" w:w="1440"/>
            <w:shd w:val="clear" w:color="auto" w:fill="F4F7FA"/>
          </w:tcPr>
          <w:p>
            <w:r>
              <w:rPr>
                <w:color w:val="48566A"/>
                <w:sz w:val="18"/>
              </w:rPr>
              <w:t>tenant_id</w:t>
            </w:r>
          </w:p>
        </w:tc>
      </w:tr>
      <w:tr>
        <w:tc>
          <w:tcPr>
            <w:tcW w:type="dxa" w:w="3600"/>
            <w:shd w:val="clear" w:color="auto" w:fill="FFFFFF"/>
          </w:tcPr>
          <w:p>
            <w:r>
              <w:rPr>
                <w:color w:val="48566A"/>
                <w:sz w:val="18"/>
              </w:rPr>
              <w:t>cypherx.guardrails.violation</w:t>
            </w:r>
          </w:p>
        </w:tc>
        <w:tc>
          <w:tcPr>
            <w:tcW w:type="dxa" w:w="1872"/>
            <w:shd w:val="clear" w:color="auto" w:fill="FFFFFF"/>
          </w:tcPr>
          <w:p>
            <w:r>
              <w:rPr>
                <w:color w:val="48566A"/>
                <w:sz w:val="18"/>
              </w:rPr>
              <w:t>guardrails-service</w:t>
            </w:r>
          </w:p>
        </w:tc>
        <w:tc>
          <w:tcPr>
            <w:tcW w:type="dxa" w:w="2592"/>
            <w:shd w:val="clear" w:color="auto" w:fill="FFFFFF"/>
          </w:tcPr>
          <w:p>
            <w:r>
              <w:rPr>
                <w:color w:val="48566A"/>
                <w:sz w:val="18"/>
              </w:rPr>
              <w:t>audit, alerting</w:t>
            </w:r>
          </w:p>
        </w:tc>
        <w:tc>
          <w:tcPr>
            <w:tcW w:type="dxa" w:w="1440"/>
            <w:shd w:val="clear" w:color="auto" w:fill="FFFFFF"/>
          </w:tcPr>
          <w:p>
            <w:r>
              <w:rPr>
                <w:color w:val="48566A"/>
                <w:sz w:val="18"/>
              </w:rPr>
              <w:t>tenant_id</w:t>
            </w:r>
          </w:p>
        </w:tc>
      </w:tr>
      <w:tr>
        <w:tc>
          <w:tcPr>
            <w:tcW w:type="dxa" w:w="3600"/>
            <w:shd w:val="clear" w:color="auto" w:fill="F4F7FA"/>
          </w:tcPr>
          <w:p>
            <w:r>
              <w:rPr>
                <w:color w:val="48566A"/>
                <w:sz w:val="18"/>
              </w:rPr>
              <w:t>cypherx.memory.stored</w:t>
            </w:r>
          </w:p>
        </w:tc>
        <w:tc>
          <w:tcPr>
            <w:tcW w:type="dxa" w:w="1872"/>
            <w:shd w:val="clear" w:color="auto" w:fill="F4F7FA"/>
          </w:tcPr>
          <w:p>
            <w:r>
              <w:rPr>
                <w:color w:val="48566A"/>
                <w:sz w:val="18"/>
              </w:rPr>
              <w:t>memory-service</w:t>
            </w:r>
          </w:p>
        </w:tc>
        <w:tc>
          <w:tcPr>
            <w:tcW w:type="dxa" w:w="2592"/>
            <w:shd w:val="clear" w:color="auto" w:fill="F4F7FA"/>
          </w:tcPr>
          <w:p>
            <w:r>
              <w:rPr>
                <w:color w:val="48566A"/>
                <w:sz w:val="18"/>
              </w:rPr>
              <w:t>analytics, search index</w:t>
            </w:r>
          </w:p>
        </w:tc>
        <w:tc>
          <w:tcPr>
            <w:tcW w:type="dxa" w:w="1440"/>
            <w:shd w:val="clear" w:color="auto" w:fill="F4F7FA"/>
          </w:tcPr>
          <w:p>
            <w:r>
              <w:rPr>
                <w:color w:val="48566A"/>
                <w:sz w:val="18"/>
              </w:rPr>
              <w:t>principal_id</w:t>
            </w:r>
          </w:p>
        </w:tc>
      </w:tr>
      <w:tr>
        <w:tc>
          <w:tcPr>
            <w:tcW w:type="dxa" w:w="3600"/>
            <w:shd w:val="clear" w:color="auto" w:fill="FFFFFF"/>
          </w:tcPr>
          <w:p>
            <w:r>
              <w:rPr>
                <w:color w:val="48566A"/>
                <w:sz w:val="18"/>
              </w:rPr>
              <w:t>cypherx.memory.gdpr.wiped</w:t>
            </w:r>
          </w:p>
        </w:tc>
        <w:tc>
          <w:tcPr>
            <w:tcW w:type="dxa" w:w="1872"/>
            <w:shd w:val="clear" w:color="auto" w:fill="FFFFFF"/>
          </w:tcPr>
          <w:p>
            <w:r>
              <w:rPr>
                <w:color w:val="48566A"/>
                <w:sz w:val="18"/>
              </w:rPr>
              <w:t>memory-service</w:t>
            </w:r>
          </w:p>
        </w:tc>
        <w:tc>
          <w:tcPr>
            <w:tcW w:type="dxa" w:w="2592"/>
            <w:shd w:val="clear" w:color="auto" w:fill="FFFFFF"/>
          </w:tcPr>
          <w:p>
            <w:r>
              <w:rPr>
                <w:color w:val="48566A"/>
                <w:sz w:val="18"/>
              </w:rPr>
              <w:t>audit, compliance</w:t>
            </w:r>
          </w:p>
        </w:tc>
        <w:tc>
          <w:tcPr>
            <w:tcW w:type="dxa" w:w="1440"/>
            <w:shd w:val="clear" w:color="auto" w:fill="FFFFFF"/>
          </w:tcPr>
          <w:p>
            <w:r>
              <w:rPr>
                <w:color w:val="48566A"/>
                <w:sz w:val="18"/>
              </w:rPr>
              <w:t>principal_id</w:t>
            </w:r>
          </w:p>
        </w:tc>
      </w:tr>
      <w:tr>
        <w:tc>
          <w:tcPr>
            <w:tcW w:type="dxa" w:w="3600"/>
            <w:shd w:val="clear" w:color="auto" w:fill="F4F7FA"/>
          </w:tcPr>
          <w:p>
            <w:r>
              <w:rPr>
                <w:color w:val="48566A"/>
                <w:sz w:val="18"/>
              </w:rPr>
              <w:t>cypherx.tools.invocation.metered</w:t>
            </w:r>
          </w:p>
        </w:tc>
        <w:tc>
          <w:tcPr>
            <w:tcW w:type="dxa" w:w="1872"/>
            <w:shd w:val="clear" w:color="auto" w:fill="F4F7FA"/>
          </w:tcPr>
          <w:p>
            <w:r>
              <w:rPr>
                <w:color w:val="48566A"/>
                <w:sz w:val="18"/>
              </w:rPr>
              <w:t>xagent (outbox)</w:t>
            </w:r>
          </w:p>
        </w:tc>
        <w:tc>
          <w:tcPr>
            <w:tcW w:type="dxa" w:w="2592"/>
            <w:shd w:val="clear" w:color="auto" w:fill="F4F7FA"/>
          </w:tcPr>
          <w:p>
            <w:r>
              <w:rPr>
                <w:color w:val="48566A"/>
                <w:sz w:val="18"/>
              </w:rPr>
              <w:t>billing, analytics</w:t>
            </w:r>
          </w:p>
        </w:tc>
        <w:tc>
          <w:tcPr>
            <w:tcW w:type="dxa" w:w="1440"/>
            <w:shd w:val="clear" w:color="auto" w:fill="F4F7FA"/>
          </w:tcPr>
          <w:p>
            <w:r>
              <w:rPr>
                <w:color w:val="48566A"/>
                <w:sz w:val="18"/>
              </w:rPr>
              <w:t>tool_name</w:t>
            </w:r>
          </w:p>
        </w:tc>
      </w:tr>
      <w:tr>
        <w:tc>
          <w:tcPr>
            <w:tcW w:type="dxa" w:w="3600"/>
            <w:shd w:val="clear" w:color="auto" w:fill="FFFFFF"/>
          </w:tcPr>
          <w:p>
            <w:r>
              <w:rPr>
                <w:color w:val="48566A"/>
                <w:sz w:val="18"/>
              </w:rPr>
              <w:t>cypherx.rag.ingestion.requested</w:t>
            </w:r>
          </w:p>
        </w:tc>
        <w:tc>
          <w:tcPr>
            <w:tcW w:type="dxa" w:w="1872"/>
            <w:shd w:val="clear" w:color="auto" w:fill="FFFFFF"/>
          </w:tcPr>
          <w:p>
            <w:r>
              <w:rPr>
                <w:color w:val="48566A"/>
                <w:sz w:val="18"/>
              </w:rPr>
              <w:t>rag-service</w:t>
            </w:r>
          </w:p>
        </w:tc>
        <w:tc>
          <w:tcPr>
            <w:tcW w:type="dxa" w:w="2592"/>
            <w:shd w:val="clear" w:color="auto" w:fill="FFFFFF"/>
          </w:tcPr>
          <w:p>
            <w:r>
              <w:rPr>
                <w:color w:val="48566A"/>
                <w:sz w:val="18"/>
              </w:rPr>
              <w:t>rag async worker</w:t>
            </w:r>
          </w:p>
        </w:tc>
        <w:tc>
          <w:tcPr>
            <w:tcW w:type="dxa" w:w="1440"/>
            <w:shd w:val="clear" w:color="auto" w:fill="FFFFFF"/>
          </w:tcPr>
          <w:p>
            <w:r>
              <w:rPr>
                <w:color w:val="48566A"/>
                <w:sz w:val="18"/>
              </w:rPr>
              <w:t>kb_id</w:t>
            </w:r>
          </w:p>
        </w:tc>
      </w:tr>
    </w:tbl>
    <w:p/>
    <w:p>
      <w:pPr>
        <w:pStyle w:val="Heading2"/>
        <w:spacing w:before="160" w:after="120"/>
      </w:pPr>
      <w:r>
        <w:rPr>
          <w:color w:val="00B4D8"/>
          <w:sz w:val="32"/>
        </w:rPr>
        <w:t>Outbox Relay Implementation</w:t>
      </w:r>
    </w:p>
    <w:p>
      <w:pPr>
        <w:pStyle w:val="ListBullet"/>
        <w:spacing w:after="60"/>
        <w:ind w:left="432"/>
      </w:pPr>
      <w:r>
        <w:rPr>
          <w:color w:val="48566A"/>
          <w:sz w:val="20"/>
        </w:rPr>
        <w:t>Each service has a separate outbox table (e.g. auth.outbox, xagent.outbox) with columns: id, topic, partition_key, payload (JSONB), created_at, published_at.</w:t>
      </w:r>
    </w:p>
    <w:p>
      <w:pPr>
        <w:pStyle w:val="ListBullet"/>
        <w:spacing w:after="60"/>
        <w:ind w:left="432"/>
      </w:pPr>
      <w:r>
        <w:rPr>
          <w:color w:val="48566A"/>
          <w:sz w:val="20"/>
        </w:rPr>
        <w:t>The relay process polls the outbox table for unpublished rows, publishes to Kafka, then sets published_at. Idempotent on re-publish (Kafka message key = outbox row id).</w:t>
      </w:r>
    </w:p>
    <w:p>
      <w:pPr>
        <w:pStyle w:val="ListBullet"/>
        <w:spacing w:after="60"/>
        <w:ind w:left="432"/>
      </w:pPr>
      <w:r>
        <w:rPr>
          <w:color w:val="48566A"/>
          <w:sz w:val="20"/>
        </w:rPr>
        <w:t>Contract 5 defines the universal event envelope: { "specversion": "1.0", "type": "&lt;topic&gt;", "source": "&lt;service&gt;", "id": "&lt;uuid&gt;", "time": "&lt;ISO8601&gt;", "traceparent": "&lt;W3C&gt;", "data": {...} }.</w:t>
      </w:r>
    </w:p>
    <w:p>
      <w:pPr>
        <w:pStyle w:val="ListBullet"/>
        <w:spacing w:after="60"/>
        <w:ind w:left="432"/>
      </w:pPr>
      <w:r>
        <w:rPr>
          <w:color w:val="48566A"/>
          <w:sz w:val="20"/>
        </w:rPr>
        <w:t>Dead-letter queue (DLQ) topics receive messages that fail all delivery retries. Kafka Streams / MSK Connect handles DLQ routing in cloud.</w:t>
      </w:r>
    </w:p>
    <w:p>
      <w:r>
        <w:br w:type="page"/>
      </w:r>
    </w:p>
    <w:p>
      <w:pPr>
        <w:pStyle w:val="Heading1"/>
        <w:spacing w:before="280" w:after="120"/>
      </w:pPr>
      <w:r>
        <w:rPr>
          <w:color w:val="0D1B2A"/>
          <w:sz w:val="44"/>
        </w:rPr>
        <w:t>8. Developer &amp; Operations Experience</w:t>
      </w:r>
    </w:p>
    <w:p>
      <w:pPr>
        <w:pStyle w:val="Heading2"/>
        <w:spacing w:before="160" w:after="120"/>
      </w:pPr>
      <w:r>
        <w:rPr>
          <w:color w:val="00B4D8"/>
          <w:sz w:val="32"/>
        </w:rPr>
        <w:t>Local Development (Zero to Running in Minutes)</w:t>
      </w:r>
    </w:p>
    <w:tbl>
      <w:tblPr>
        <w:tblStyle w:val="TableGrid"/>
        <w:tblW w:type="auto" w:w="0"/>
        <w:jc w:val="center"/>
        <w:tblLook w:firstColumn="1" w:firstRow="1" w:lastColumn="0" w:lastRow="0" w:noHBand="0" w:noVBand="1" w:val="04A0"/>
      </w:tblPr>
      <w:tblGrid>
        <w:gridCol w:w="4536"/>
        <w:gridCol w:w="4536"/>
      </w:tblGrid>
      <w:tr>
        <w:tc>
          <w:tcPr>
            <w:tcW w:type="dxa" w:w="2160"/>
            <w:shd w:val="clear" w:color="auto" w:fill="0D1B2A"/>
          </w:tcPr>
          <w:p>
            <w:pPr>
              <w:jc w:val="center"/>
            </w:pPr>
            <w:r>
              <w:rPr>
                <w:b/>
                <w:color w:val="FFFFFF"/>
                <w:sz w:val="19"/>
              </w:rPr>
              <w:t>Step</w:t>
            </w:r>
          </w:p>
        </w:tc>
        <w:tc>
          <w:tcPr>
            <w:tcW w:type="dxa" w:w="7200"/>
            <w:shd w:val="clear" w:color="auto" w:fill="0D1B2A"/>
          </w:tcPr>
          <w:p>
            <w:pPr>
              <w:jc w:val="center"/>
            </w:pPr>
            <w:r>
              <w:rPr>
                <w:b/>
                <w:color w:val="FFFFFF"/>
                <w:sz w:val="19"/>
              </w:rPr>
              <w:t>Command / Action</w:t>
            </w:r>
          </w:p>
        </w:tc>
      </w:tr>
      <w:tr>
        <w:tc>
          <w:tcPr>
            <w:tcW w:type="dxa" w:w="2160"/>
            <w:shd w:val="clear" w:color="auto" w:fill="F4F7FA"/>
          </w:tcPr>
          <w:p>
            <w:r>
              <w:rPr>
                <w:color w:val="48566A"/>
                <w:sz w:val="18"/>
              </w:rPr>
              <w:t>1. Neon setup</w:t>
            </w:r>
          </w:p>
        </w:tc>
        <w:tc>
          <w:tcPr>
            <w:tcW w:type="dxa" w:w="7200"/>
            <w:shd w:val="clear" w:color="auto" w:fill="F4F7FA"/>
          </w:tcPr>
          <w:p>
            <w:r>
              <w:rPr>
                <w:color w:val="48566A"/>
                <w:sz w:val="18"/>
              </w:rPr>
              <w:t>Create a Neon project with database cypherx_platform; note POOLED and DIRECT endpoint hosts.</w:t>
            </w:r>
          </w:p>
        </w:tc>
      </w:tr>
      <w:tr>
        <w:tc>
          <w:tcPr>
            <w:tcW w:type="dxa" w:w="2160"/>
            <w:shd w:val="clear" w:color="auto" w:fill="FFFFFF"/>
          </w:tcPr>
          <w:p>
            <w:r>
              <w:rPr>
                <w:color w:val="48566A"/>
                <w:sz w:val="18"/>
              </w:rPr>
              <w:t>2. Configure env</w:t>
            </w:r>
          </w:p>
        </w:tc>
        <w:tc>
          <w:tcPr>
            <w:tcW w:type="dxa" w:w="7200"/>
            <w:shd w:val="clear" w:color="auto" w:fill="FFFFFF"/>
          </w:tcPr>
          <w:p>
            <w:r>
              <w:rPr>
                <w:color w:val="48566A"/>
                <w:sz w:val="18"/>
              </w:rPr>
              <w:t>cp infra/compose/.env.example infra/compose/.env — fill in 7× DATABASE_URL (POOLED) + MIGRATE_DATABASE_URL (DIRECT).</w:t>
            </w:r>
          </w:p>
        </w:tc>
      </w:tr>
      <w:tr>
        <w:tc>
          <w:tcPr>
            <w:tcW w:type="dxa" w:w="2160"/>
            <w:shd w:val="clear" w:color="auto" w:fill="F4F7FA"/>
          </w:tcPr>
          <w:p>
            <w:r>
              <w:rPr>
                <w:color w:val="48566A"/>
                <w:sz w:val="18"/>
              </w:rPr>
              <w:t>3. Migrate once</w:t>
            </w:r>
          </w:p>
        </w:tc>
        <w:tc>
          <w:tcPr>
            <w:tcW w:type="dxa" w:w="7200"/>
            <w:shd w:val="clear" w:color="auto" w:fill="F4F7FA"/>
          </w:tcPr>
          <w:p>
            <w:r>
              <w:rPr>
                <w:color w:val="48566A"/>
                <w:sz w:val="18"/>
              </w:rPr>
              <w:t>docker compose --profile migrate up migrate — idempotent, creates all 8 schemas, tables, roles, and seed data.</w:t>
            </w:r>
          </w:p>
        </w:tc>
      </w:tr>
      <w:tr>
        <w:tc>
          <w:tcPr>
            <w:tcW w:type="dxa" w:w="2160"/>
            <w:shd w:val="clear" w:color="auto" w:fill="FFFFFF"/>
          </w:tcPr>
          <w:p>
            <w:r>
              <w:rPr>
                <w:color w:val="48566A"/>
                <w:sz w:val="18"/>
              </w:rPr>
              <w:t>4. Start stack</w:t>
            </w:r>
          </w:p>
        </w:tc>
        <w:tc>
          <w:tcPr>
            <w:tcW w:type="dxa" w:w="7200"/>
            <w:shd w:val="clear" w:color="auto" w:fill="FFFFFF"/>
          </w:tcPr>
          <w:p>
            <w:r>
              <w:rPr>
                <w:color w:val="48566A"/>
                <w:sz w:val="18"/>
              </w:rPr>
              <w:t>docker compose up -d --build — depends_on + healthchecks order startup automatically.</w:t>
            </w:r>
          </w:p>
        </w:tc>
      </w:tr>
      <w:tr>
        <w:tc>
          <w:tcPr>
            <w:tcW w:type="dxa" w:w="2160"/>
            <w:shd w:val="clear" w:color="auto" w:fill="F4F7FA"/>
          </w:tcPr>
          <w:p>
            <w:r>
              <w:rPr>
                <w:color w:val="48566A"/>
                <w:sz w:val="18"/>
              </w:rPr>
              <w:t>5. Smoke test</w:t>
            </w:r>
          </w:p>
        </w:tc>
        <w:tc>
          <w:tcPr>
            <w:tcW w:type="dxa" w:w="7200"/>
            <w:shd w:val="clear" w:color="auto" w:fill="F4F7FA"/>
          </w:tcPr>
          <w:p>
            <w:r>
              <w:rPr>
                <w:color w:val="48566A"/>
                <w:sz w:val="18"/>
              </w:rPr>
              <w:t>cd contracts &amp;&amp; npm test — runs all 15 Contract-15 smoke-test cases against the live stack.</w:t>
            </w:r>
          </w:p>
        </w:tc>
      </w:tr>
    </w:tbl>
    <w:p/>
    <w:p>
      <w:pPr>
        <w:pStyle w:val="Heading2"/>
        <w:spacing w:before="160" w:after="120"/>
      </w:pPr>
      <w:r>
        <w:rPr>
          <w:color w:val="00B4D8"/>
          <w:sz w:val="32"/>
        </w:rPr>
        <w:t>Keyless-by-Default Config Toggles</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val="clear" w:color="auto" w:fill="0D1B2A"/>
          </w:tcPr>
          <w:p>
            <w:pPr>
              <w:jc w:val="center"/>
            </w:pPr>
            <w:r>
              <w:rPr>
                <w:b/>
                <w:color w:val="FFFFFF"/>
                <w:sz w:val="19"/>
              </w:rPr>
              <w:t>Env Var</w:t>
            </w:r>
          </w:p>
        </w:tc>
        <w:tc>
          <w:tcPr>
            <w:tcW w:type="dxa" w:w="2160"/>
            <w:shd w:val="clear" w:color="auto" w:fill="0D1B2A"/>
          </w:tcPr>
          <w:p>
            <w:pPr>
              <w:jc w:val="center"/>
            </w:pPr>
            <w:r>
              <w:rPr>
                <w:b/>
                <w:color w:val="FFFFFF"/>
                <w:sz w:val="19"/>
              </w:rPr>
              <w:t>Default (local)</w:t>
            </w:r>
          </w:p>
        </w:tc>
        <w:tc>
          <w:tcPr>
            <w:tcW w:type="dxa" w:w="4320"/>
            <w:shd w:val="clear" w:color="auto" w:fill="0D1B2A"/>
          </w:tcPr>
          <w:p>
            <w:pPr>
              <w:jc w:val="center"/>
            </w:pPr>
            <w:r>
              <w:rPr>
                <w:b/>
                <w:color w:val="FFFFFF"/>
                <w:sz w:val="19"/>
              </w:rPr>
              <w:t>Live value</w:t>
            </w:r>
          </w:p>
        </w:tc>
      </w:tr>
      <w:tr>
        <w:tc>
          <w:tcPr>
            <w:tcW w:type="dxa" w:w="2880"/>
            <w:shd w:val="clear" w:color="auto" w:fill="F4F7FA"/>
          </w:tcPr>
          <w:p>
            <w:r>
              <w:rPr>
                <w:color w:val="48566A"/>
                <w:sz w:val="18"/>
              </w:rPr>
              <w:t>MOCK_PROVIDERS</w:t>
            </w:r>
          </w:p>
        </w:tc>
        <w:tc>
          <w:tcPr>
            <w:tcW w:type="dxa" w:w="2160"/>
            <w:shd w:val="clear" w:color="auto" w:fill="F4F7FA"/>
          </w:tcPr>
          <w:p>
            <w:r>
              <w:rPr>
                <w:color w:val="48566A"/>
                <w:sz w:val="18"/>
              </w:rPr>
              <w:t>true</w:t>
            </w:r>
          </w:p>
        </w:tc>
        <w:tc>
          <w:tcPr>
            <w:tcW w:type="dxa" w:w="4320"/>
            <w:shd w:val="clear" w:color="auto" w:fill="F4F7FA"/>
          </w:tcPr>
          <w:p>
            <w:r>
              <w:rPr>
                <w:color w:val="48566A"/>
                <w:sz w:val="18"/>
              </w:rPr>
              <w:t>false (+ set ANTHROPIC_API_KEY or OPENAI_API_KEY)</w:t>
            </w:r>
          </w:p>
        </w:tc>
      </w:tr>
      <w:tr>
        <w:tc>
          <w:tcPr>
            <w:tcW w:type="dxa" w:w="2880"/>
            <w:shd w:val="clear" w:color="auto" w:fill="FFFFFF"/>
          </w:tcPr>
          <w:p>
            <w:r>
              <w:rPr>
                <w:color w:val="48566A"/>
                <w:sz w:val="18"/>
              </w:rPr>
              <w:t>MOCK_EMBEDDINGS</w:t>
            </w:r>
          </w:p>
        </w:tc>
        <w:tc>
          <w:tcPr>
            <w:tcW w:type="dxa" w:w="2160"/>
            <w:shd w:val="clear" w:color="auto" w:fill="FFFFFF"/>
          </w:tcPr>
          <w:p>
            <w:r>
              <w:rPr>
                <w:color w:val="48566A"/>
                <w:sz w:val="18"/>
              </w:rPr>
              <w:t>true</w:t>
            </w:r>
          </w:p>
        </w:tc>
        <w:tc>
          <w:tcPr>
            <w:tcW w:type="dxa" w:w="4320"/>
            <w:shd w:val="clear" w:color="auto" w:fill="FFFFFF"/>
          </w:tcPr>
          <w:p>
            <w:r>
              <w:rPr>
                <w:color w:val="48566A"/>
                <w:sz w:val="18"/>
              </w:rPr>
              <w:t>false (+ EMBEDDINGS_FALLBACK_TO_MOCK=false)</w:t>
            </w:r>
          </w:p>
        </w:tc>
      </w:tr>
      <w:tr>
        <w:tc>
          <w:tcPr>
            <w:tcW w:type="dxa" w:w="2880"/>
            <w:shd w:val="clear" w:color="auto" w:fill="F4F7FA"/>
          </w:tcPr>
          <w:p>
            <w:r>
              <w:rPr>
                <w:color w:val="48566A"/>
                <w:sz w:val="18"/>
              </w:rPr>
              <w:t>CLASSIFIER_MODE</w:t>
            </w:r>
          </w:p>
        </w:tc>
        <w:tc>
          <w:tcPr>
            <w:tcW w:type="dxa" w:w="2160"/>
            <w:shd w:val="clear" w:color="auto" w:fill="F4F7FA"/>
          </w:tcPr>
          <w:p>
            <w:r>
              <w:rPr>
                <w:color w:val="48566A"/>
                <w:sz w:val="18"/>
              </w:rPr>
              <w:t>stub</w:t>
            </w:r>
          </w:p>
        </w:tc>
        <w:tc>
          <w:tcPr>
            <w:tcW w:type="dxa" w:w="4320"/>
            <w:shd w:val="clear" w:color="auto" w:fill="F4F7FA"/>
          </w:tcPr>
          <w:p>
            <w:r>
              <w:rPr>
                <w:color w:val="48566A"/>
                <w:sz w:val="18"/>
              </w:rPr>
              <w:t>ml (deploys a classifier model)</w:t>
            </w:r>
          </w:p>
        </w:tc>
      </w:tr>
      <w:tr>
        <w:tc>
          <w:tcPr>
            <w:tcW w:type="dxa" w:w="2880"/>
            <w:shd w:val="clear" w:color="auto" w:fill="FFFFFF"/>
          </w:tcPr>
          <w:p>
            <w:r>
              <w:rPr>
                <w:color w:val="48566A"/>
                <w:sz w:val="18"/>
              </w:rPr>
              <w:t>SEARCH_PROVIDER</w:t>
            </w:r>
          </w:p>
        </w:tc>
        <w:tc>
          <w:tcPr>
            <w:tcW w:type="dxa" w:w="2160"/>
            <w:shd w:val="clear" w:color="auto" w:fill="FFFFFF"/>
          </w:tcPr>
          <w:p>
            <w:r>
              <w:rPr>
                <w:color w:val="48566A"/>
                <w:sz w:val="18"/>
              </w:rPr>
              <w:t>mock</w:t>
            </w:r>
          </w:p>
        </w:tc>
        <w:tc>
          <w:tcPr>
            <w:tcW w:type="dxa" w:w="4320"/>
            <w:shd w:val="clear" w:color="auto" w:fill="FFFFFF"/>
          </w:tcPr>
          <w:p>
            <w:r>
              <w:rPr>
                <w:color w:val="48566A"/>
                <w:sz w:val="18"/>
              </w:rPr>
              <w:t>serpapi or brave (+ SERPAPI_KEY / BRAVE_API_KEY)</w:t>
            </w:r>
          </w:p>
        </w:tc>
      </w:tr>
    </w:tbl>
    <w:p/>
    <w:p>
      <w:pPr>
        <w:pStyle w:val="Heading2"/>
        <w:spacing w:before="160" w:after="120"/>
      </w:pPr>
      <w:r>
        <w:rPr>
          <w:color w:val="00B4D8"/>
          <w:sz w:val="32"/>
        </w:rPr>
        <w:t>Observability Profiles</w:t>
      </w:r>
    </w:p>
    <w:p>
      <w:pPr>
        <w:spacing w:after="120"/>
      </w:pPr>
      <w:r>
        <w:rPr>
          <w:color w:val="48566A"/>
          <w:sz w:val="21"/>
        </w:rPr>
        <w:t>The compose stack supports an --profile observability flag that adds: OpenTelemetry Collector (OTLP → Tempo + Loki), Grafana (host :3001), Tempo (distributed traces :3200), Loki (structured logs :3100), Prometheus (metrics scraping /metrics on every service). Span export is opt-in via OTEL_EXPORTER_OTLP_ENDPOINT; Prometheus scrapes unconditionally.</w:t>
      </w:r>
    </w:p>
    <w:p>
      <w:pPr>
        <w:pStyle w:val="Heading2"/>
        <w:spacing w:before="160" w:after="120"/>
      </w:pPr>
      <w:r>
        <w:rPr>
          <w:color w:val="00B4D8"/>
          <w:sz w:val="32"/>
        </w:rPr>
        <w:t>Coding Standards</w:t>
      </w:r>
    </w:p>
    <w:p>
      <w:r>
        <w:rPr>
          <w:b/>
          <w:color w:val="00B4D8"/>
          <w:sz w:val="21"/>
        </w:rPr>
        <w:t xml:space="preserve">Python services: </w:t>
      </w:r>
      <w:r>
        <w:rPr>
          <w:color w:val="48566A"/>
          <w:sz w:val="21"/>
        </w:rPr>
        <w:t>uv for dependency management, pyproject.toml, ruff for linting/formatting, pytest + httpx for tests, async-first (asyncio + asyncpg/psycopg3).</w:t>
      </w:r>
    </w:p>
    <w:p>
      <w:r>
        <w:rPr>
          <w:b/>
          <w:color w:val="00B4D8"/>
          <w:sz w:val="21"/>
        </w:rPr>
        <w:t xml:space="preserve">Kotlin service (auth): </w:t>
      </w:r>
      <w:r>
        <w:rPr>
          <w:color w:val="48566A"/>
          <w:sz w:val="21"/>
        </w:rPr>
        <w:t>Gradle KTS, ktlint, JUnit 5 + MockK, Spring Boot 3.3 conventions, coroutines for async.</w:t>
      </w:r>
    </w:p>
    <w:p>
      <w:r>
        <w:rPr>
          <w:b/>
          <w:color w:val="00B4D8"/>
          <w:sz w:val="21"/>
        </w:rPr>
        <w:t xml:space="preserve">TypeScript (frontend): </w:t>
      </w:r>
      <w:r>
        <w:rPr>
          <w:color w:val="48566A"/>
          <w:sz w:val="21"/>
        </w:rPr>
        <w:t>ESLint + Prettier, Vitest for unit tests, Playwright for E2E, React 19 + Next.js 15 app router.</w:t>
      </w:r>
    </w:p>
    <w:p>
      <w:r>
        <w:rPr>
          <w:b/>
          <w:color w:val="00B4D8"/>
          <w:sz w:val="21"/>
        </w:rPr>
        <w:t xml:space="preserve">Contract changes: </w:t>
      </w:r>
      <w:r>
        <w:rPr>
          <w:color w:val="48566A"/>
          <w:sz w:val="21"/>
        </w:rPr>
        <w:t>Edit contracts/ JSON Schema / OpenAPI, bump version if breaking, run npm test in contracts/ (gates every PR).</w:t>
      </w:r>
    </w:p>
    <w:p>
      <w:r>
        <w:rPr>
          <w:b/>
          <w:color w:val="00B4D8"/>
          <w:sz w:val="21"/>
        </w:rPr>
        <w:t xml:space="preserve">Migrations: </w:t>
      </w:r>
      <w:r>
        <w:rPr>
          <w:color w:val="48566A"/>
          <w:sz w:val="21"/>
        </w:rPr>
        <w:t>Add Atlas migration file, run via --profile migrate, never touch existing migration files.</w:t>
      </w:r>
    </w:p>
    <w:p>
      <w:r>
        <w:br w:type="page"/>
      </w:r>
    </w:p>
    <w:p>
      <w:pPr>
        <w:pStyle w:val="Heading1"/>
        <w:spacing w:before="280" w:after="120"/>
      </w:pPr>
      <w:r>
        <w:rPr>
          <w:color w:val="0D1B2A"/>
          <w:sz w:val="44"/>
        </w:rPr>
        <w:t>9. API Design &amp; Contract Governance</w:t>
      </w:r>
    </w:p>
    <w:p>
      <w:pPr>
        <w:spacing w:after="120"/>
      </w:pPr>
      <w:r>
        <w:rPr>
          <w:color w:val="48566A"/>
          <w:sz w:val="21"/>
        </w:rPr>
        <w:t>CypherX AI is built contract-first. All 21 cross-service contracts are published and gated in CI before any service implements them. Contracts are immutable: additive, optional fields can be added without a version bump; breaking changes require a new /v2 endpoint alongside /v1. The contracts/ repository is the single source of truth.</w:t>
      </w:r>
    </w:p>
    <w:p>
      <w:pPr>
        <w:pStyle w:val="Heading2"/>
        <w:spacing w:before="160" w:after="120"/>
      </w:pPr>
      <w:r>
        <w:rPr>
          <w:color w:val="00B4D8"/>
          <w:sz w:val="32"/>
        </w:rPr>
        <w:t>The 21 Contracts</w:t>
      </w:r>
    </w:p>
    <w:tbl>
      <w:tblPr>
        <w:tblStyle w:val="TableGrid"/>
        <w:tblW w:type="auto" w:w="0"/>
        <w:jc w:val="center"/>
        <w:tblLook w:firstColumn="1" w:firstRow="1" w:lastColumn="0" w:lastRow="0" w:noHBand="0" w:noVBand="1" w:val="04A0"/>
      </w:tblPr>
      <w:tblGrid>
        <w:gridCol w:w="3024"/>
        <w:gridCol w:w="3024"/>
        <w:gridCol w:w="3024"/>
      </w:tblGrid>
      <w:tr>
        <w:tc>
          <w:tcPr>
            <w:tcW w:type="dxa" w:w="720"/>
            <w:shd w:val="clear" w:color="auto" w:fill="0D1B2A"/>
          </w:tcPr>
          <w:p>
            <w:pPr>
              <w:jc w:val="center"/>
            </w:pPr>
            <w:r>
              <w:rPr>
                <w:b/>
                <w:color w:val="FFFFFF"/>
                <w:sz w:val="19"/>
              </w:rPr>
              <w:t>Contract</w:t>
            </w:r>
          </w:p>
        </w:tc>
        <w:tc>
          <w:tcPr>
            <w:tcW w:type="dxa" w:w="2160"/>
            <w:shd w:val="clear" w:color="auto" w:fill="0D1B2A"/>
          </w:tcPr>
          <w:p>
            <w:pPr>
              <w:jc w:val="center"/>
            </w:pPr>
            <w:r>
              <w:rPr>
                <w:b/>
                <w:color w:val="FFFFFF"/>
                <w:sz w:val="19"/>
              </w:rPr>
              <w:t>Name</w:t>
            </w:r>
          </w:p>
        </w:tc>
        <w:tc>
          <w:tcPr>
            <w:tcW w:type="dxa" w:w="6480"/>
            <w:shd w:val="clear" w:color="auto" w:fill="0D1B2A"/>
          </w:tcPr>
          <w:p>
            <w:pPr>
              <w:jc w:val="center"/>
            </w:pPr>
            <w:r>
              <w:rPr>
                <w:b/>
                <w:color w:val="FFFFFF"/>
                <w:sz w:val="19"/>
              </w:rPr>
              <w:t>Description</w:t>
            </w:r>
          </w:p>
        </w:tc>
      </w:tr>
      <w:tr>
        <w:tc>
          <w:tcPr>
            <w:tcW w:type="dxa" w:w="720"/>
            <w:shd w:val="clear" w:color="auto" w:fill="F4F7FA"/>
          </w:tcPr>
          <w:p>
            <w:r>
              <w:rPr>
                <w:color w:val="48566A"/>
                <w:sz w:val="18"/>
              </w:rPr>
              <w:t>1</w:t>
            </w:r>
          </w:p>
        </w:tc>
        <w:tc>
          <w:tcPr>
            <w:tcW w:type="dxa" w:w="2160"/>
            <w:shd w:val="clear" w:color="auto" w:fill="F4F7FA"/>
          </w:tcPr>
          <w:p>
            <w:r>
              <w:rPr>
                <w:color w:val="48566A"/>
                <w:sz w:val="18"/>
              </w:rPr>
              <w:t>Agent JWT</w:t>
            </w:r>
          </w:p>
        </w:tc>
        <w:tc>
          <w:tcPr>
            <w:tcW w:type="dxa" w:w="6480"/>
            <w:shd w:val="clear" w:color="auto" w:fill="F4F7FA"/>
          </w:tcPr>
          <w:p>
            <w:r>
              <w:rPr>
                <w:color w:val="48566A"/>
                <w:sz w:val="18"/>
              </w:rPr>
              <w:t>RS256 JWT claims: iss, aud, sub (agent_id), tenant_id, scopes, jti, exp</w:t>
            </w:r>
          </w:p>
        </w:tc>
      </w:tr>
      <w:tr>
        <w:tc>
          <w:tcPr>
            <w:tcW w:type="dxa" w:w="720"/>
            <w:shd w:val="clear" w:color="auto" w:fill="FFFFFF"/>
          </w:tcPr>
          <w:p>
            <w:r>
              <w:rPr>
                <w:color w:val="48566A"/>
                <w:sz w:val="18"/>
              </w:rPr>
              <w:t>2</w:t>
            </w:r>
          </w:p>
        </w:tc>
        <w:tc>
          <w:tcPr>
            <w:tcW w:type="dxa" w:w="2160"/>
            <w:shd w:val="clear" w:color="auto" w:fill="FFFFFF"/>
          </w:tcPr>
          <w:p>
            <w:r>
              <w:rPr>
                <w:color w:val="48566A"/>
                <w:sz w:val="18"/>
              </w:rPr>
              <w:t>Error Envelope</w:t>
            </w:r>
          </w:p>
        </w:tc>
        <w:tc>
          <w:tcPr>
            <w:tcW w:type="dxa" w:w="6480"/>
            <w:shd w:val="clear" w:color="auto" w:fill="FFFFFF"/>
          </w:tcPr>
          <w:p>
            <w:r>
              <w:rPr>
                <w:color w:val="48566A"/>
                <w:sz w:val="18"/>
              </w:rPr>
              <w:t>{ "error": { "code", "message", "details" } } — universal error format</w:t>
            </w:r>
          </w:p>
        </w:tc>
      </w:tr>
      <w:tr>
        <w:tc>
          <w:tcPr>
            <w:tcW w:type="dxa" w:w="720"/>
            <w:shd w:val="clear" w:color="auto" w:fill="F4F7FA"/>
          </w:tcPr>
          <w:p>
            <w:r>
              <w:rPr>
                <w:color w:val="48566A"/>
                <w:sz w:val="18"/>
              </w:rPr>
              <w:t>3</w:t>
            </w:r>
          </w:p>
        </w:tc>
        <w:tc>
          <w:tcPr>
            <w:tcW w:type="dxa" w:w="2160"/>
            <w:shd w:val="clear" w:color="auto" w:fill="F4F7FA"/>
          </w:tcPr>
          <w:p>
            <w:r>
              <w:rPr>
                <w:color w:val="48566A"/>
                <w:sz w:val="18"/>
              </w:rPr>
              <w:t>A2A Task</w:t>
            </w:r>
          </w:p>
        </w:tc>
        <w:tc>
          <w:tcPr>
            <w:tcW w:type="dxa" w:w="6480"/>
            <w:shd w:val="clear" w:color="auto" w:fill="F4F7FA"/>
          </w:tcPr>
          <w:p>
            <w:r>
              <w:rPr>
                <w:color w:val="48566A"/>
                <w:sz w:val="18"/>
              </w:rPr>
              <w:t>Agent-to-Agent task request/response — input_text, metadata, response, status</w:t>
            </w:r>
          </w:p>
        </w:tc>
      </w:tr>
      <w:tr>
        <w:tc>
          <w:tcPr>
            <w:tcW w:type="dxa" w:w="720"/>
            <w:shd w:val="clear" w:color="auto" w:fill="FFFFFF"/>
          </w:tcPr>
          <w:p>
            <w:r>
              <w:rPr>
                <w:color w:val="48566A"/>
                <w:sz w:val="18"/>
              </w:rPr>
              <w:t>4</w:t>
            </w:r>
          </w:p>
        </w:tc>
        <w:tc>
          <w:tcPr>
            <w:tcW w:type="dxa" w:w="2160"/>
            <w:shd w:val="clear" w:color="auto" w:fill="FFFFFF"/>
          </w:tcPr>
          <w:p>
            <w:r>
              <w:rPr>
                <w:color w:val="48566A"/>
                <w:sz w:val="18"/>
              </w:rPr>
              <w:t>MCP Manifest</w:t>
            </w:r>
          </w:p>
        </w:tc>
        <w:tc>
          <w:tcPr>
            <w:tcW w:type="dxa" w:w="6480"/>
            <w:shd w:val="clear" w:color="auto" w:fill="FFFFFF"/>
          </w:tcPr>
          <w:p>
            <w:r>
              <w:rPr>
                <w:color w:val="48566A"/>
                <w:sz w:val="18"/>
              </w:rPr>
              <w:t>Tool manifest schema: name, version, description, inputSchema, outputSchema</w:t>
            </w:r>
          </w:p>
        </w:tc>
      </w:tr>
      <w:tr>
        <w:tc>
          <w:tcPr>
            <w:tcW w:type="dxa" w:w="720"/>
            <w:shd w:val="clear" w:color="auto" w:fill="F4F7FA"/>
          </w:tcPr>
          <w:p>
            <w:r>
              <w:rPr>
                <w:color w:val="48566A"/>
                <w:sz w:val="18"/>
              </w:rPr>
              <w:t>5</w:t>
            </w:r>
          </w:p>
        </w:tc>
        <w:tc>
          <w:tcPr>
            <w:tcW w:type="dxa" w:w="2160"/>
            <w:shd w:val="clear" w:color="auto" w:fill="F4F7FA"/>
          </w:tcPr>
          <w:p>
            <w:r>
              <w:rPr>
                <w:color w:val="48566A"/>
                <w:sz w:val="18"/>
              </w:rPr>
              <w:t>Kafka Envelope</w:t>
            </w:r>
          </w:p>
        </w:tc>
        <w:tc>
          <w:tcPr>
            <w:tcW w:type="dxa" w:w="6480"/>
            <w:shd w:val="clear" w:color="auto" w:fill="F4F7FA"/>
          </w:tcPr>
          <w:p>
            <w:r>
              <w:rPr>
                <w:color w:val="48566A"/>
                <w:sz w:val="18"/>
              </w:rPr>
              <w:t>CloudEvents 1.0 superset with traceparent field</w:t>
            </w:r>
          </w:p>
        </w:tc>
      </w:tr>
      <w:tr>
        <w:tc>
          <w:tcPr>
            <w:tcW w:type="dxa" w:w="720"/>
            <w:shd w:val="clear" w:color="auto" w:fill="FFFFFF"/>
          </w:tcPr>
          <w:p>
            <w:r>
              <w:rPr>
                <w:color w:val="48566A"/>
                <w:sz w:val="18"/>
              </w:rPr>
              <w:t>6</w:t>
            </w:r>
          </w:p>
        </w:tc>
        <w:tc>
          <w:tcPr>
            <w:tcW w:type="dxa" w:w="2160"/>
            <w:shd w:val="clear" w:color="auto" w:fill="FFFFFF"/>
          </w:tcPr>
          <w:p>
            <w:r>
              <w:rPr>
                <w:color w:val="48566A"/>
                <w:sz w:val="18"/>
              </w:rPr>
              <w:t>Log Format</w:t>
            </w:r>
          </w:p>
        </w:tc>
        <w:tc>
          <w:tcPr>
            <w:tcW w:type="dxa" w:w="6480"/>
            <w:shd w:val="clear" w:color="auto" w:fill="FFFFFF"/>
          </w:tcPr>
          <w:p>
            <w:r>
              <w:rPr>
                <w:color w:val="48566A"/>
                <w:sz w:val="18"/>
              </w:rPr>
              <w:t>Structured JSON log: timestamp, service, level, trace_id, tenant_id, message</w:t>
            </w:r>
          </w:p>
        </w:tc>
      </w:tr>
      <w:tr>
        <w:tc>
          <w:tcPr>
            <w:tcW w:type="dxa" w:w="720"/>
            <w:shd w:val="clear" w:color="auto" w:fill="F4F7FA"/>
          </w:tcPr>
          <w:p>
            <w:r>
              <w:rPr>
                <w:color w:val="48566A"/>
                <w:sz w:val="18"/>
              </w:rPr>
              <w:t>7</w:t>
            </w:r>
          </w:p>
        </w:tc>
        <w:tc>
          <w:tcPr>
            <w:tcW w:type="dxa" w:w="2160"/>
            <w:shd w:val="clear" w:color="auto" w:fill="F4F7FA"/>
          </w:tcPr>
          <w:p>
            <w:r>
              <w:rPr>
                <w:color w:val="48566A"/>
                <w:sz w:val="18"/>
              </w:rPr>
              <w:t>Health Probes</w:t>
            </w:r>
          </w:p>
        </w:tc>
        <w:tc>
          <w:tcPr>
            <w:tcW w:type="dxa" w:w="6480"/>
            <w:shd w:val="clear" w:color="auto" w:fill="F4F7FA"/>
          </w:tcPr>
          <w:p>
            <w:r>
              <w:rPr>
                <w:color w:val="48566A"/>
                <w:sz w:val="18"/>
              </w:rPr>
              <w:t>/livez (process-only), /readyz (downstream-aware), /metrics (Prometheus port 9090)</w:t>
            </w:r>
          </w:p>
        </w:tc>
      </w:tr>
      <w:tr>
        <w:tc>
          <w:tcPr>
            <w:tcW w:type="dxa" w:w="720"/>
            <w:shd w:val="clear" w:color="auto" w:fill="FFFFFF"/>
          </w:tcPr>
          <w:p>
            <w:r>
              <w:rPr>
                <w:color w:val="48566A"/>
                <w:sz w:val="18"/>
              </w:rPr>
              <w:t>8</w:t>
            </w:r>
          </w:p>
        </w:tc>
        <w:tc>
          <w:tcPr>
            <w:tcW w:type="dxa" w:w="2160"/>
            <w:shd w:val="clear" w:color="auto" w:fill="FFFFFF"/>
          </w:tcPr>
          <w:p>
            <w:r>
              <w:rPr>
                <w:color w:val="48566A"/>
                <w:sz w:val="18"/>
              </w:rPr>
              <w:t>Trace Context</w:t>
            </w:r>
          </w:p>
        </w:tc>
        <w:tc>
          <w:tcPr>
            <w:tcW w:type="dxa" w:w="6480"/>
            <w:shd w:val="clear" w:color="auto" w:fill="FFFFFF"/>
          </w:tcPr>
          <w:p>
            <w:r>
              <w:rPr>
                <w:color w:val="48566A"/>
                <w:sz w:val="18"/>
              </w:rPr>
              <w:t>W3C traceparent propagated through HTTP headers and Kafka events</w:t>
            </w:r>
          </w:p>
        </w:tc>
      </w:tr>
      <w:tr>
        <w:tc>
          <w:tcPr>
            <w:tcW w:type="dxa" w:w="720"/>
            <w:shd w:val="clear" w:color="auto" w:fill="F4F7FA"/>
          </w:tcPr>
          <w:p>
            <w:r>
              <w:rPr>
                <w:color w:val="48566A"/>
                <w:sz w:val="18"/>
              </w:rPr>
              <w:t>9</w:t>
            </w:r>
          </w:p>
        </w:tc>
        <w:tc>
          <w:tcPr>
            <w:tcW w:type="dxa" w:w="2160"/>
            <w:shd w:val="clear" w:color="auto" w:fill="F4F7FA"/>
          </w:tcPr>
          <w:p>
            <w:r>
              <w:rPr>
                <w:color w:val="48566A"/>
                <w:sz w:val="18"/>
              </w:rPr>
              <w:t>Idempotency</w:t>
            </w:r>
          </w:p>
        </w:tc>
        <w:tc>
          <w:tcPr>
            <w:tcW w:type="dxa" w:w="6480"/>
            <w:shd w:val="clear" w:color="auto" w:fill="F4F7FA"/>
          </w:tcPr>
          <w:p>
            <w:r>
              <w:rPr>
                <w:color w:val="48566A"/>
                <w:sz w:val="18"/>
              </w:rPr>
              <w:t>Idempotency-Key header; 24h Valkey cache; duplicate → 200 with cached response</w:t>
            </w:r>
          </w:p>
        </w:tc>
      </w:tr>
      <w:tr>
        <w:tc>
          <w:tcPr>
            <w:tcW w:type="dxa" w:w="720"/>
            <w:shd w:val="clear" w:color="auto" w:fill="FFFFFF"/>
          </w:tcPr>
          <w:p>
            <w:r>
              <w:rPr>
                <w:color w:val="48566A"/>
                <w:sz w:val="18"/>
              </w:rPr>
              <w:t>10</w:t>
            </w:r>
          </w:p>
        </w:tc>
        <w:tc>
          <w:tcPr>
            <w:tcW w:type="dxa" w:w="2160"/>
            <w:shd w:val="clear" w:color="auto" w:fill="FFFFFF"/>
          </w:tcPr>
          <w:p>
            <w:r>
              <w:rPr>
                <w:color w:val="48566A"/>
                <w:sz w:val="18"/>
              </w:rPr>
              <w:t>Guardrail Decision</w:t>
            </w:r>
          </w:p>
        </w:tc>
        <w:tc>
          <w:tcPr>
            <w:tcW w:type="dxa" w:w="6480"/>
            <w:shd w:val="clear" w:color="auto" w:fill="FFFFFF"/>
          </w:tcPr>
          <w:p>
            <w:r>
              <w:rPr>
                <w:color w:val="48566A"/>
                <w:sz w:val="18"/>
              </w:rPr>
              <w:t>Input/output check: decision (allow/warn/redact/block), violations array, redacted_text</w:t>
            </w:r>
          </w:p>
        </w:tc>
      </w:tr>
      <w:tr>
        <w:tc>
          <w:tcPr>
            <w:tcW w:type="dxa" w:w="720"/>
            <w:shd w:val="clear" w:color="auto" w:fill="F4F7FA"/>
          </w:tcPr>
          <w:p>
            <w:r>
              <w:rPr>
                <w:color w:val="48566A"/>
                <w:sz w:val="18"/>
              </w:rPr>
              <w:t>11</w:t>
            </w:r>
          </w:p>
        </w:tc>
        <w:tc>
          <w:tcPr>
            <w:tcW w:type="dxa" w:w="2160"/>
            <w:shd w:val="clear" w:color="auto" w:fill="F4F7FA"/>
          </w:tcPr>
          <w:p>
            <w:r>
              <w:rPr>
                <w:color w:val="48566A"/>
                <w:sz w:val="18"/>
              </w:rPr>
              <w:t>Skill Manifest</w:t>
            </w:r>
          </w:p>
        </w:tc>
        <w:tc>
          <w:tcPr>
            <w:tcW w:type="dxa" w:w="6480"/>
            <w:shd w:val="clear" w:color="auto" w:fill="F4F7FA"/>
          </w:tcPr>
          <w:p>
            <w:r>
              <w:rPr>
                <w:color w:val="48566A"/>
                <w:sz w:val="18"/>
              </w:rPr>
              <w:t>Declarative YAML skill definition (Phase 8, not yet built)</w:t>
            </w:r>
          </w:p>
        </w:tc>
      </w:tr>
      <w:tr>
        <w:tc>
          <w:tcPr>
            <w:tcW w:type="dxa" w:w="720"/>
            <w:shd w:val="clear" w:color="auto" w:fill="FFFFFF"/>
          </w:tcPr>
          <w:p>
            <w:r>
              <w:rPr>
                <w:color w:val="48566A"/>
                <w:sz w:val="18"/>
              </w:rPr>
              <w:t>12</w:t>
            </w:r>
          </w:p>
        </w:tc>
        <w:tc>
          <w:tcPr>
            <w:tcW w:type="dxa" w:w="2160"/>
            <w:shd w:val="clear" w:color="auto" w:fill="FFFFFF"/>
          </w:tcPr>
          <w:p>
            <w:r>
              <w:rPr>
                <w:color w:val="48566A"/>
                <w:sz w:val="18"/>
              </w:rPr>
              <w:t>Service Token</w:t>
            </w:r>
          </w:p>
        </w:tc>
        <w:tc>
          <w:tcPr>
            <w:tcW w:type="dxa" w:w="6480"/>
            <w:shd w:val="clear" w:color="auto" w:fill="FFFFFF"/>
          </w:tcPr>
          <w:p>
            <w:r>
              <w:rPr>
                <w:color w:val="48566A"/>
                <w:sz w:val="18"/>
              </w:rPr>
              <w:t>Service-to-service JWT: svc_id, scopes, exp — minted by auth-service</w:t>
            </w:r>
          </w:p>
        </w:tc>
      </w:tr>
      <w:tr>
        <w:tc>
          <w:tcPr>
            <w:tcW w:type="dxa" w:w="720"/>
            <w:shd w:val="clear" w:color="auto" w:fill="F4F7FA"/>
          </w:tcPr>
          <w:p>
            <w:r>
              <w:rPr>
                <w:color w:val="48566A"/>
                <w:sz w:val="18"/>
              </w:rPr>
              <w:t>13</w:t>
            </w:r>
          </w:p>
        </w:tc>
        <w:tc>
          <w:tcPr>
            <w:tcW w:type="dxa" w:w="2160"/>
            <w:shd w:val="clear" w:color="auto" w:fill="F4F7FA"/>
          </w:tcPr>
          <w:p>
            <w:r>
              <w:rPr>
                <w:color w:val="48566A"/>
                <w:sz w:val="18"/>
              </w:rPr>
              <w:t>Tenant RLS</w:t>
            </w:r>
          </w:p>
        </w:tc>
        <w:tc>
          <w:tcPr>
            <w:tcW w:type="dxa" w:w="6480"/>
            <w:shd w:val="clear" w:color="auto" w:fill="F4F7FA"/>
          </w:tcPr>
          <w:p>
            <w:r>
              <w:rPr>
                <w:color w:val="48566A"/>
                <w:sz w:val="18"/>
              </w:rPr>
              <w:t>SET LOCAL app.tenant_id per transaction; POOLED endpoint only</w:t>
            </w:r>
          </w:p>
        </w:tc>
      </w:tr>
      <w:tr>
        <w:tc>
          <w:tcPr>
            <w:tcW w:type="dxa" w:w="720"/>
            <w:shd w:val="clear" w:color="auto" w:fill="FFFFFF"/>
          </w:tcPr>
          <w:p>
            <w:r>
              <w:rPr>
                <w:color w:val="48566A"/>
                <w:sz w:val="18"/>
              </w:rPr>
              <w:t>14</w:t>
            </w:r>
          </w:p>
        </w:tc>
        <w:tc>
          <w:tcPr>
            <w:tcW w:type="dxa" w:w="2160"/>
            <w:shd w:val="clear" w:color="auto" w:fill="FFFFFF"/>
          </w:tcPr>
          <w:p>
            <w:r>
              <w:rPr>
                <w:color w:val="48566A"/>
                <w:sz w:val="18"/>
              </w:rPr>
              <w:t>Atlas Migration</w:t>
            </w:r>
          </w:p>
        </w:tc>
        <w:tc>
          <w:tcPr>
            <w:tcW w:type="dxa" w:w="6480"/>
            <w:shd w:val="clear" w:color="auto" w:fill="FFFFFF"/>
          </w:tcPr>
          <w:p>
            <w:r>
              <w:rPr>
                <w:color w:val="48566A"/>
                <w:sz w:val="18"/>
              </w:rPr>
              <w:t>Migration file naming and role conventions</w:t>
            </w:r>
          </w:p>
        </w:tc>
      </w:tr>
      <w:tr>
        <w:tc>
          <w:tcPr>
            <w:tcW w:type="dxa" w:w="720"/>
            <w:shd w:val="clear" w:color="auto" w:fill="F4F7FA"/>
          </w:tcPr>
          <w:p>
            <w:r>
              <w:rPr>
                <w:color w:val="48566A"/>
                <w:sz w:val="18"/>
              </w:rPr>
              <w:t>15</w:t>
            </w:r>
          </w:p>
        </w:tc>
        <w:tc>
          <w:tcPr>
            <w:tcW w:type="dxa" w:w="2160"/>
            <w:shd w:val="clear" w:color="auto" w:fill="F4F7FA"/>
          </w:tcPr>
          <w:p>
            <w:r>
              <w:rPr>
                <w:color w:val="48566A"/>
                <w:sz w:val="18"/>
              </w:rPr>
              <w:t>Smoke Tests</w:t>
            </w:r>
          </w:p>
        </w:tc>
        <w:tc>
          <w:tcPr>
            <w:tcW w:type="dxa" w:w="6480"/>
            <w:shd w:val="clear" w:color="auto" w:fill="F4F7FA"/>
          </w:tcPr>
          <w:p>
            <w:r>
              <w:rPr>
                <w:color w:val="48566A"/>
                <w:sz w:val="18"/>
              </w:rPr>
              <w:t>15 test cases defining first-cycle sign-off criteria</w:t>
            </w:r>
          </w:p>
        </w:tc>
      </w:tr>
      <w:tr>
        <w:tc>
          <w:tcPr>
            <w:tcW w:type="dxa" w:w="720"/>
            <w:shd w:val="clear" w:color="auto" w:fill="FFFFFF"/>
          </w:tcPr>
          <w:p>
            <w:r>
              <w:rPr>
                <w:color w:val="48566A"/>
                <w:sz w:val="18"/>
              </w:rPr>
              <w:t>16</w:t>
            </w:r>
          </w:p>
        </w:tc>
        <w:tc>
          <w:tcPr>
            <w:tcW w:type="dxa" w:w="2160"/>
            <w:shd w:val="clear" w:color="auto" w:fill="FFFFFF"/>
          </w:tcPr>
          <w:p>
            <w:r>
              <w:rPr>
                <w:color w:val="48566A"/>
                <w:sz w:val="18"/>
              </w:rPr>
              <w:t>LLM Request</w:t>
            </w:r>
          </w:p>
        </w:tc>
        <w:tc>
          <w:tcPr>
            <w:tcW w:type="dxa" w:w="6480"/>
            <w:shd w:val="clear" w:color="auto" w:fill="FFFFFF"/>
          </w:tcPr>
          <w:p>
            <w:r>
              <w:rPr>
                <w:color w:val="48566A"/>
                <w:sz w:val="18"/>
              </w:rPr>
              <w:t>OpenAI-superset chat completion request normalised to any provider</w:t>
            </w:r>
          </w:p>
        </w:tc>
      </w:tr>
      <w:tr>
        <w:tc>
          <w:tcPr>
            <w:tcW w:type="dxa" w:w="720"/>
            <w:shd w:val="clear" w:color="auto" w:fill="F4F7FA"/>
          </w:tcPr>
          <w:p>
            <w:r>
              <w:rPr>
                <w:color w:val="48566A"/>
                <w:sz w:val="18"/>
              </w:rPr>
              <w:t>17</w:t>
            </w:r>
          </w:p>
        </w:tc>
        <w:tc>
          <w:tcPr>
            <w:tcW w:type="dxa" w:w="2160"/>
            <w:shd w:val="clear" w:color="auto" w:fill="F4F7FA"/>
          </w:tcPr>
          <w:p>
            <w:r>
              <w:rPr>
                <w:color w:val="48566A"/>
                <w:sz w:val="18"/>
              </w:rPr>
              <w:t>LLM Response</w:t>
            </w:r>
          </w:p>
        </w:tc>
        <w:tc>
          <w:tcPr>
            <w:tcW w:type="dxa" w:w="6480"/>
            <w:shd w:val="clear" w:color="auto" w:fill="F4F7FA"/>
          </w:tcPr>
          <w:p>
            <w:r>
              <w:rPr>
                <w:color w:val="48566A"/>
                <w:sz w:val="18"/>
              </w:rPr>
              <w:t>Normalised chat completion response with usage + cost fields</w:t>
            </w:r>
          </w:p>
        </w:tc>
      </w:tr>
      <w:tr>
        <w:tc>
          <w:tcPr>
            <w:tcW w:type="dxa" w:w="720"/>
            <w:shd w:val="clear" w:color="auto" w:fill="FFFFFF"/>
          </w:tcPr>
          <w:p>
            <w:r>
              <w:rPr>
                <w:color w:val="48566A"/>
                <w:sz w:val="18"/>
              </w:rPr>
              <w:t>18</w:t>
            </w:r>
          </w:p>
        </w:tc>
        <w:tc>
          <w:tcPr>
            <w:tcW w:type="dxa" w:w="2160"/>
            <w:shd w:val="clear" w:color="auto" w:fill="FFFFFF"/>
          </w:tcPr>
          <w:p>
            <w:r>
              <w:rPr>
                <w:color w:val="48566A"/>
                <w:sz w:val="18"/>
              </w:rPr>
              <w:t>Embedding Request/Response</w:t>
            </w:r>
          </w:p>
        </w:tc>
        <w:tc>
          <w:tcPr>
            <w:tcW w:type="dxa" w:w="6480"/>
            <w:shd w:val="clear" w:color="auto" w:fill="FFFFFF"/>
          </w:tcPr>
          <w:p>
            <w:r>
              <w:rPr>
                <w:color w:val="48566A"/>
                <w:sz w:val="18"/>
              </w:rPr>
              <w:t>POST /v1/embeddings — model, input → vectors, usage</w:t>
            </w:r>
          </w:p>
        </w:tc>
      </w:tr>
      <w:tr>
        <w:tc>
          <w:tcPr>
            <w:tcW w:type="dxa" w:w="720"/>
            <w:shd w:val="clear" w:color="auto" w:fill="F4F7FA"/>
          </w:tcPr>
          <w:p>
            <w:r>
              <w:rPr>
                <w:color w:val="48566A"/>
                <w:sz w:val="18"/>
              </w:rPr>
              <w:t>19</w:t>
            </w:r>
          </w:p>
        </w:tc>
        <w:tc>
          <w:tcPr>
            <w:tcW w:type="dxa" w:w="2160"/>
            <w:shd w:val="clear" w:color="auto" w:fill="F4F7FA"/>
          </w:tcPr>
          <w:p>
            <w:r>
              <w:rPr>
                <w:color w:val="48566A"/>
                <w:sz w:val="18"/>
              </w:rPr>
              <w:t>RAG Retrieval</w:t>
            </w:r>
          </w:p>
        </w:tc>
        <w:tc>
          <w:tcPr>
            <w:tcW w:type="dxa" w:w="6480"/>
            <w:shd w:val="clear" w:color="auto" w:fill="F4F7FA"/>
          </w:tcPr>
          <w:p>
            <w:r>
              <w:rPr>
                <w:color w:val="48566A"/>
                <w:sz w:val="18"/>
              </w:rPr>
              <w:t>POST /v1/kbs/{id}/query → chunks with scores, metadata</w:t>
            </w:r>
          </w:p>
        </w:tc>
      </w:tr>
      <w:tr>
        <w:tc>
          <w:tcPr>
            <w:tcW w:type="dxa" w:w="720"/>
            <w:shd w:val="clear" w:color="auto" w:fill="FFFFFF"/>
          </w:tcPr>
          <w:p>
            <w:r>
              <w:rPr>
                <w:color w:val="48566A"/>
                <w:sz w:val="18"/>
              </w:rPr>
              <w:t>20</w:t>
            </w:r>
          </w:p>
        </w:tc>
        <w:tc>
          <w:tcPr>
            <w:tcW w:type="dxa" w:w="2160"/>
            <w:shd w:val="clear" w:color="auto" w:fill="FFFFFF"/>
          </w:tcPr>
          <w:p>
            <w:r>
              <w:rPr>
                <w:color w:val="48566A"/>
                <w:sz w:val="18"/>
              </w:rPr>
              <w:t>Onboarding / Signup</w:t>
            </w:r>
          </w:p>
        </w:tc>
        <w:tc>
          <w:tcPr>
            <w:tcW w:type="dxa" w:w="6480"/>
            <w:shd w:val="clear" w:color="auto" w:fill="FFFFFF"/>
          </w:tcPr>
          <w:p>
            <w:r>
              <w:rPr>
                <w:color w:val="48566A"/>
                <w:sz w:val="18"/>
              </w:rPr>
              <w:t>Tenant self-registration: POST /v1/signup, POST /v1/verify</w:t>
            </w:r>
          </w:p>
        </w:tc>
      </w:tr>
      <w:tr>
        <w:tc>
          <w:tcPr>
            <w:tcW w:type="dxa" w:w="720"/>
            <w:shd w:val="clear" w:color="auto" w:fill="F4F7FA"/>
          </w:tcPr>
          <w:p>
            <w:r>
              <w:rPr>
                <w:color w:val="48566A"/>
                <w:sz w:val="18"/>
              </w:rPr>
              <w:t>21</w:t>
            </w:r>
          </w:p>
        </w:tc>
        <w:tc>
          <w:tcPr>
            <w:tcW w:type="dxa" w:w="2160"/>
            <w:shd w:val="clear" w:color="auto" w:fill="F4F7FA"/>
          </w:tcPr>
          <w:p>
            <w:r>
              <w:rPr>
                <w:color w:val="48566A"/>
                <w:sz w:val="18"/>
              </w:rPr>
              <w:t>Reserved Headers</w:t>
            </w:r>
          </w:p>
        </w:tc>
        <w:tc>
          <w:tcPr>
            <w:tcW w:type="dxa" w:w="6480"/>
            <w:shd w:val="clear" w:color="auto" w:fill="F4F7FA"/>
          </w:tcPr>
          <w:p>
            <w:r>
              <w:rPr>
                <w:color w:val="48566A"/>
                <w:sz w:val="18"/>
              </w:rPr>
              <w:t>Reserved HTTP header names + reserved metadata keys (anti-spoof guards)</w:t>
            </w:r>
          </w:p>
        </w:tc>
      </w:tr>
    </w:tbl>
    <w:p/>
    <w:p>
      <w:pPr>
        <w:pStyle w:val="Heading2"/>
        <w:spacing w:before="160" w:after="120"/>
      </w:pPr>
      <w:r>
        <w:rPr>
          <w:color w:val="00B4D8"/>
          <w:sz w:val="32"/>
        </w:rPr>
        <w:t>API Standards</w:t>
      </w:r>
    </w:p>
    <w:p>
      <w:pPr>
        <w:pStyle w:val="ListBullet"/>
        <w:spacing w:after="60"/>
        <w:ind w:left="432"/>
      </w:pPr>
      <w:r>
        <w:rPr>
          <w:color w:val="48566A"/>
          <w:sz w:val="20"/>
        </w:rPr>
        <w:t>REST/JSON over HTTPS; all endpoints versioned at /v1/ (or /v2/ for breaking changes).</w:t>
      </w:r>
    </w:p>
    <w:p>
      <w:pPr>
        <w:pStyle w:val="ListBullet"/>
        <w:spacing w:after="60"/>
        <w:ind w:left="432"/>
      </w:pPr>
      <w:r>
        <w:rPr>
          <w:color w:val="48566A"/>
          <w:sz w:val="20"/>
        </w:rPr>
        <w:t>Every endpoint requires authentication (Bearer agent JWT or service JWT). No public unauthenticated endpoints except JWKS and health probes.</w:t>
      </w:r>
    </w:p>
    <w:p>
      <w:pPr>
        <w:pStyle w:val="ListBullet"/>
        <w:spacing w:after="60"/>
        <w:ind w:left="432"/>
      </w:pPr>
      <w:r>
        <w:rPr>
          <w:color w:val="48566A"/>
          <w:sz w:val="20"/>
        </w:rPr>
        <w:t>Contract 2 error envelope on all 4xx/5xx responses.</w:t>
      </w:r>
    </w:p>
    <w:p>
      <w:pPr>
        <w:pStyle w:val="ListBullet"/>
        <w:spacing w:after="60"/>
        <w:ind w:left="432"/>
      </w:pPr>
      <w:r>
        <w:rPr>
          <w:color w:val="48566A"/>
          <w:sz w:val="20"/>
        </w:rPr>
        <w:t>Contract 8 W3C traceparent header required on all inbound requests; propagated to all downstream calls.</w:t>
      </w:r>
    </w:p>
    <w:p>
      <w:pPr>
        <w:pStyle w:val="ListBullet"/>
        <w:spacing w:after="60"/>
        <w:ind w:left="432"/>
      </w:pPr>
      <w:r>
        <w:rPr>
          <w:color w:val="48566A"/>
          <w:sz w:val="20"/>
        </w:rPr>
        <w:t>Contract 9 Idempotency-Key header supported on all mutating operations.</w:t>
      </w:r>
    </w:p>
    <w:p>
      <w:pPr>
        <w:pStyle w:val="ListBullet"/>
        <w:spacing w:after="60"/>
        <w:ind w:left="432"/>
      </w:pPr>
      <w:r>
        <w:rPr>
          <w:color w:val="48566A"/>
          <w:sz w:val="20"/>
        </w:rPr>
        <w:t>Pagination: cursor-based (next_cursor, limit) on all list endpoints.</w:t>
      </w:r>
    </w:p>
    <w:p>
      <w:pPr>
        <w:pStyle w:val="ListBullet"/>
        <w:spacing w:after="60"/>
        <w:ind w:left="432"/>
      </w:pPr>
      <w:r>
        <w:rPr>
          <w:color w:val="48566A"/>
          <w:sz w:val="20"/>
        </w:rPr>
        <w:t>additionalProperties: true on all request/response schemas — forward compatibility guaranteed.</w:t>
      </w:r>
    </w:p>
    <w:p>
      <w:r>
        <w:br w:type="page"/>
      </w:r>
    </w:p>
    <w:p>
      <w:pPr>
        <w:pStyle w:val="Heading1"/>
        <w:spacing w:before="280" w:after="120"/>
      </w:pPr>
      <w:r>
        <w:rPr>
          <w:color w:val="0D1B2A"/>
          <w:sz w:val="44"/>
        </w:rPr>
        <w:t>10. Observability &amp; SLO Framework</w:t>
      </w:r>
    </w:p>
    <w:p>
      <w:pPr>
        <w:spacing w:after="120"/>
      </w:pPr>
      <w:r>
        <w:rPr>
          <w:color w:val="48566A"/>
          <w:sz w:val="21"/>
        </w:rPr>
        <w:t>Every service in the platform emits structured JSON logs (Contract 6), Prometheus metrics (Contract 7), and W3C traceparent distributed traces (Contract 8). The observability stack (OTLP → Tempo → Grafana for traces; Loki for logs; Prometheus for metrics) is included in the compose stack under --profile observability.</w:t>
      </w:r>
    </w:p>
    <w:p>
      <w:pPr>
        <w:pStyle w:val="Heading2"/>
        <w:spacing w:before="160" w:after="120"/>
      </w:pPr>
      <w:r>
        <w:rPr>
          <w:color w:val="00B4D8"/>
          <w:sz w:val="32"/>
        </w:rPr>
        <w:t>The Three Pillars</w:t>
      </w:r>
    </w:p>
    <w:p>
      <w:pPr>
        <w:pStyle w:val="Heading3"/>
        <w:spacing w:before="160" w:after="120"/>
      </w:pPr>
      <w:r>
        <w:rPr>
          <w:color w:val="00B4D8"/>
          <w:sz w:val="26"/>
        </w:rPr>
        <w:t>Distributed Tracing</w:t>
      </w:r>
    </w:p>
    <w:p>
      <w:pPr>
        <w:spacing w:after="120"/>
      </w:pPr>
      <w:r>
        <w:rPr>
          <w:color w:val="48566A"/>
          <w:sz w:val="21"/>
        </w:rPr>
        <w:t>W3C traceparent propagated through every HTTP header and Kafka event envelope. OpenTelemetry auto-instrumentation. Tempo backend. A single trace_id follows a request from browser → BFF → xagent → guardrails → llms → response.</w:t>
      </w:r>
    </w:p>
    <w:p>
      <w:pPr>
        <w:pStyle w:val="Heading3"/>
        <w:spacing w:before="160" w:after="120"/>
      </w:pPr>
      <w:r>
        <w:rPr>
          <w:color w:val="00B4D8"/>
          <w:sz w:val="26"/>
        </w:rPr>
        <w:t>Structured Logging</w:t>
      </w:r>
    </w:p>
    <w:p>
      <w:pPr>
        <w:spacing w:after="120"/>
      </w:pPr>
      <w:r>
        <w:rPr>
          <w:color w:val="48566A"/>
          <w:sz w:val="21"/>
        </w:rPr>
        <w:t>Contract 6 mandates: timestamp (ISO 8601), service, level, trace_id, tenant_id, message, plus optional request_id, user_agent, duration_ms. Loki aggregates. Grafana queries. No free-text logs in production.</w:t>
      </w:r>
    </w:p>
    <w:p>
      <w:pPr>
        <w:pStyle w:val="Heading3"/>
        <w:spacing w:before="160" w:after="120"/>
      </w:pPr>
      <w:r>
        <w:rPr>
          <w:color w:val="00B4D8"/>
          <w:sz w:val="26"/>
        </w:rPr>
        <w:t>Metrics (Prometheus)</w:t>
      </w:r>
    </w:p>
    <w:p>
      <w:pPr>
        <w:spacing w:after="120"/>
      </w:pPr>
      <w:r>
        <w:rPr>
          <w:color w:val="48566A"/>
          <w:sz w:val="21"/>
        </w:rPr>
        <w:t>Every service exposes /metrics on port 9090 (fixed const in Helm chart schema). Standard metrics: http_requests_total, http_request_duration_seconds, db_pool_connections. Service-specific: llms_tokens_total{provider,model}, guardrails_violations_total{severity}, xagent_task_stage_duration_seconds{stage}.</w:t>
      </w:r>
    </w:p>
    <w:p>
      <w:pPr>
        <w:pStyle w:val="Heading2"/>
        <w:spacing w:before="160" w:after="120"/>
      </w:pPr>
      <w:r>
        <w:rPr>
          <w:color w:val="00B4D8"/>
          <w:sz w:val="32"/>
        </w:rPr>
        <w:t>Service-Level Objectives (SLOs)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0D1B2A"/>
          </w:tcPr>
          <w:p>
            <w:pPr>
              <w:jc w:val="center"/>
            </w:pPr>
            <w:r>
              <w:rPr>
                <w:b/>
                <w:color w:val="FFFFFF"/>
                <w:sz w:val="19"/>
              </w:rPr>
              <w:t>Service</w:t>
            </w:r>
          </w:p>
        </w:tc>
        <w:tc>
          <w:tcPr>
            <w:tcW w:type="dxa" w:w="2592"/>
            <w:shd w:val="clear" w:color="auto" w:fill="0D1B2A"/>
          </w:tcPr>
          <w:p>
            <w:pPr>
              <w:jc w:val="center"/>
            </w:pPr>
            <w:r>
              <w:rPr>
                <w:b/>
                <w:color w:val="FFFFFF"/>
                <w:sz w:val="19"/>
              </w:rPr>
              <w:t>SLO</w:t>
            </w:r>
          </w:p>
        </w:tc>
        <w:tc>
          <w:tcPr>
            <w:tcW w:type="dxa" w:w="1728"/>
            <w:shd w:val="clear" w:color="auto" w:fill="0D1B2A"/>
          </w:tcPr>
          <w:p>
            <w:pPr>
              <w:jc w:val="center"/>
            </w:pPr>
            <w:r>
              <w:rPr>
                <w:b/>
                <w:color w:val="FFFFFF"/>
                <w:sz w:val="19"/>
              </w:rPr>
              <w:t>Target</w:t>
            </w:r>
          </w:p>
        </w:tc>
        <w:tc>
          <w:tcPr>
            <w:tcW w:type="dxa" w:w="2880"/>
            <w:shd w:val="clear" w:color="auto" w:fill="0D1B2A"/>
          </w:tcPr>
          <w:p>
            <w:pPr>
              <w:jc w:val="center"/>
            </w:pPr>
            <w:r>
              <w:rPr>
                <w:b/>
                <w:color w:val="FFFFFF"/>
                <w:sz w:val="19"/>
              </w:rPr>
              <w:t>Alert Threshold</w:t>
            </w:r>
          </w:p>
        </w:tc>
      </w:tr>
      <w:tr>
        <w:tc>
          <w:tcPr>
            <w:tcW w:type="dxa" w:w="2160"/>
            <w:shd w:val="clear" w:color="auto" w:fill="F4F7FA"/>
          </w:tcPr>
          <w:p>
            <w:r>
              <w:rPr>
                <w:color w:val="48566A"/>
                <w:sz w:val="18"/>
              </w:rPr>
              <w:t>xagent</w:t>
            </w:r>
          </w:p>
        </w:tc>
        <w:tc>
          <w:tcPr>
            <w:tcW w:type="dxa" w:w="2592"/>
            <w:shd w:val="clear" w:color="auto" w:fill="F4F7FA"/>
          </w:tcPr>
          <w:p>
            <w:r>
              <w:rPr>
                <w:color w:val="48566A"/>
                <w:sz w:val="18"/>
              </w:rPr>
              <w:t>Task completion rate</w:t>
            </w:r>
          </w:p>
        </w:tc>
        <w:tc>
          <w:tcPr>
            <w:tcW w:type="dxa" w:w="1728"/>
            <w:shd w:val="clear" w:color="auto" w:fill="F4F7FA"/>
          </w:tcPr>
          <w:p>
            <w:r>
              <w:rPr>
                <w:color w:val="48566A"/>
                <w:sz w:val="18"/>
              </w:rPr>
              <w:t>≥ 99.5%</w:t>
            </w:r>
          </w:p>
        </w:tc>
        <w:tc>
          <w:tcPr>
            <w:tcW w:type="dxa" w:w="2880"/>
            <w:shd w:val="clear" w:color="auto" w:fill="F4F7FA"/>
          </w:tcPr>
          <w:p>
            <w:r>
              <w:rPr>
                <w:color w:val="48566A"/>
                <w:sz w:val="18"/>
              </w:rPr>
              <w:t>&lt; 99.0% over 5 min</w:t>
            </w:r>
          </w:p>
        </w:tc>
      </w:tr>
      <w:tr>
        <w:tc>
          <w:tcPr>
            <w:tcW w:type="dxa" w:w="2160"/>
            <w:shd w:val="clear" w:color="auto" w:fill="FFFFFF"/>
          </w:tcPr>
          <w:p>
            <w:r>
              <w:rPr>
                <w:color w:val="48566A"/>
                <w:sz w:val="18"/>
              </w:rPr>
              <w:t>xagent</w:t>
            </w:r>
          </w:p>
        </w:tc>
        <w:tc>
          <w:tcPr>
            <w:tcW w:type="dxa" w:w="2592"/>
            <w:shd w:val="clear" w:color="auto" w:fill="FFFFFF"/>
          </w:tcPr>
          <w:p>
            <w:r>
              <w:rPr>
                <w:color w:val="48566A"/>
                <w:sz w:val="18"/>
              </w:rPr>
              <w:t>P95 task latency</w:t>
            </w:r>
          </w:p>
        </w:tc>
        <w:tc>
          <w:tcPr>
            <w:tcW w:type="dxa" w:w="1728"/>
            <w:shd w:val="clear" w:color="auto" w:fill="FFFFFF"/>
          </w:tcPr>
          <w:p>
            <w:r>
              <w:rPr>
                <w:color w:val="48566A"/>
                <w:sz w:val="18"/>
              </w:rPr>
              <w:t>≤ 5 s</w:t>
            </w:r>
          </w:p>
        </w:tc>
        <w:tc>
          <w:tcPr>
            <w:tcW w:type="dxa" w:w="2880"/>
            <w:shd w:val="clear" w:color="auto" w:fill="FFFFFF"/>
          </w:tcPr>
          <w:p>
            <w:r>
              <w:rPr>
                <w:color w:val="48566A"/>
                <w:sz w:val="18"/>
              </w:rPr>
              <w:t>&gt; 8 s over 5 min</w:t>
            </w:r>
          </w:p>
        </w:tc>
      </w:tr>
      <w:tr>
        <w:tc>
          <w:tcPr>
            <w:tcW w:type="dxa" w:w="2160"/>
            <w:shd w:val="clear" w:color="auto" w:fill="F4F7FA"/>
          </w:tcPr>
          <w:p>
            <w:r>
              <w:rPr>
                <w:color w:val="48566A"/>
                <w:sz w:val="18"/>
              </w:rPr>
              <w:t>llms-gateway</w:t>
            </w:r>
          </w:p>
        </w:tc>
        <w:tc>
          <w:tcPr>
            <w:tcW w:type="dxa" w:w="2592"/>
            <w:shd w:val="clear" w:color="auto" w:fill="F4F7FA"/>
          </w:tcPr>
          <w:p>
            <w:r>
              <w:rPr>
                <w:color w:val="48566A"/>
                <w:sz w:val="18"/>
              </w:rPr>
              <w:t>Provider error rate</w:t>
            </w:r>
          </w:p>
        </w:tc>
        <w:tc>
          <w:tcPr>
            <w:tcW w:type="dxa" w:w="1728"/>
            <w:shd w:val="clear" w:color="auto" w:fill="F4F7FA"/>
          </w:tcPr>
          <w:p>
            <w:r>
              <w:rPr>
                <w:color w:val="48566A"/>
                <w:sz w:val="18"/>
              </w:rPr>
              <w:t>&lt; 1%</w:t>
            </w:r>
          </w:p>
        </w:tc>
        <w:tc>
          <w:tcPr>
            <w:tcW w:type="dxa" w:w="2880"/>
            <w:shd w:val="clear" w:color="auto" w:fill="F4F7FA"/>
          </w:tcPr>
          <w:p>
            <w:r>
              <w:rPr>
                <w:color w:val="48566A"/>
                <w:sz w:val="18"/>
              </w:rPr>
              <w:t>&gt; 2% over 5 min</w:t>
            </w:r>
          </w:p>
        </w:tc>
      </w:tr>
      <w:tr>
        <w:tc>
          <w:tcPr>
            <w:tcW w:type="dxa" w:w="2160"/>
            <w:shd w:val="clear" w:color="auto" w:fill="FFFFFF"/>
          </w:tcPr>
          <w:p>
            <w:r>
              <w:rPr>
                <w:color w:val="48566A"/>
                <w:sz w:val="18"/>
              </w:rPr>
              <w:t>llms-gateway</w:t>
            </w:r>
          </w:p>
        </w:tc>
        <w:tc>
          <w:tcPr>
            <w:tcW w:type="dxa" w:w="2592"/>
            <w:shd w:val="clear" w:color="auto" w:fill="FFFFFF"/>
          </w:tcPr>
          <w:p>
            <w:r>
              <w:rPr>
                <w:color w:val="48566A"/>
                <w:sz w:val="18"/>
              </w:rPr>
              <w:t>P95 completion latency</w:t>
            </w:r>
          </w:p>
        </w:tc>
        <w:tc>
          <w:tcPr>
            <w:tcW w:type="dxa" w:w="1728"/>
            <w:shd w:val="clear" w:color="auto" w:fill="FFFFFF"/>
          </w:tcPr>
          <w:p>
            <w:r>
              <w:rPr>
                <w:color w:val="48566A"/>
                <w:sz w:val="18"/>
              </w:rPr>
              <w:t>≤ 3 s</w:t>
            </w:r>
          </w:p>
        </w:tc>
        <w:tc>
          <w:tcPr>
            <w:tcW w:type="dxa" w:w="2880"/>
            <w:shd w:val="clear" w:color="auto" w:fill="FFFFFF"/>
          </w:tcPr>
          <w:p>
            <w:r>
              <w:rPr>
                <w:color w:val="48566A"/>
                <w:sz w:val="18"/>
              </w:rPr>
              <w:t>&gt; 5 s over 5 min</w:t>
            </w:r>
          </w:p>
        </w:tc>
      </w:tr>
      <w:tr>
        <w:tc>
          <w:tcPr>
            <w:tcW w:type="dxa" w:w="2160"/>
            <w:shd w:val="clear" w:color="auto" w:fill="F4F7FA"/>
          </w:tcPr>
          <w:p>
            <w:r>
              <w:rPr>
                <w:color w:val="48566A"/>
                <w:sz w:val="18"/>
              </w:rPr>
              <w:t>auth-service</w:t>
            </w:r>
          </w:p>
        </w:tc>
        <w:tc>
          <w:tcPr>
            <w:tcW w:type="dxa" w:w="2592"/>
            <w:shd w:val="clear" w:color="auto" w:fill="F4F7FA"/>
          </w:tcPr>
          <w:p>
            <w:r>
              <w:rPr>
                <w:color w:val="48566A"/>
                <w:sz w:val="18"/>
              </w:rPr>
              <w:t>JWT mint error rate</w:t>
            </w:r>
          </w:p>
        </w:tc>
        <w:tc>
          <w:tcPr>
            <w:tcW w:type="dxa" w:w="1728"/>
            <w:shd w:val="clear" w:color="auto" w:fill="F4F7FA"/>
          </w:tcPr>
          <w:p>
            <w:r>
              <w:rPr>
                <w:color w:val="48566A"/>
                <w:sz w:val="18"/>
              </w:rPr>
              <w:t>&lt; 0.1%</w:t>
            </w:r>
          </w:p>
        </w:tc>
        <w:tc>
          <w:tcPr>
            <w:tcW w:type="dxa" w:w="2880"/>
            <w:shd w:val="clear" w:color="auto" w:fill="F4F7FA"/>
          </w:tcPr>
          <w:p>
            <w:r>
              <w:rPr>
                <w:color w:val="48566A"/>
                <w:sz w:val="18"/>
              </w:rPr>
              <w:t>&gt; 0.5% over 5 min</w:t>
            </w:r>
          </w:p>
        </w:tc>
      </w:tr>
      <w:tr>
        <w:tc>
          <w:tcPr>
            <w:tcW w:type="dxa" w:w="2160"/>
            <w:shd w:val="clear" w:color="auto" w:fill="FFFFFF"/>
          </w:tcPr>
          <w:p>
            <w:r>
              <w:rPr>
                <w:color w:val="48566A"/>
                <w:sz w:val="18"/>
              </w:rPr>
              <w:t>auth-service</w:t>
            </w:r>
          </w:p>
        </w:tc>
        <w:tc>
          <w:tcPr>
            <w:tcW w:type="dxa" w:w="2592"/>
            <w:shd w:val="clear" w:color="auto" w:fill="FFFFFF"/>
          </w:tcPr>
          <w:p>
            <w:r>
              <w:rPr>
                <w:color w:val="48566A"/>
                <w:sz w:val="18"/>
              </w:rPr>
              <w:t>P99 JWT mint latency</w:t>
            </w:r>
          </w:p>
        </w:tc>
        <w:tc>
          <w:tcPr>
            <w:tcW w:type="dxa" w:w="1728"/>
            <w:shd w:val="clear" w:color="auto" w:fill="FFFFFF"/>
          </w:tcPr>
          <w:p>
            <w:r>
              <w:rPr>
                <w:color w:val="48566A"/>
                <w:sz w:val="18"/>
              </w:rPr>
              <w:t>≤ 200 ms</w:t>
            </w:r>
          </w:p>
        </w:tc>
        <w:tc>
          <w:tcPr>
            <w:tcW w:type="dxa" w:w="2880"/>
            <w:shd w:val="clear" w:color="auto" w:fill="FFFFFF"/>
          </w:tcPr>
          <w:p>
            <w:r>
              <w:rPr>
                <w:color w:val="48566A"/>
                <w:sz w:val="18"/>
              </w:rPr>
              <w:t>&gt; 500 ms over 5 min</w:t>
            </w:r>
          </w:p>
        </w:tc>
      </w:tr>
      <w:tr>
        <w:tc>
          <w:tcPr>
            <w:tcW w:type="dxa" w:w="2160"/>
            <w:shd w:val="clear" w:color="auto" w:fill="F4F7FA"/>
          </w:tcPr>
          <w:p>
            <w:r>
              <w:rPr>
                <w:color w:val="48566A"/>
                <w:sz w:val="18"/>
              </w:rPr>
              <w:t>guardrails</w:t>
            </w:r>
          </w:p>
        </w:tc>
        <w:tc>
          <w:tcPr>
            <w:tcW w:type="dxa" w:w="2592"/>
            <w:shd w:val="clear" w:color="auto" w:fill="F4F7FA"/>
          </w:tcPr>
          <w:p>
            <w:r>
              <w:rPr>
                <w:color w:val="48566A"/>
                <w:sz w:val="18"/>
              </w:rPr>
              <w:t>P95 check latency</w:t>
            </w:r>
          </w:p>
        </w:tc>
        <w:tc>
          <w:tcPr>
            <w:tcW w:type="dxa" w:w="1728"/>
            <w:shd w:val="clear" w:color="auto" w:fill="F4F7FA"/>
          </w:tcPr>
          <w:p>
            <w:r>
              <w:rPr>
                <w:color w:val="48566A"/>
                <w:sz w:val="18"/>
              </w:rPr>
              <w:t>≤ 100 ms</w:t>
            </w:r>
          </w:p>
        </w:tc>
        <w:tc>
          <w:tcPr>
            <w:tcW w:type="dxa" w:w="2880"/>
            <w:shd w:val="clear" w:color="auto" w:fill="F4F7FA"/>
          </w:tcPr>
          <w:p>
            <w:r>
              <w:rPr>
                <w:color w:val="48566A"/>
                <w:sz w:val="18"/>
              </w:rPr>
              <w:t>&gt; 200 ms over 5 min</w:t>
            </w:r>
          </w:p>
        </w:tc>
      </w:tr>
      <w:tr>
        <w:tc>
          <w:tcPr>
            <w:tcW w:type="dxa" w:w="2160"/>
            <w:shd w:val="clear" w:color="auto" w:fill="FFFFFF"/>
          </w:tcPr>
          <w:p>
            <w:r>
              <w:rPr>
                <w:color w:val="48566A"/>
                <w:sz w:val="18"/>
              </w:rPr>
              <w:t>rag-service</w:t>
            </w:r>
          </w:p>
        </w:tc>
        <w:tc>
          <w:tcPr>
            <w:tcW w:type="dxa" w:w="2592"/>
            <w:shd w:val="clear" w:color="auto" w:fill="FFFFFF"/>
          </w:tcPr>
          <w:p>
            <w:r>
              <w:rPr>
                <w:color w:val="48566A"/>
                <w:sz w:val="18"/>
              </w:rPr>
              <w:t>Query P95 latency</w:t>
            </w:r>
          </w:p>
        </w:tc>
        <w:tc>
          <w:tcPr>
            <w:tcW w:type="dxa" w:w="1728"/>
            <w:shd w:val="clear" w:color="auto" w:fill="FFFFFF"/>
          </w:tcPr>
          <w:p>
            <w:r>
              <w:rPr>
                <w:color w:val="48566A"/>
                <w:sz w:val="18"/>
              </w:rPr>
              <w:t>≤ 500 ms</w:t>
            </w:r>
          </w:p>
        </w:tc>
        <w:tc>
          <w:tcPr>
            <w:tcW w:type="dxa" w:w="2880"/>
            <w:shd w:val="clear" w:color="auto" w:fill="FFFFFF"/>
          </w:tcPr>
          <w:p>
            <w:r>
              <w:rPr>
                <w:color w:val="48566A"/>
                <w:sz w:val="18"/>
              </w:rPr>
              <w:t>&gt; 1 s over 5 min</w:t>
            </w:r>
          </w:p>
        </w:tc>
      </w:tr>
    </w:tbl>
    <w:p/>
    <w:p>
      <w:r>
        <w:br w:type="page"/>
      </w:r>
    </w:p>
    <w:p>
      <w:pPr>
        <w:pStyle w:val="Heading1"/>
        <w:spacing w:before="280" w:after="120"/>
      </w:pPr>
      <w:r>
        <w:rPr>
          <w:color w:val="0D1B2A"/>
          <w:sz w:val="44"/>
        </w:rPr>
        <w:t>11. Deployment Strategy (Local → Cloud)</w:t>
      </w:r>
    </w:p>
    <w:p>
      <w:pPr>
        <w:jc w:val="center"/>
      </w:pPr>
      <w:r>
        <w:drawing>
          <wp:inline xmlns:a="http://schemas.openxmlformats.org/drawingml/2006/main" xmlns:pic="http://schemas.openxmlformats.org/drawingml/2006/picture">
            <wp:extent cx="5852160" cy="2673545"/>
            <wp:docPr id="8" name="Picture 8"/>
            <wp:cNvGraphicFramePr>
              <a:graphicFrameLocks noChangeAspect="1"/>
            </wp:cNvGraphicFramePr>
            <a:graphic>
              <a:graphicData uri="http://schemas.openxmlformats.org/drawingml/2006/picture">
                <pic:pic>
                  <pic:nvPicPr>
                    <pic:cNvPr id="0" name="07_deployment.png"/>
                    <pic:cNvPicPr/>
                  </pic:nvPicPr>
                  <pic:blipFill>
                    <a:blip r:embed="rId14"/>
                    <a:stretch>
                      <a:fillRect/>
                    </a:stretch>
                  </pic:blipFill>
                  <pic:spPr>
                    <a:xfrm>
                      <a:off x="0" y="0"/>
                      <a:ext cx="5852160" cy="2673545"/>
                    </a:xfrm>
                    <a:prstGeom prst="rect"/>
                  </pic:spPr>
                </pic:pic>
              </a:graphicData>
            </a:graphic>
          </wp:inline>
        </w:drawing>
      </w:r>
    </w:p>
    <w:p>
      <w:pPr>
        <w:spacing w:after="200"/>
        <w:jc w:val="center"/>
      </w:pPr>
      <w:r>
        <w:rPr>
          <w:i/>
          <w:color w:val="48566A"/>
          <w:sz w:val="18"/>
        </w:rPr>
        <w:t>Figure 11.1 — Local Compose (left) vs Cloud EKS (right) Deployment</w:t>
      </w:r>
    </w:p>
    <w:p>
      <w:pPr>
        <w:pStyle w:val="Heading2"/>
        <w:spacing w:before="160" w:after="120"/>
      </w:pPr>
      <w:r>
        <w:rPr>
          <w:color w:val="00B4D8"/>
          <w:sz w:val="32"/>
        </w:rPr>
        <w:t>Local Development Stack</w:t>
      </w:r>
    </w:p>
    <w:p>
      <w:pPr>
        <w:spacing w:after="120"/>
      </w:pPr>
      <w:r>
        <w:rPr>
          <w:color w:val="48566A"/>
          <w:sz w:val="21"/>
        </w:rPr>
        <w:t>Docker Compose v2 (infra/compose/docker-compose.yml). Single entrypoint: Caddy edge on host :8000. Neon Postgres is external; all other infrastructure (Redpanda, Valkey, MinIO) runs as containers. Doppler CLI syncs secrets into .env (not committed). Full stack starts with docker compose up -d --build.</w:t>
      </w:r>
    </w:p>
    <w:p>
      <w:pPr>
        <w:pStyle w:val="Heading2"/>
        <w:spacing w:before="160" w:after="120"/>
      </w:pPr>
      <w:r>
        <w:rPr>
          <w:color w:val="00B4D8"/>
          <w:sz w:val="32"/>
        </w:rPr>
        <w:t>Cloud (AWS EKS) Topology</w:t>
      </w:r>
    </w:p>
    <w:p>
      <w:pPr>
        <w:pStyle w:val="ListBullet"/>
        <w:spacing w:after="60"/>
        <w:ind w:left="432"/>
      </w:pPr>
      <w:r>
        <w:rPr>
          <w:color w:val="48566A"/>
          <w:sz w:val="20"/>
        </w:rPr>
        <w:t>Route 53 → ALB (TLS termination, WAF) → Kong API Gateway (JWT validation, rate limiting, routing) → Istio mTLS mesh → service pods.</w:t>
      </w:r>
    </w:p>
    <w:p>
      <w:pPr>
        <w:pStyle w:val="ListBullet"/>
        <w:spacing w:after="60"/>
        <w:ind w:left="432"/>
      </w:pPr>
      <w:r>
        <w:rPr>
          <w:color w:val="48566A"/>
          <w:sz w:val="20"/>
        </w:rPr>
        <w:t>Namespaces: shared-core (auth, llms, guardrails, rag, memory), xagent, tools, frontend, observability.</w:t>
      </w:r>
    </w:p>
    <w:p>
      <w:pPr>
        <w:pStyle w:val="ListBullet"/>
        <w:spacing w:after="60"/>
        <w:ind w:left="432"/>
      </w:pPr>
      <w:r>
        <w:rPr>
          <w:color w:val="48566A"/>
          <w:sz w:val="20"/>
        </w:rPr>
        <w:t>Node groups: c6i.xlarge for core services, c6i.2xlarge for xAgent, t3.large for tools/frontend, r6i.xlarge for observability.</w:t>
      </w:r>
    </w:p>
    <w:p>
      <w:pPr>
        <w:pStyle w:val="ListBullet"/>
        <w:spacing w:after="60"/>
        <w:ind w:left="432"/>
      </w:pPr>
      <w:r>
        <w:rPr>
          <w:color w:val="48566A"/>
          <w:sz w:val="20"/>
        </w:rPr>
        <w:t>PgBouncer (connection pool, transaction mode) in front of RDS PostgreSQL Multi-AZ. Read replica in us-west-2 for DR.</w:t>
      </w:r>
    </w:p>
    <w:p>
      <w:pPr>
        <w:pStyle w:val="ListBullet"/>
        <w:spacing w:after="60"/>
        <w:ind w:left="432"/>
      </w:pPr>
      <w:r>
        <w:rPr>
          <w:color w:val="48566A"/>
          <w:sz w:val="20"/>
        </w:rPr>
        <w:t>ElastiCache Valkey (cluster mode, 3 shards × 2 replicas). MSK Kafka (3 brokers, SASL_SSL). S3 with cross-region replication.</w:t>
      </w:r>
    </w:p>
    <w:p>
      <w:pPr>
        <w:pStyle w:val="ListBullet"/>
        <w:spacing w:after="60"/>
        <w:ind w:left="432"/>
      </w:pPr>
      <w:r>
        <w:rPr>
          <w:color w:val="48566A"/>
          <w:sz w:val="20"/>
        </w:rPr>
        <w:t>VPC endpoints for S3 (Gateway), ECR, KMS, Secrets Manager — no internet egress for data plane.</w:t>
      </w:r>
    </w:p>
    <w:p>
      <w:pPr>
        <w:pStyle w:val="ListBullet"/>
        <w:spacing w:after="60"/>
        <w:ind w:left="432"/>
      </w:pPr>
      <w:r>
        <w:rPr>
          <w:color w:val="48566A"/>
          <w:sz w:val="20"/>
        </w:rPr>
        <w:t>NAT Gateway for outbound HTTPS (LLM provider API calls only).</w:t>
      </w:r>
    </w:p>
    <w:p>
      <w:pPr>
        <w:pStyle w:val="Heading2"/>
        <w:spacing w:before="160" w:after="120"/>
      </w:pPr>
      <w:r>
        <w:rPr>
          <w:color w:val="00B4D8"/>
          <w:sz w:val="32"/>
        </w:rPr>
        <w:t>GitOps with ArgoCD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0D1B2A"/>
          </w:tcPr>
          <w:p>
            <w:pPr>
              <w:jc w:val="center"/>
            </w:pPr>
            <w:r>
              <w:rPr>
                <w:b/>
                <w:color w:val="FFFFFF"/>
                <w:sz w:val="19"/>
              </w:rPr>
              <w:t>Environment</w:t>
            </w:r>
          </w:p>
        </w:tc>
        <w:tc>
          <w:tcPr>
            <w:tcW w:type="dxa" w:w="2592"/>
            <w:shd w:val="clear" w:color="auto" w:fill="0D1B2A"/>
          </w:tcPr>
          <w:p>
            <w:pPr>
              <w:jc w:val="center"/>
            </w:pPr>
            <w:r>
              <w:rPr>
                <w:b/>
                <w:color w:val="FFFFFF"/>
                <w:sz w:val="19"/>
              </w:rPr>
              <w:t>Sync Policy</w:t>
            </w:r>
          </w:p>
        </w:tc>
        <w:tc>
          <w:tcPr>
            <w:tcW w:type="dxa" w:w="2592"/>
            <w:shd w:val="clear" w:color="auto" w:fill="0D1B2A"/>
          </w:tcPr>
          <w:p>
            <w:pPr>
              <w:jc w:val="center"/>
            </w:pPr>
            <w:r>
              <w:rPr>
                <w:b/>
                <w:color w:val="FFFFFF"/>
                <w:sz w:val="19"/>
              </w:rPr>
              <w:t>Image Tags</w:t>
            </w:r>
          </w:p>
        </w:tc>
        <w:tc>
          <w:tcPr>
            <w:tcW w:type="dxa" w:w="2592"/>
            <w:shd w:val="clear" w:color="auto" w:fill="0D1B2A"/>
          </w:tcPr>
          <w:p>
            <w:pPr>
              <w:jc w:val="center"/>
            </w:pPr>
            <w:r>
              <w:rPr>
                <w:b/>
                <w:color w:val="FFFFFF"/>
                <w:sz w:val="19"/>
              </w:rPr>
              <w:t>Approval</w:t>
            </w:r>
          </w:p>
        </w:tc>
      </w:tr>
      <w:tr>
        <w:tc>
          <w:tcPr>
            <w:tcW w:type="dxa" w:w="1728"/>
            <w:shd w:val="clear" w:color="auto" w:fill="F4F7FA"/>
          </w:tcPr>
          <w:p>
            <w:r>
              <w:rPr>
                <w:color w:val="48566A"/>
                <w:sz w:val="18"/>
              </w:rPr>
              <w:t>dev</w:t>
            </w:r>
          </w:p>
        </w:tc>
        <w:tc>
          <w:tcPr>
            <w:tcW w:type="dxa" w:w="2592"/>
            <w:shd w:val="clear" w:color="auto" w:fill="F4F7FA"/>
          </w:tcPr>
          <w:p>
            <w:r>
              <w:rPr>
                <w:color w:val="48566A"/>
                <w:sz w:val="18"/>
              </w:rPr>
              <w:t>Automated (self-heal)</w:t>
            </w:r>
          </w:p>
        </w:tc>
        <w:tc>
          <w:tcPr>
            <w:tcW w:type="dxa" w:w="2592"/>
            <w:shd w:val="clear" w:color="auto" w:fill="F4F7FA"/>
          </w:tcPr>
          <w:p>
            <w:r>
              <w:rPr>
                <w:color w:val="48566A"/>
                <w:sz w:val="18"/>
              </w:rPr>
              <w:t>sha-&lt;sha7&gt; immutable</w:t>
            </w:r>
          </w:p>
        </w:tc>
        <w:tc>
          <w:tcPr>
            <w:tcW w:type="dxa" w:w="2592"/>
            <w:shd w:val="clear" w:color="auto" w:fill="F4F7FA"/>
          </w:tcPr>
          <w:p>
            <w:r>
              <w:rPr>
                <w:color w:val="48566A"/>
                <w:sz w:val="18"/>
              </w:rPr>
              <w:t>Automated on PR merge</w:t>
            </w:r>
          </w:p>
        </w:tc>
      </w:tr>
      <w:tr>
        <w:tc>
          <w:tcPr>
            <w:tcW w:type="dxa" w:w="1728"/>
            <w:shd w:val="clear" w:color="auto" w:fill="FFFFFF"/>
          </w:tcPr>
          <w:p>
            <w:r>
              <w:rPr>
                <w:color w:val="48566A"/>
                <w:sz w:val="18"/>
              </w:rPr>
              <w:t>staging</w:t>
            </w:r>
          </w:p>
        </w:tc>
        <w:tc>
          <w:tcPr>
            <w:tcW w:type="dxa" w:w="2592"/>
            <w:shd w:val="clear" w:color="auto" w:fill="FFFFFF"/>
          </w:tcPr>
          <w:p>
            <w:r>
              <w:rPr>
                <w:color w:val="48566A"/>
                <w:sz w:val="18"/>
              </w:rPr>
              <w:t>Automated (self-heal)</w:t>
            </w:r>
          </w:p>
        </w:tc>
        <w:tc>
          <w:tcPr>
            <w:tcW w:type="dxa" w:w="2592"/>
            <w:shd w:val="clear" w:color="auto" w:fill="FFFFFF"/>
          </w:tcPr>
          <w:p>
            <w:r>
              <w:rPr>
                <w:color w:val="48566A"/>
                <w:sz w:val="18"/>
              </w:rPr>
              <w:t>sha-&lt;sha7&gt; immutable</w:t>
            </w:r>
          </w:p>
        </w:tc>
        <w:tc>
          <w:tcPr>
            <w:tcW w:type="dxa" w:w="2592"/>
            <w:shd w:val="clear" w:color="auto" w:fill="FFFFFF"/>
          </w:tcPr>
          <w:p>
            <w:r>
              <w:rPr>
                <w:color w:val="48566A"/>
                <w:sz w:val="18"/>
              </w:rPr>
              <w:t>Automated on PR merge</w:t>
            </w:r>
          </w:p>
        </w:tc>
      </w:tr>
      <w:tr>
        <w:tc>
          <w:tcPr>
            <w:tcW w:type="dxa" w:w="1728"/>
            <w:shd w:val="clear" w:color="auto" w:fill="F4F7FA"/>
          </w:tcPr>
          <w:p>
            <w:r>
              <w:rPr>
                <w:color w:val="48566A"/>
                <w:sz w:val="18"/>
              </w:rPr>
              <w:t>prod</w:t>
            </w:r>
          </w:p>
        </w:tc>
        <w:tc>
          <w:tcPr>
            <w:tcW w:type="dxa" w:w="2592"/>
            <w:shd w:val="clear" w:color="auto" w:fill="F4F7FA"/>
          </w:tcPr>
          <w:p>
            <w:r>
              <w:rPr>
                <w:color w:val="48566A"/>
                <w:sz w:val="18"/>
              </w:rPr>
              <w:t>MANUAL SYNC ONLY</w:t>
            </w:r>
          </w:p>
        </w:tc>
        <w:tc>
          <w:tcPr>
            <w:tcW w:type="dxa" w:w="2592"/>
            <w:shd w:val="clear" w:color="auto" w:fill="F4F7FA"/>
          </w:tcPr>
          <w:p>
            <w:r>
              <w:rPr>
                <w:color w:val="48566A"/>
                <w:sz w:val="18"/>
              </w:rPr>
              <w:t>sha-&lt;sha7&gt; immutable</w:t>
            </w:r>
          </w:p>
        </w:tc>
        <w:tc>
          <w:tcPr>
            <w:tcW w:type="dxa" w:w="2592"/>
            <w:shd w:val="clear" w:color="auto" w:fill="F4F7FA"/>
          </w:tcPr>
          <w:p>
            <w:r>
              <w:rPr>
                <w:color w:val="48566A"/>
                <w:sz w:val="18"/>
              </w:rPr>
              <w:t>Human approval required</w:t>
            </w:r>
          </w:p>
        </w:tc>
      </w:tr>
    </w:tbl>
    <w:p/>
    <w:p>
      <w:pPr>
        <w:spacing w:before="120" w:after="120"/>
        <w:ind w:left="576"/>
        <w:pBdr>
          <w:left w:val="single" w:sz="12" w:space="4" w:color="F59E0B"/>
        </w:pBdr>
      </w:pPr>
      <w:r>
        <w:rPr>
          <w:i/>
          <w:color w:val="48566A"/>
          <w:sz w:val="20"/>
        </w:rPr>
        <w:t>CRITICAL: prod-apps.yaml must NEVER have syncPolicy.automated. This is a deliberate safety gate — prod deploys require explicit human approval in the ArgoCD UI.</w:t>
      </w:r>
    </w:p>
    <w:p>
      <w:r>
        <w:br w:type="page"/>
      </w:r>
    </w:p>
    <w:p>
      <w:pPr>
        <w:pStyle w:val="Heading1"/>
        <w:spacing w:before="280" w:after="120"/>
      </w:pPr>
      <w:r>
        <w:rPr>
          <w:color w:val="0D1B2A"/>
          <w:sz w:val="44"/>
        </w:rPr>
        <w:t>12. Testing Strategy &amp; Quality Gates</w:t>
      </w:r>
    </w:p>
    <w:p>
      <w:pPr>
        <w:spacing w:after="120"/>
      </w:pPr>
      <w:r>
        <w:rPr>
          <w:color w:val="48566A"/>
          <w:sz w:val="21"/>
        </w:rPr>
        <w:t>CypherX AI uses a comprehensive test pyramid. The critical quality gate is Contract 15: 15 smoke-test cases that must all pass twice on a cold dev environment before any phase is considered complete.</w:t>
      </w:r>
    </w:p>
    <w:p>
      <w:pPr>
        <w:pStyle w:val="Heading2"/>
        <w:spacing w:before="160" w:after="120"/>
      </w:pPr>
      <w:r>
        <w:rPr>
          <w:color w:val="00B4D8"/>
          <w:sz w:val="32"/>
        </w:rPr>
        <w:t>Test Pyramid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0D1B2A"/>
          </w:tcPr>
          <w:p>
            <w:pPr>
              <w:jc w:val="center"/>
            </w:pPr>
            <w:r>
              <w:rPr>
                <w:b/>
                <w:color w:val="FFFFFF"/>
                <w:sz w:val="19"/>
              </w:rPr>
              <w:t>Level</w:t>
            </w:r>
          </w:p>
        </w:tc>
        <w:tc>
          <w:tcPr>
            <w:tcW w:type="dxa" w:w="2592"/>
            <w:shd w:val="clear" w:color="auto" w:fill="0D1B2A"/>
          </w:tcPr>
          <w:p>
            <w:pPr>
              <w:jc w:val="center"/>
            </w:pPr>
            <w:r>
              <w:rPr>
                <w:b/>
                <w:color w:val="FFFFFF"/>
                <w:sz w:val="19"/>
              </w:rPr>
              <w:t>Tools</w:t>
            </w:r>
          </w:p>
        </w:tc>
        <w:tc>
          <w:tcPr>
            <w:tcW w:type="dxa" w:w="3312"/>
            <w:shd w:val="clear" w:color="auto" w:fill="0D1B2A"/>
          </w:tcPr>
          <w:p>
            <w:pPr>
              <w:jc w:val="center"/>
            </w:pPr>
            <w:r>
              <w:rPr>
                <w:b/>
                <w:color w:val="FFFFFF"/>
                <w:sz w:val="19"/>
              </w:rPr>
              <w:t>Scope</w:t>
            </w:r>
          </w:p>
        </w:tc>
        <w:tc>
          <w:tcPr>
            <w:tcW w:type="dxa" w:w="1728"/>
            <w:shd w:val="clear" w:color="auto" w:fill="0D1B2A"/>
          </w:tcPr>
          <w:p>
            <w:pPr>
              <w:jc w:val="center"/>
            </w:pPr>
            <w:r>
              <w:rPr>
                <w:b/>
                <w:color w:val="FFFFFF"/>
                <w:sz w:val="19"/>
              </w:rPr>
              <w:t>When</w:t>
            </w:r>
          </w:p>
        </w:tc>
      </w:tr>
      <w:tr>
        <w:tc>
          <w:tcPr>
            <w:tcW w:type="dxa" w:w="1728"/>
            <w:shd w:val="clear" w:color="auto" w:fill="F4F7FA"/>
          </w:tcPr>
          <w:p>
            <w:r>
              <w:rPr>
                <w:color w:val="48566A"/>
                <w:sz w:val="18"/>
              </w:rPr>
              <w:t>Unit</w:t>
            </w:r>
          </w:p>
        </w:tc>
        <w:tc>
          <w:tcPr>
            <w:tcW w:type="dxa" w:w="2592"/>
            <w:shd w:val="clear" w:color="auto" w:fill="F4F7FA"/>
          </w:tcPr>
          <w:p>
            <w:r>
              <w:rPr>
                <w:color w:val="48566A"/>
                <w:sz w:val="18"/>
              </w:rPr>
              <w:t>pytest (Python) / JUnit 5 + MockK (Kotlin) / Vitest (TS)</w:t>
            </w:r>
          </w:p>
        </w:tc>
        <w:tc>
          <w:tcPr>
            <w:tcW w:type="dxa" w:w="3312"/>
            <w:shd w:val="clear" w:color="auto" w:fill="F4F7FA"/>
          </w:tcPr>
          <w:p>
            <w:r>
              <w:rPr>
                <w:color w:val="48566A"/>
                <w:sz w:val="18"/>
              </w:rPr>
              <w:t>Individual functions and classes; mock all I/O</w:t>
            </w:r>
          </w:p>
        </w:tc>
        <w:tc>
          <w:tcPr>
            <w:tcW w:type="dxa" w:w="1728"/>
            <w:shd w:val="clear" w:color="auto" w:fill="F4F7FA"/>
          </w:tcPr>
          <w:p>
            <w:r>
              <w:rPr>
                <w:color w:val="48566A"/>
                <w:sz w:val="18"/>
              </w:rPr>
              <w:t>Every commit (CI)</w:t>
            </w:r>
          </w:p>
        </w:tc>
      </w:tr>
      <w:tr>
        <w:tc>
          <w:tcPr>
            <w:tcW w:type="dxa" w:w="1728"/>
            <w:shd w:val="clear" w:color="auto" w:fill="FFFFFF"/>
          </w:tcPr>
          <w:p>
            <w:r>
              <w:rPr>
                <w:color w:val="48566A"/>
                <w:sz w:val="18"/>
              </w:rPr>
              <w:t>Integration</w:t>
            </w:r>
          </w:p>
        </w:tc>
        <w:tc>
          <w:tcPr>
            <w:tcW w:type="dxa" w:w="2592"/>
            <w:shd w:val="clear" w:color="auto" w:fill="FFFFFF"/>
          </w:tcPr>
          <w:p>
            <w:r>
              <w:rPr>
                <w:color w:val="48566A"/>
                <w:sz w:val="18"/>
              </w:rPr>
              <w:t>pytest + real Neon DB + Redpanda</w:t>
            </w:r>
          </w:p>
        </w:tc>
        <w:tc>
          <w:tcPr>
            <w:tcW w:type="dxa" w:w="3312"/>
            <w:shd w:val="clear" w:color="auto" w:fill="FFFFFF"/>
          </w:tcPr>
          <w:p>
            <w:r>
              <w:rPr>
                <w:color w:val="48566A"/>
                <w:sz w:val="18"/>
              </w:rPr>
              <w:t>Service internals with real DB and Kafka</w:t>
            </w:r>
          </w:p>
        </w:tc>
        <w:tc>
          <w:tcPr>
            <w:tcW w:type="dxa" w:w="1728"/>
            <w:shd w:val="clear" w:color="auto" w:fill="FFFFFF"/>
          </w:tcPr>
          <w:p>
            <w:r>
              <w:rPr>
                <w:color w:val="48566A"/>
                <w:sz w:val="18"/>
              </w:rPr>
              <w:t>Every PR (CI)</w:t>
            </w:r>
          </w:p>
        </w:tc>
      </w:tr>
      <w:tr>
        <w:tc>
          <w:tcPr>
            <w:tcW w:type="dxa" w:w="1728"/>
            <w:shd w:val="clear" w:color="auto" w:fill="F4F7FA"/>
          </w:tcPr>
          <w:p>
            <w:r>
              <w:rPr>
                <w:color w:val="48566A"/>
                <w:sz w:val="18"/>
              </w:rPr>
              <w:t>Contract</w:t>
            </w:r>
          </w:p>
        </w:tc>
        <w:tc>
          <w:tcPr>
            <w:tcW w:type="dxa" w:w="2592"/>
            <w:shd w:val="clear" w:color="auto" w:fill="F4F7FA"/>
          </w:tcPr>
          <w:p>
            <w:r>
              <w:rPr>
                <w:color w:val="48566A"/>
                <w:sz w:val="18"/>
              </w:rPr>
              <w:t>AJV validator in contracts/ (npm test)</w:t>
            </w:r>
          </w:p>
        </w:tc>
        <w:tc>
          <w:tcPr>
            <w:tcW w:type="dxa" w:w="3312"/>
            <w:shd w:val="clear" w:color="auto" w:fill="F4F7FA"/>
          </w:tcPr>
          <w:p>
            <w:r>
              <w:rPr>
                <w:color w:val="48566A"/>
                <w:sz w:val="18"/>
              </w:rPr>
              <w:t>All 21 contract schemas validated against live service responses</w:t>
            </w:r>
          </w:p>
        </w:tc>
        <w:tc>
          <w:tcPr>
            <w:tcW w:type="dxa" w:w="1728"/>
            <w:shd w:val="clear" w:color="auto" w:fill="F4F7FA"/>
          </w:tcPr>
          <w:p>
            <w:r>
              <w:rPr>
                <w:color w:val="48566A"/>
                <w:sz w:val="18"/>
              </w:rPr>
              <w:t>Every PR (gates merge)</w:t>
            </w:r>
          </w:p>
        </w:tc>
      </w:tr>
      <w:tr>
        <w:tc>
          <w:tcPr>
            <w:tcW w:type="dxa" w:w="1728"/>
            <w:shd w:val="clear" w:color="auto" w:fill="FFFFFF"/>
          </w:tcPr>
          <w:p>
            <w:r>
              <w:rPr>
                <w:color w:val="48566A"/>
                <w:sz w:val="18"/>
              </w:rPr>
              <w:t>Smoke (Contract 15)</w:t>
            </w:r>
          </w:p>
        </w:tc>
        <w:tc>
          <w:tcPr>
            <w:tcW w:type="dxa" w:w="2592"/>
            <w:shd w:val="clear" w:color="auto" w:fill="FFFFFF"/>
          </w:tcPr>
          <w:p>
            <w:r>
              <w:rPr>
                <w:color w:val="48566A"/>
                <w:sz w:val="18"/>
              </w:rPr>
              <w:t>Custom test runner in contracts/smoke-tests/</w:t>
            </w:r>
          </w:p>
        </w:tc>
        <w:tc>
          <w:tcPr>
            <w:tcW w:type="dxa" w:w="3312"/>
            <w:shd w:val="clear" w:color="auto" w:fill="FFFFFF"/>
          </w:tcPr>
          <w:p>
            <w:r>
              <w:rPr>
                <w:color w:val="48566A"/>
                <w:sz w:val="18"/>
              </w:rPr>
              <w:t>15 end-to-end cases: register → JWT → task → guardrails → LLM → response</w:t>
            </w:r>
          </w:p>
        </w:tc>
        <w:tc>
          <w:tcPr>
            <w:tcW w:type="dxa" w:w="1728"/>
            <w:shd w:val="clear" w:color="auto" w:fill="FFFFFF"/>
          </w:tcPr>
          <w:p>
            <w:r>
              <w:rPr>
                <w:color w:val="48566A"/>
                <w:sz w:val="18"/>
              </w:rPr>
              <w:t>Phase sign-off (must pass twice cold)</w:t>
            </w:r>
          </w:p>
        </w:tc>
      </w:tr>
      <w:tr>
        <w:tc>
          <w:tcPr>
            <w:tcW w:type="dxa" w:w="1728"/>
            <w:shd w:val="clear" w:color="auto" w:fill="F4F7FA"/>
          </w:tcPr>
          <w:p>
            <w:r>
              <w:rPr>
                <w:color w:val="48566A"/>
                <w:sz w:val="18"/>
              </w:rPr>
              <w:t>Load</w:t>
            </w:r>
          </w:p>
        </w:tc>
        <w:tc>
          <w:tcPr>
            <w:tcW w:type="dxa" w:w="2592"/>
            <w:shd w:val="clear" w:color="auto" w:fill="F4F7FA"/>
          </w:tcPr>
          <w:p>
            <w:r>
              <w:rPr>
                <w:color w:val="48566A"/>
                <w:sz w:val="18"/>
              </w:rPr>
              <w:t>k6 (task throughput) + Locust (guardrail SLO)</w:t>
            </w:r>
          </w:p>
        </w:tc>
        <w:tc>
          <w:tcPr>
            <w:tcW w:type="dxa" w:w="3312"/>
            <w:shd w:val="clear" w:color="auto" w:fill="F4F7FA"/>
          </w:tcPr>
          <w:p>
            <w:r>
              <w:rPr>
                <w:color w:val="48566A"/>
                <w:sz w:val="18"/>
              </w:rPr>
              <w:t>Throughput and P95 latency under sustained load</w:t>
            </w:r>
          </w:p>
        </w:tc>
        <w:tc>
          <w:tcPr>
            <w:tcW w:type="dxa" w:w="1728"/>
            <w:shd w:val="clear" w:color="auto" w:fill="F4F7FA"/>
          </w:tcPr>
          <w:p>
            <w:r>
              <w:rPr>
                <w:color w:val="48566A"/>
                <w:sz w:val="18"/>
              </w:rPr>
              <w:t>Pre-release</w:t>
            </w:r>
          </w:p>
        </w:tc>
      </w:tr>
      <w:tr>
        <w:tc>
          <w:tcPr>
            <w:tcW w:type="dxa" w:w="1728"/>
            <w:shd w:val="clear" w:color="auto" w:fill="FFFFFF"/>
          </w:tcPr>
          <w:p>
            <w:r>
              <w:rPr>
                <w:color w:val="48566A"/>
                <w:sz w:val="18"/>
              </w:rPr>
              <w:t>Security</w:t>
            </w:r>
          </w:p>
        </w:tc>
        <w:tc>
          <w:tcPr>
            <w:tcW w:type="dxa" w:w="2592"/>
            <w:shd w:val="clear" w:color="auto" w:fill="FFFFFF"/>
          </w:tcPr>
          <w:p>
            <w:r>
              <w:rPr>
                <w:color w:val="48566A"/>
                <w:sz w:val="18"/>
              </w:rPr>
              <w:t>OWASP ZAP + custom JWT abuse tests</w:t>
            </w:r>
          </w:p>
        </w:tc>
        <w:tc>
          <w:tcPr>
            <w:tcW w:type="dxa" w:w="3312"/>
            <w:shd w:val="clear" w:color="auto" w:fill="FFFFFF"/>
          </w:tcPr>
          <w:p>
            <w:r>
              <w:rPr>
                <w:color w:val="48566A"/>
                <w:sz w:val="18"/>
              </w:rPr>
              <w:t>JWT forgery, tenant escape, scope elevation, injection</w:t>
            </w:r>
          </w:p>
        </w:tc>
        <w:tc>
          <w:tcPr>
            <w:tcW w:type="dxa" w:w="1728"/>
            <w:shd w:val="clear" w:color="auto" w:fill="FFFFFF"/>
          </w:tcPr>
          <w:p>
            <w:r>
              <w:rPr>
                <w:color w:val="48566A"/>
                <w:sz w:val="18"/>
              </w:rPr>
              <w:t>Pre-release</w:t>
            </w:r>
          </w:p>
        </w:tc>
      </w:tr>
    </w:tbl>
    <w:p/>
    <w:p>
      <w:pPr>
        <w:pStyle w:val="Heading2"/>
        <w:spacing w:before="160" w:after="120"/>
      </w:pPr>
      <w:r>
        <w:rPr>
          <w:color w:val="00B4D8"/>
          <w:sz w:val="32"/>
        </w:rPr>
        <w:t>Contract-15 Smoke Tests (Phase Sign-Off)</w:t>
      </w:r>
    </w:p>
    <w:tbl>
      <w:tblPr>
        <w:tblStyle w:val="TableGrid"/>
        <w:tblW w:type="auto" w:w="0"/>
        <w:jc w:val="center"/>
        <w:tblLook w:firstColumn="1" w:firstRow="1" w:lastColumn="0" w:lastRow="0" w:noHBand="0" w:noVBand="1" w:val="04A0"/>
      </w:tblPr>
      <w:tblGrid>
        <w:gridCol w:w="3024"/>
        <w:gridCol w:w="3024"/>
        <w:gridCol w:w="3024"/>
      </w:tblGrid>
      <w:tr>
        <w:tc>
          <w:tcPr>
            <w:tcW w:type="dxa" w:w="576"/>
            <w:shd w:val="clear" w:color="auto" w:fill="0D1B2A"/>
          </w:tcPr>
          <w:p>
            <w:pPr>
              <w:jc w:val="center"/>
            </w:pPr>
            <w:r>
              <w:rPr>
                <w:b/>
                <w:color w:val="FFFFFF"/>
                <w:sz w:val="19"/>
              </w:rPr>
              <w:t>Case</w:t>
            </w:r>
          </w:p>
        </w:tc>
        <w:tc>
          <w:tcPr>
            <w:tcW w:type="dxa" w:w="5184"/>
            <w:shd w:val="clear" w:color="auto" w:fill="0D1B2A"/>
          </w:tcPr>
          <w:p>
            <w:pPr>
              <w:jc w:val="center"/>
            </w:pPr>
            <w:r>
              <w:rPr>
                <w:b/>
                <w:color w:val="FFFFFF"/>
                <w:sz w:val="19"/>
              </w:rPr>
              <w:t>Description</w:t>
            </w:r>
          </w:p>
        </w:tc>
        <w:tc>
          <w:tcPr>
            <w:tcW w:type="dxa" w:w="3600"/>
            <w:shd w:val="clear" w:color="auto" w:fill="0D1B2A"/>
          </w:tcPr>
          <w:p>
            <w:pPr>
              <w:jc w:val="center"/>
            </w:pPr>
            <w:r>
              <w:rPr>
                <w:b/>
                <w:color w:val="FFFFFF"/>
                <w:sz w:val="19"/>
              </w:rPr>
              <w:t>Gates</w:t>
            </w:r>
          </w:p>
        </w:tc>
      </w:tr>
      <w:tr>
        <w:tc>
          <w:tcPr>
            <w:tcW w:type="dxa" w:w="576"/>
            <w:shd w:val="clear" w:color="auto" w:fill="F4F7FA"/>
          </w:tcPr>
          <w:p>
            <w:r>
              <w:rPr>
                <w:color w:val="48566A"/>
                <w:sz w:val="18"/>
              </w:rPr>
              <w:t>1</w:t>
            </w:r>
          </w:p>
        </w:tc>
        <w:tc>
          <w:tcPr>
            <w:tcW w:type="dxa" w:w="5184"/>
            <w:shd w:val="clear" w:color="auto" w:fill="F4F7FA"/>
          </w:tcPr>
          <w:p>
            <w:r>
              <w:rPr>
                <w:color w:val="48566A"/>
                <w:sz w:val="18"/>
              </w:rPr>
              <w:t>Register agent + receive 201</w:t>
            </w:r>
          </w:p>
        </w:tc>
        <w:tc>
          <w:tcPr>
            <w:tcW w:type="dxa" w:w="3600"/>
            <w:shd w:val="clear" w:color="auto" w:fill="F4F7FA"/>
          </w:tcPr>
          <w:p>
            <w:r>
              <w:rPr>
                <w:color w:val="48566A"/>
                <w:sz w:val="18"/>
              </w:rPr>
              <w:t>Phase 2 (auth)</w:t>
            </w:r>
          </w:p>
        </w:tc>
      </w:tr>
      <w:tr>
        <w:tc>
          <w:tcPr>
            <w:tcW w:type="dxa" w:w="576"/>
            <w:shd w:val="clear" w:color="auto" w:fill="FFFFFF"/>
          </w:tcPr>
          <w:p>
            <w:r>
              <w:rPr>
                <w:color w:val="48566A"/>
                <w:sz w:val="18"/>
              </w:rPr>
              <w:t>2</w:t>
            </w:r>
          </w:p>
        </w:tc>
        <w:tc>
          <w:tcPr>
            <w:tcW w:type="dxa" w:w="5184"/>
            <w:shd w:val="clear" w:color="auto" w:fill="FFFFFF"/>
          </w:tcPr>
          <w:p>
            <w:r>
              <w:rPr>
                <w:color w:val="48566A"/>
                <w:sz w:val="18"/>
              </w:rPr>
              <w:t>Exchange api_key → JWT (200, valid RS256)</w:t>
            </w:r>
          </w:p>
        </w:tc>
        <w:tc>
          <w:tcPr>
            <w:tcW w:type="dxa" w:w="3600"/>
            <w:shd w:val="clear" w:color="auto" w:fill="FFFFFF"/>
          </w:tcPr>
          <w:p>
            <w:r>
              <w:rPr>
                <w:color w:val="48566A"/>
                <w:sz w:val="18"/>
              </w:rPr>
              <w:t>Phase 2</w:t>
            </w:r>
          </w:p>
        </w:tc>
      </w:tr>
      <w:tr>
        <w:tc>
          <w:tcPr>
            <w:tcW w:type="dxa" w:w="576"/>
            <w:shd w:val="clear" w:color="auto" w:fill="F4F7FA"/>
          </w:tcPr>
          <w:p>
            <w:r>
              <w:rPr>
                <w:color w:val="48566A"/>
                <w:sz w:val="18"/>
              </w:rPr>
              <w:t>3</w:t>
            </w:r>
          </w:p>
        </w:tc>
        <w:tc>
          <w:tcPr>
            <w:tcW w:type="dxa" w:w="5184"/>
            <w:shd w:val="clear" w:color="auto" w:fill="F4F7FA"/>
          </w:tcPr>
          <w:p>
            <w:r>
              <w:rPr>
                <w:color w:val="48566A"/>
                <w:sz w:val="18"/>
              </w:rPr>
              <w:t>Submit task → 200 A2A response</w:t>
            </w:r>
          </w:p>
        </w:tc>
        <w:tc>
          <w:tcPr>
            <w:tcW w:type="dxa" w:w="3600"/>
            <w:shd w:val="clear" w:color="auto" w:fill="F4F7FA"/>
          </w:tcPr>
          <w:p>
            <w:r>
              <w:rPr>
                <w:color w:val="48566A"/>
                <w:sz w:val="18"/>
              </w:rPr>
              <w:t>Phase 9A (xagent)</w:t>
            </w:r>
          </w:p>
        </w:tc>
      </w:tr>
      <w:tr>
        <w:tc>
          <w:tcPr>
            <w:tcW w:type="dxa" w:w="576"/>
            <w:shd w:val="clear" w:color="auto" w:fill="FFFFFF"/>
          </w:tcPr>
          <w:p>
            <w:r>
              <w:rPr>
                <w:color w:val="48566A"/>
                <w:sz w:val="18"/>
              </w:rPr>
              <w:t>4</w:t>
            </w:r>
          </w:p>
        </w:tc>
        <w:tc>
          <w:tcPr>
            <w:tcW w:type="dxa" w:w="5184"/>
            <w:shd w:val="clear" w:color="auto" w:fill="FFFFFF"/>
          </w:tcPr>
          <w:p>
            <w:r>
              <w:rPr>
                <w:color w:val="48566A"/>
                <w:sz w:val="18"/>
              </w:rPr>
              <w:t>Guardrail block → task returns blocked decision</w:t>
            </w:r>
          </w:p>
        </w:tc>
        <w:tc>
          <w:tcPr>
            <w:tcW w:type="dxa" w:w="3600"/>
            <w:shd w:val="clear" w:color="auto" w:fill="FFFFFF"/>
          </w:tcPr>
          <w:p>
            <w:r>
              <w:rPr>
                <w:color w:val="48566A"/>
                <w:sz w:val="18"/>
              </w:rPr>
              <w:t>Phase 4</w:t>
            </w:r>
          </w:p>
        </w:tc>
      </w:tr>
      <w:tr>
        <w:tc>
          <w:tcPr>
            <w:tcW w:type="dxa" w:w="576"/>
            <w:shd w:val="clear" w:color="auto" w:fill="F4F7FA"/>
          </w:tcPr>
          <w:p>
            <w:r>
              <w:rPr>
                <w:color w:val="48566A"/>
                <w:sz w:val="18"/>
              </w:rPr>
              <w:t>5</w:t>
            </w:r>
          </w:p>
        </w:tc>
        <w:tc>
          <w:tcPr>
            <w:tcW w:type="dxa" w:w="5184"/>
            <w:shd w:val="clear" w:color="auto" w:fill="F4F7FA"/>
          </w:tcPr>
          <w:p>
            <w:r>
              <w:rPr>
                <w:color w:val="48566A"/>
                <w:sz w:val="18"/>
              </w:rPr>
              <w:t>LLM completion via llms-gateway</w:t>
            </w:r>
          </w:p>
        </w:tc>
        <w:tc>
          <w:tcPr>
            <w:tcW w:type="dxa" w:w="3600"/>
            <w:shd w:val="clear" w:color="auto" w:fill="F4F7FA"/>
          </w:tcPr>
          <w:p>
            <w:r>
              <w:rPr>
                <w:color w:val="48566A"/>
                <w:sz w:val="18"/>
              </w:rPr>
              <w:t>Phase 3</w:t>
            </w:r>
          </w:p>
        </w:tc>
      </w:tr>
      <w:tr>
        <w:tc>
          <w:tcPr>
            <w:tcW w:type="dxa" w:w="576"/>
            <w:shd w:val="clear" w:color="auto" w:fill="FFFFFF"/>
          </w:tcPr>
          <w:p>
            <w:r>
              <w:rPr>
                <w:color w:val="48566A"/>
                <w:sz w:val="18"/>
              </w:rPr>
              <w:t>6</w:t>
            </w:r>
          </w:p>
        </w:tc>
        <w:tc>
          <w:tcPr>
            <w:tcW w:type="dxa" w:w="5184"/>
            <w:shd w:val="clear" w:color="auto" w:fill="FFFFFF"/>
          </w:tcPr>
          <w:p>
            <w:r>
              <w:rPr>
                <w:color w:val="48566A"/>
                <w:sz w:val="18"/>
              </w:rPr>
              <w:t>Token usage recorded in usage_records</w:t>
            </w:r>
          </w:p>
        </w:tc>
        <w:tc>
          <w:tcPr>
            <w:tcW w:type="dxa" w:w="3600"/>
            <w:shd w:val="clear" w:color="auto" w:fill="FFFFFF"/>
          </w:tcPr>
          <w:p>
            <w:r>
              <w:rPr>
                <w:color w:val="48566A"/>
                <w:sz w:val="18"/>
              </w:rPr>
              <w:t>Phase 3</w:t>
            </w:r>
          </w:p>
        </w:tc>
      </w:tr>
      <w:tr>
        <w:tc>
          <w:tcPr>
            <w:tcW w:type="dxa" w:w="576"/>
            <w:shd w:val="clear" w:color="auto" w:fill="F4F7FA"/>
          </w:tcPr>
          <w:p>
            <w:r>
              <w:rPr>
                <w:color w:val="48566A"/>
                <w:sz w:val="18"/>
              </w:rPr>
              <w:t>7</w:t>
            </w:r>
          </w:p>
        </w:tc>
        <w:tc>
          <w:tcPr>
            <w:tcW w:type="dxa" w:w="5184"/>
            <w:shd w:val="clear" w:color="auto" w:fill="F4F7FA"/>
          </w:tcPr>
          <w:p>
            <w:r>
              <w:rPr>
                <w:color w:val="48566A"/>
                <w:sz w:val="18"/>
              </w:rPr>
              <w:t>Task step trace recorded (all stages)</w:t>
            </w:r>
          </w:p>
        </w:tc>
        <w:tc>
          <w:tcPr>
            <w:tcW w:type="dxa" w:w="3600"/>
            <w:shd w:val="clear" w:color="auto" w:fill="F4F7FA"/>
          </w:tcPr>
          <w:p>
            <w:r>
              <w:rPr>
                <w:color w:val="48566A"/>
                <w:sz w:val="18"/>
              </w:rPr>
              <w:t>Phase 9A</w:t>
            </w:r>
          </w:p>
        </w:tc>
      </w:tr>
      <w:tr>
        <w:tc>
          <w:tcPr>
            <w:tcW w:type="dxa" w:w="576"/>
            <w:shd w:val="clear" w:color="auto" w:fill="FFFFFF"/>
          </w:tcPr>
          <w:p>
            <w:r>
              <w:rPr>
                <w:color w:val="48566A"/>
                <w:sz w:val="18"/>
              </w:rPr>
              <w:t>8</w:t>
            </w:r>
          </w:p>
        </w:tc>
        <w:tc>
          <w:tcPr>
            <w:tcW w:type="dxa" w:w="5184"/>
            <w:shd w:val="clear" w:color="auto" w:fill="FFFFFF"/>
          </w:tcPr>
          <w:p>
            <w:r>
              <w:rPr>
                <w:color w:val="48566A"/>
                <w:sz w:val="18"/>
              </w:rPr>
              <w:t>Revoke JWT → subsequent task → 401</w:t>
            </w:r>
          </w:p>
        </w:tc>
        <w:tc>
          <w:tcPr>
            <w:tcW w:type="dxa" w:w="3600"/>
            <w:shd w:val="clear" w:color="auto" w:fill="FFFFFF"/>
          </w:tcPr>
          <w:p>
            <w:r>
              <w:rPr>
                <w:color w:val="48566A"/>
                <w:sz w:val="18"/>
              </w:rPr>
              <w:t>Phase 2</w:t>
            </w:r>
          </w:p>
        </w:tc>
      </w:tr>
      <w:tr>
        <w:tc>
          <w:tcPr>
            <w:tcW w:type="dxa" w:w="576"/>
            <w:shd w:val="clear" w:color="auto" w:fill="F4F7FA"/>
          </w:tcPr>
          <w:p>
            <w:r>
              <w:rPr>
                <w:color w:val="48566A"/>
                <w:sz w:val="18"/>
              </w:rPr>
              <w:t>9</w:t>
            </w:r>
          </w:p>
        </w:tc>
        <w:tc>
          <w:tcPr>
            <w:tcW w:type="dxa" w:w="5184"/>
            <w:shd w:val="clear" w:color="auto" w:fill="F4F7FA"/>
          </w:tcPr>
          <w:p>
            <w:r>
              <w:rPr>
                <w:color w:val="48566A"/>
                <w:sz w:val="18"/>
              </w:rPr>
              <w:t>Cross-tenant isolation: Tenant A cannot see Tenant B task</w:t>
            </w:r>
          </w:p>
        </w:tc>
        <w:tc>
          <w:tcPr>
            <w:tcW w:type="dxa" w:w="3600"/>
            <w:shd w:val="clear" w:color="auto" w:fill="F4F7FA"/>
          </w:tcPr>
          <w:p>
            <w:r>
              <w:rPr>
                <w:color w:val="48566A"/>
                <w:sz w:val="18"/>
              </w:rPr>
              <w:t>Phase 9A + RLS</w:t>
            </w:r>
          </w:p>
        </w:tc>
      </w:tr>
      <w:tr>
        <w:tc>
          <w:tcPr>
            <w:tcW w:type="dxa" w:w="576"/>
            <w:shd w:val="clear" w:color="auto" w:fill="FFFFFF"/>
          </w:tcPr>
          <w:p>
            <w:r>
              <w:rPr>
                <w:color w:val="48566A"/>
                <w:sz w:val="18"/>
              </w:rPr>
              <w:t>10</w:t>
            </w:r>
          </w:p>
        </w:tc>
        <w:tc>
          <w:tcPr>
            <w:tcW w:type="dxa" w:w="5184"/>
            <w:shd w:val="clear" w:color="auto" w:fill="FFFFFF"/>
          </w:tcPr>
          <w:p>
            <w:r>
              <w:rPr>
                <w:color w:val="48566A"/>
                <w:sz w:val="18"/>
              </w:rPr>
              <w:t>JWKS endpoint returns valid public key set</w:t>
            </w:r>
          </w:p>
        </w:tc>
        <w:tc>
          <w:tcPr>
            <w:tcW w:type="dxa" w:w="3600"/>
            <w:shd w:val="clear" w:color="auto" w:fill="FFFFFF"/>
          </w:tcPr>
          <w:p>
            <w:r>
              <w:rPr>
                <w:color w:val="48566A"/>
                <w:sz w:val="18"/>
              </w:rPr>
              <w:t>Phase 2</w:t>
            </w:r>
          </w:p>
        </w:tc>
      </w:tr>
      <w:tr>
        <w:tc>
          <w:tcPr>
            <w:tcW w:type="dxa" w:w="576"/>
            <w:shd w:val="clear" w:color="auto" w:fill="F4F7FA"/>
          </w:tcPr>
          <w:p>
            <w:r>
              <w:rPr>
                <w:color w:val="48566A"/>
                <w:sz w:val="18"/>
              </w:rPr>
              <w:t>11</w:t>
            </w:r>
          </w:p>
        </w:tc>
        <w:tc>
          <w:tcPr>
            <w:tcW w:type="dxa" w:w="5184"/>
            <w:shd w:val="clear" w:color="auto" w:fill="F4F7FA"/>
          </w:tcPr>
          <w:p>
            <w:r>
              <w:rPr>
                <w:color w:val="48566A"/>
                <w:sz w:val="18"/>
              </w:rPr>
              <w:t>RAG KB create + document ingest + query returns chunks</w:t>
            </w:r>
          </w:p>
        </w:tc>
        <w:tc>
          <w:tcPr>
            <w:tcW w:type="dxa" w:w="3600"/>
            <w:shd w:val="clear" w:color="auto" w:fill="F4F7FA"/>
          </w:tcPr>
          <w:p>
            <w:r>
              <w:rPr>
                <w:color w:val="48566A"/>
                <w:sz w:val="18"/>
              </w:rPr>
              <w:t>Phase 5</w:t>
            </w:r>
          </w:p>
        </w:tc>
      </w:tr>
      <w:tr>
        <w:tc>
          <w:tcPr>
            <w:tcW w:type="dxa" w:w="576"/>
            <w:shd w:val="clear" w:color="auto" w:fill="FFFFFF"/>
          </w:tcPr>
          <w:p>
            <w:r>
              <w:rPr>
                <w:color w:val="48566A"/>
                <w:sz w:val="18"/>
              </w:rPr>
              <w:t>12</w:t>
            </w:r>
          </w:p>
        </w:tc>
        <w:tc>
          <w:tcPr>
            <w:tcW w:type="dxa" w:w="5184"/>
            <w:shd w:val="clear" w:color="auto" w:fill="FFFFFF"/>
          </w:tcPr>
          <w:p>
            <w:r>
              <w:rPr>
                <w:color w:val="48566A"/>
                <w:sz w:val="18"/>
              </w:rPr>
              <w:t>Memory store + semantic search returns stored memory</w:t>
            </w:r>
          </w:p>
        </w:tc>
        <w:tc>
          <w:tcPr>
            <w:tcW w:type="dxa" w:w="3600"/>
            <w:shd w:val="clear" w:color="auto" w:fill="FFFFFF"/>
          </w:tcPr>
          <w:p>
            <w:r>
              <w:rPr>
                <w:color w:val="48566A"/>
                <w:sz w:val="18"/>
              </w:rPr>
              <w:t>Phase 6</w:t>
            </w:r>
          </w:p>
        </w:tc>
      </w:tr>
      <w:tr>
        <w:tc>
          <w:tcPr>
            <w:tcW w:type="dxa" w:w="576"/>
            <w:shd w:val="clear" w:color="auto" w:fill="F4F7FA"/>
          </w:tcPr>
          <w:p>
            <w:r>
              <w:rPr>
                <w:color w:val="48566A"/>
                <w:sz w:val="18"/>
              </w:rPr>
              <w:t>13</w:t>
            </w:r>
          </w:p>
        </w:tc>
        <w:tc>
          <w:tcPr>
            <w:tcW w:type="dxa" w:w="5184"/>
            <w:shd w:val="clear" w:color="auto" w:fill="F4F7FA"/>
          </w:tcPr>
          <w:p>
            <w:r>
              <w:rPr>
                <w:color w:val="48566A"/>
                <w:sz w:val="18"/>
              </w:rPr>
              <w:t>Tool registry discover + MCP invoke web_search</w:t>
            </w:r>
          </w:p>
        </w:tc>
        <w:tc>
          <w:tcPr>
            <w:tcW w:type="dxa" w:w="3600"/>
            <w:shd w:val="clear" w:color="auto" w:fill="F4F7FA"/>
          </w:tcPr>
          <w:p>
            <w:r>
              <w:rPr>
                <w:color w:val="48566A"/>
                <w:sz w:val="18"/>
              </w:rPr>
              <w:t>Phase 7</w:t>
            </w:r>
          </w:p>
        </w:tc>
      </w:tr>
      <w:tr>
        <w:tc>
          <w:tcPr>
            <w:tcW w:type="dxa" w:w="576"/>
            <w:shd w:val="clear" w:color="auto" w:fill="FFFFFF"/>
          </w:tcPr>
          <w:p>
            <w:r>
              <w:rPr>
                <w:color w:val="48566A"/>
                <w:sz w:val="18"/>
              </w:rPr>
              <w:t>14</w:t>
            </w:r>
          </w:p>
        </w:tc>
        <w:tc>
          <w:tcPr>
            <w:tcW w:type="dxa" w:w="5184"/>
            <w:shd w:val="clear" w:color="auto" w:fill="FFFFFF"/>
          </w:tcPr>
          <w:p>
            <w:r>
              <w:rPr>
                <w:color w:val="48566A"/>
                <w:sz w:val="18"/>
              </w:rPr>
              <w:t>Full WP12 pipeline: task → RAG → memory → tool → LLM → response</w:t>
            </w:r>
          </w:p>
        </w:tc>
        <w:tc>
          <w:tcPr>
            <w:tcW w:type="dxa" w:w="3600"/>
            <w:shd w:val="clear" w:color="auto" w:fill="FFFFFF"/>
          </w:tcPr>
          <w:p>
            <w:r>
              <w:rPr>
                <w:color w:val="48566A"/>
                <w:sz w:val="18"/>
              </w:rPr>
              <w:t>Phase 9A WP12</w:t>
            </w:r>
          </w:p>
        </w:tc>
      </w:tr>
      <w:tr>
        <w:tc>
          <w:tcPr>
            <w:tcW w:type="dxa" w:w="576"/>
            <w:shd w:val="clear" w:color="auto" w:fill="F4F7FA"/>
          </w:tcPr>
          <w:p>
            <w:r>
              <w:rPr>
                <w:color w:val="48566A"/>
                <w:sz w:val="18"/>
              </w:rPr>
              <w:t>15</w:t>
            </w:r>
          </w:p>
        </w:tc>
        <w:tc>
          <w:tcPr>
            <w:tcW w:type="dxa" w:w="5184"/>
            <w:shd w:val="clear" w:color="auto" w:fill="F4F7FA"/>
          </w:tcPr>
          <w:p>
            <w:r>
              <w:rPr>
                <w:color w:val="48566A"/>
                <w:sz w:val="18"/>
              </w:rPr>
              <w:t>Kafka topic receives task.completed event (outbox)</w:t>
            </w:r>
          </w:p>
        </w:tc>
        <w:tc>
          <w:tcPr>
            <w:tcW w:type="dxa" w:w="3600"/>
            <w:shd w:val="clear" w:color="auto" w:fill="F4F7FA"/>
          </w:tcPr>
          <w:p>
            <w:r>
              <w:rPr>
                <w:color w:val="48566A"/>
                <w:sz w:val="18"/>
              </w:rPr>
              <w:t>Phase 9A + Kafka</w:t>
            </w:r>
          </w:p>
        </w:tc>
      </w:tr>
    </w:tbl>
    <w:p/>
    <w:p>
      <w:r>
        <w:br w:type="page"/>
      </w:r>
    </w:p>
    <w:p>
      <w:pPr>
        <w:pStyle w:val="Heading1"/>
        <w:spacing w:before="280" w:after="120"/>
      </w:pPr>
      <w:r>
        <w:rPr>
          <w:color w:val="0D1B2A"/>
          <w:sz w:val="44"/>
        </w:rPr>
        <w:t>13. Roadmap &amp; Phase Plan</w:t>
      </w:r>
    </w:p>
    <w:p>
      <w:pPr>
        <w:spacing w:after="120"/>
      </w:pPr>
      <w:r>
        <w:rPr>
          <w:color w:val="48566A"/>
          <w:sz w:val="21"/>
        </w:rPr>
        <w:t>The platform is built in dependency-ordered phases. The "first cycle" (Phases 0–4 + 9A + 12) proves the minimum spine end-to-end. The enterprise wave (Phases 5–8 + 9B + 9C + 10–11) adds knowledge, memory, tools, A2A orchestration, and control plane. All phases are already spec'd in archive/Manoj/phases/.</w:t>
      </w:r>
    </w:p>
    <w:p>
      <w:pPr>
        <w:pStyle w:val="Heading2"/>
        <w:spacing w:before="160" w:after="120"/>
      </w:pPr>
      <w:r>
        <w:rPr>
          <w:color w:val="00B4D8"/>
          <w:sz w:val="32"/>
        </w:rPr>
        <w:t>Phase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08"/>
            <w:shd w:val="clear" w:color="auto" w:fill="0D1B2A"/>
          </w:tcPr>
          <w:p>
            <w:pPr>
              <w:jc w:val="center"/>
            </w:pPr>
            <w:r>
              <w:rPr>
                <w:b/>
                <w:color w:val="FFFFFF"/>
                <w:sz w:val="19"/>
              </w:rPr>
              <w:t>Phase</w:t>
            </w:r>
          </w:p>
        </w:tc>
        <w:tc>
          <w:tcPr>
            <w:tcW w:type="dxa" w:w="2592"/>
            <w:shd w:val="clear" w:color="auto" w:fill="0D1B2A"/>
          </w:tcPr>
          <w:p>
            <w:pPr>
              <w:jc w:val="center"/>
            </w:pPr>
            <w:r>
              <w:rPr>
                <w:b/>
                <w:color w:val="FFFFFF"/>
                <w:sz w:val="19"/>
              </w:rPr>
              <w:t>Name</w:t>
            </w:r>
          </w:p>
        </w:tc>
        <w:tc>
          <w:tcPr>
            <w:tcW w:type="dxa" w:w="2160"/>
            <w:shd w:val="clear" w:color="auto" w:fill="0D1B2A"/>
          </w:tcPr>
          <w:p>
            <w:pPr>
              <w:jc w:val="center"/>
            </w:pPr>
            <w:r>
              <w:rPr>
                <w:b/>
                <w:color w:val="FFFFFF"/>
                <w:sz w:val="19"/>
              </w:rPr>
              <w:t>Status</w:t>
            </w:r>
          </w:p>
        </w:tc>
        <w:tc>
          <w:tcPr>
            <w:tcW w:type="dxa" w:w="3600"/>
            <w:shd w:val="clear" w:color="auto" w:fill="0D1B2A"/>
          </w:tcPr>
          <w:p>
            <w:pPr>
              <w:jc w:val="center"/>
            </w:pPr>
            <w:r>
              <w:rPr>
                <w:b/>
                <w:color w:val="FFFFFF"/>
                <w:sz w:val="19"/>
              </w:rPr>
              <w:t>Delivers</w:t>
            </w:r>
          </w:p>
        </w:tc>
      </w:tr>
      <w:tr>
        <w:tc>
          <w:tcPr>
            <w:tcW w:type="dxa" w:w="1008"/>
            <w:shd w:val="clear" w:color="auto" w:fill="F4F7FA"/>
          </w:tcPr>
          <w:p>
            <w:r>
              <w:rPr>
                <w:color w:val="48566A"/>
                <w:sz w:val="18"/>
              </w:rPr>
              <w:t>0 ⚡</w:t>
            </w:r>
          </w:p>
        </w:tc>
        <w:tc>
          <w:tcPr>
            <w:tcW w:type="dxa" w:w="2592"/>
            <w:shd w:val="clear" w:color="auto" w:fill="F4F7FA"/>
          </w:tcPr>
          <w:p>
            <w:r>
              <w:rPr>
                <w:color w:val="48566A"/>
                <w:sz w:val="18"/>
              </w:rPr>
              <w:t>Contracts</w:t>
            </w:r>
          </w:p>
        </w:tc>
        <w:tc>
          <w:tcPr>
            <w:tcW w:type="dxa" w:w="2160"/>
            <w:shd w:val="clear" w:color="auto" w:fill="F4F7FA"/>
          </w:tcPr>
          <w:p>
            <w:r>
              <w:rPr>
                <w:color w:val="48566A"/>
                <w:sz w:val="18"/>
              </w:rPr>
              <w:t>DONE</w:t>
            </w:r>
          </w:p>
        </w:tc>
        <w:tc>
          <w:tcPr>
            <w:tcW w:type="dxa" w:w="3600"/>
            <w:shd w:val="clear" w:color="auto" w:fill="F4F7FA"/>
          </w:tcPr>
          <w:p>
            <w:r>
              <w:rPr>
                <w:color w:val="48566A"/>
                <w:sz w:val="18"/>
              </w:rPr>
              <w:t>21 immutable cross-service contracts</w:t>
            </w:r>
          </w:p>
        </w:tc>
      </w:tr>
      <w:tr>
        <w:tc>
          <w:tcPr>
            <w:tcW w:type="dxa" w:w="1008"/>
            <w:shd w:val="clear" w:color="auto" w:fill="FFFFFF"/>
          </w:tcPr>
          <w:p>
            <w:r>
              <w:rPr>
                <w:color w:val="48566A"/>
                <w:sz w:val="18"/>
              </w:rPr>
              <w:t>1 ⚡</w:t>
            </w:r>
          </w:p>
        </w:tc>
        <w:tc>
          <w:tcPr>
            <w:tcW w:type="dxa" w:w="2592"/>
            <w:shd w:val="clear" w:color="auto" w:fill="FFFFFF"/>
          </w:tcPr>
          <w:p>
            <w:r>
              <w:rPr>
                <w:color w:val="48566A"/>
                <w:sz w:val="18"/>
              </w:rPr>
              <w:t>Infrastructure</w:t>
            </w:r>
          </w:p>
        </w:tc>
        <w:tc>
          <w:tcPr>
            <w:tcW w:type="dxa" w:w="2160"/>
            <w:shd w:val="clear" w:color="auto" w:fill="FFFFFF"/>
          </w:tcPr>
          <w:p>
            <w:r>
              <w:rPr>
                <w:color w:val="48566A"/>
                <w:sz w:val="18"/>
              </w:rPr>
              <w:t>DONE</w:t>
            </w:r>
          </w:p>
        </w:tc>
        <w:tc>
          <w:tcPr>
            <w:tcW w:type="dxa" w:w="3600"/>
            <w:shd w:val="clear" w:color="auto" w:fill="FFFFFF"/>
          </w:tcPr>
          <w:p>
            <w:r>
              <w:rPr>
                <w:color w:val="48566A"/>
                <w:sz w:val="18"/>
              </w:rPr>
              <w:t>IaC, local compose, base Helm chart, GitOps skeleton</w:t>
            </w:r>
          </w:p>
        </w:tc>
      </w:tr>
      <w:tr>
        <w:tc>
          <w:tcPr>
            <w:tcW w:type="dxa" w:w="1008"/>
            <w:shd w:val="clear" w:color="auto" w:fill="F4F7FA"/>
          </w:tcPr>
          <w:p>
            <w:r>
              <w:rPr>
                <w:color w:val="48566A"/>
                <w:sz w:val="18"/>
              </w:rPr>
              <w:t>2 ⚡</w:t>
            </w:r>
          </w:p>
        </w:tc>
        <w:tc>
          <w:tcPr>
            <w:tcW w:type="dxa" w:w="2592"/>
            <w:shd w:val="clear" w:color="auto" w:fill="F4F7FA"/>
          </w:tcPr>
          <w:p>
            <w:r>
              <w:rPr>
                <w:color w:val="48566A"/>
                <w:sz w:val="18"/>
              </w:rPr>
              <w:t>Auth</w:t>
            </w:r>
          </w:p>
        </w:tc>
        <w:tc>
          <w:tcPr>
            <w:tcW w:type="dxa" w:w="2160"/>
            <w:shd w:val="clear" w:color="auto" w:fill="F4F7FA"/>
          </w:tcPr>
          <w:p>
            <w:r>
              <w:rPr>
                <w:color w:val="48566A"/>
                <w:sz w:val="18"/>
              </w:rPr>
              <w:t>DONE</w:t>
            </w:r>
          </w:p>
        </w:tc>
        <w:tc>
          <w:tcPr>
            <w:tcW w:type="dxa" w:w="3600"/>
            <w:shd w:val="clear" w:color="auto" w:fill="F4F7FA"/>
          </w:tcPr>
          <w:p>
            <w:r>
              <w:rPr>
                <w:color w:val="48566A"/>
                <w:sz w:val="18"/>
              </w:rPr>
              <w:t>Agent identity, JWT, JWKS, API keys, audit, webhooks</w:t>
            </w:r>
          </w:p>
        </w:tc>
      </w:tr>
      <w:tr>
        <w:tc>
          <w:tcPr>
            <w:tcW w:type="dxa" w:w="1008"/>
            <w:shd w:val="clear" w:color="auto" w:fill="FFFFFF"/>
          </w:tcPr>
          <w:p>
            <w:r>
              <w:rPr>
                <w:color w:val="48566A"/>
                <w:sz w:val="18"/>
              </w:rPr>
              <w:t>3 ⚡</w:t>
            </w:r>
          </w:p>
        </w:tc>
        <w:tc>
          <w:tcPr>
            <w:tcW w:type="dxa" w:w="2592"/>
            <w:shd w:val="clear" w:color="auto" w:fill="FFFFFF"/>
          </w:tcPr>
          <w:p>
            <w:r>
              <w:rPr>
                <w:color w:val="48566A"/>
                <w:sz w:val="18"/>
              </w:rPr>
              <w:t>LLMs Gateway</w:t>
            </w:r>
          </w:p>
        </w:tc>
        <w:tc>
          <w:tcPr>
            <w:tcW w:type="dxa" w:w="2160"/>
            <w:shd w:val="clear" w:color="auto" w:fill="FFFFFF"/>
          </w:tcPr>
          <w:p>
            <w:r>
              <w:rPr>
                <w:color w:val="48566A"/>
                <w:sz w:val="18"/>
              </w:rPr>
              <w:t>DONE</w:t>
            </w:r>
          </w:p>
        </w:tc>
        <w:tc>
          <w:tcPr>
            <w:tcW w:type="dxa" w:w="3600"/>
            <w:shd w:val="clear" w:color="auto" w:fill="FFFFFF"/>
          </w:tcPr>
          <w:p>
            <w:r>
              <w:rPr>
                <w:color w:val="48566A"/>
                <w:sz w:val="18"/>
              </w:rPr>
              <w:t>Unified LLM gateway, BYOK, multi-provider, token metering</w:t>
            </w:r>
          </w:p>
        </w:tc>
      </w:tr>
      <w:tr>
        <w:tc>
          <w:tcPr>
            <w:tcW w:type="dxa" w:w="1008"/>
            <w:shd w:val="clear" w:color="auto" w:fill="F4F7FA"/>
          </w:tcPr>
          <w:p>
            <w:r>
              <w:rPr>
                <w:color w:val="48566A"/>
                <w:sz w:val="18"/>
              </w:rPr>
              <w:t>4 ⚡</w:t>
            </w:r>
          </w:p>
        </w:tc>
        <w:tc>
          <w:tcPr>
            <w:tcW w:type="dxa" w:w="2592"/>
            <w:shd w:val="clear" w:color="auto" w:fill="F4F7FA"/>
          </w:tcPr>
          <w:p>
            <w:r>
              <w:rPr>
                <w:color w:val="48566A"/>
                <w:sz w:val="18"/>
              </w:rPr>
              <w:t>Guardrails</w:t>
            </w:r>
          </w:p>
        </w:tc>
        <w:tc>
          <w:tcPr>
            <w:tcW w:type="dxa" w:w="2160"/>
            <w:shd w:val="clear" w:color="auto" w:fill="F4F7FA"/>
          </w:tcPr>
          <w:p>
            <w:r>
              <w:rPr>
                <w:color w:val="48566A"/>
                <w:sz w:val="18"/>
              </w:rPr>
              <w:t>DONE</w:t>
            </w:r>
          </w:p>
        </w:tc>
        <w:tc>
          <w:tcPr>
            <w:tcW w:type="dxa" w:w="3600"/>
            <w:shd w:val="clear" w:color="auto" w:fill="F4F7FA"/>
          </w:tcPr>
          <w:p>
            <w:r>
              <w:rPr>
                <w:color w:val="48566A"/>
                <w:sz w:val="18"/>
              </w:rPr>
              <w:t>Input/output safety filter, cascading policies, PII redaction</w:t>
            </w:r>
          </w:p>
        </w:tc>
      </w:tr>
      <w:tr>
        <w:tc>
          <w:tcPr>
            <w:tcW w:type="dxa" w:w="1008"/>
            <w:shd w:val="clear" w:color="auto" w:fill="FFFFFF"/>
          </w:tcPr>
          <w:p>
            <w:r>
              <w:rPr>
                <w:color w:val="48566A"/>
                <w:sz w:val="18"/>
              </w:rPr>
              <w:t>5 📋</w:t>
            </w:r>
          </w:p>
        </w:tc>
        <w:tc>
          <w:tcPr>
            <w:tcW w:type="dxa" w:w="2592"/>
            <w:shd w:val="clear" w:color="auto" w:fill="FFFFFF"/>
          </w:tcPr>
          <w:p>
            <w:r>
              <w:rPr>
                <w:color w:val="48566A"/>
                <w:sz w:val="18"/>
              </w:rPr>
              <w:t>RAG</w:t>
            </w:r>
          </w:p>
        </w:tc>
        <w:tc>
          <w:tcPr>
            <w:tcW w:type="dxa" w:w="2160"/>
            <w:shd w:val="clear" w:color="auto" w:fill="FFFFFF"/>
          </w:tcPr>
          <w:p>
            <w:r>
              <w:rPr>
                <w:color w:val="48566A"/>
                <w:sz w:val="18"/>
              </w:rPr>
              <w:t>DONE</w:t>
            </w:r>
          </w:p>
        </w:tc>
        <w:tc>
          <w:tcPr>
            <w:tcW w:type="dxa" w:w="3600"/>
            <w:shd w:val="clear" w:color="auto" w:fill="FFFFFF"/>
          </w:tcPr>
          <w:p>
            <w:r>
              <w:rPr>
                <w:color w:val="48566A"/>
                <w:sz w:val="18"/>
              </w:rPr>
              <w:t>Knowledge bases, chunking, pgvector retrieval, MinIO</w:t>
            </w:r>
          </w:p>
        </w:tc>
      </w:tr>
      <w:tr>
        <w:tc>
          <w:tcPr>
            <w:tcW w:type="dxa" w:w="1008"/>
            <w:shd w:val="clear" w:color="auto" w:fill="F4F7FA"/>
          </w:tcPr>
          <w:p>
            <w:r>
              <w:rPr>
                <w:color w:val="48566A"/>
                <w:sz w:val="18"/>
              </w:rPr>
              <w:t>6 📋</w:t>
            </w:r>
          </w:p>
        </w:tc>
        <w:tc>
          <w:tcPr>
            <w:tcW w:type="dxa" w:w="2592"/>
            <w:shd w:val="clear" w:color="auto" w:fill="F4F7FA"/>
          </w:tcPr>
          <w:p>
            <w:r>
              <w:rPr>
                <w:color w:val="48566A"/>
                <w:sz w:val="18"/>
              </w:rPr>
              <w:t>Memory</w:t>
            </w:r>
          </w:p>
        </w:tc>
        <w:tc>
          <w:tcPr>
            <w:tcW w:type="dxa" w:w="2160"/>
            <w:shd w:val="clear" w:color="auto" w:fill="F4F7FA"/>
          </w:tcPr>
          <w:p>
            <w:r>
              <w:rPr>
                <w:color w:val="48566A"/>
                <w:sz w:val="18"/>
              </w:rPr>
              <w:t>DONE</w:t>
            </w:r>
          </w:p>
        </w:tc>
        <w:tc>
          <w:tcPr>
            <w:tcW w:type="dxa" w:w="3600"/>
            <w:shd w:val="clear" w:color="auto" w:fill="F4F7FA"/>
          </w:tcPr>
          <w:p>
            <w:r>
              <w:rPr>
                <w:color w:val="48566A"/>
                <w:sz w:val="18"/>
              </w:rPr>
              <w:t>Agent memory, sessions, semantic search, GDPR wipe</w:t>
            </w:r>
          </w:p>
        </w:tc>
      </w:tr>
      <w:tr>
        <w:tc>
          <w:tcPr>
            <w:tcW w:type="dxa" w:w="1008"/>
            <w:shd w:val="clear" w:color="auto" w:fill="FFFFFF"/>
          </w:tcPr>
          <w:p>
            <w:r>
              <w:rPr>
                <w:color w:val="48566A"/>
                <w:sz w:val="18"/>
              </w:rPr>
              <w:t>7 📋</w:t>
            </w:r>
          </w:p>
        </w:tc>
        <w:tc>
          <w:tcPr>
            <w:tcW w:type="dxa" w:w="2592"/>
            <w:shd w:val="clear" w:color="auto" w:fill="FFFFFF"/>
          </w:tcPr>
          <w:p>
            <w:r>
              <w:rPr>
                <w:color w:val="48566A"/>
                <w:sz w:val="18"/>
              </w:rPr>
              <w:t>Tools</w:t>
            </w:r>
          </w:p>
        </w:tc>
        <w:tc>
          <w:tcPr>
            <w:tcW w:type="dxa" w:w="2160"/>
            <w:shd w:val="clear" w:color="auto" w:fill="FFFFFF"/>
          </w:tcPr>
          <w:p>
            <w:r>
              <w:rPr>
                <w:color w:val="48566A"/>
                <w:sz w:val="18"/>
              </w:rPr>
              <w:t>DONE</w:t>
            </w:r>
          </w:p>
        </w:tc>
        <w:tc>
          <w:tcPr>
            <w:tcW w:type="dxa" w:w="3600"/>
            <w:shd w:val="clear" w:color="auto" w:fill="FFFFFF"/>
          </w:tcPr>
          <w:p>
            <w:r>
              <w:rPr>
                <w:color w:val="48566A"/>
                <w:sz w:val="18"/>
              </w:rPr>
              <w:t>Tool registry, MCP invoke, tool-web-search</w:t>
            </w:r>
          </w:p>
        </w:tc>
      </w:tr>
      <w:tr>
        <w:tc>
          <w:tcPr>
            <w:tcW w:type="dxa" w:w="1008"/>
            <w:shd w:val="clear" w:color="auto" w:fill="F4F7FA"/>
          </w:tcPr>
          <w:p>
            <w:r>
              <w:rPr>
                <w:color w:val="48566A"/>
                <w:sz w:val="18"/>
              </w:rPr>
              <w:t>8 📋</w:t>
            </w:r>
          </w:p>
        </w:tc>
        <w:tc>
          <w:tcPr>
            <w:tcW w:type="dxa" w:w="2592"/>
            <w:shd w:val="clear" w:color="auto" w:fill="F4F7FA"/>
          </w:tcPr>
          <w:p>
            <w:r>
              <w:rPr>
                <w:color w:val="48566A"/>
                <w:sz w:val="18"/>
              </w:rPr>
              <w:t>Skills</w:t>
            </w:r>
          </w:p>
        </w:tc>
        <w:tc>
          <w:tcPr>
            <w:tcW w:type="dxa" w:w="2160"/>
            <w:shd w:val="clear" w:color="auto" w:fill="F4F7FA"/>
          </w:tcPr>
          <w:p>
            <w:r>
              <w:rPr>
                <w:color w:val="48566A"/>
                <w:sz w:val="18"/>
              </w:rPr>
              <w:t>PENDING</w:t>
            </w:r>
          </w:p>
        </w:tc>
        <w:tc>
          <w:tcPr>
            <w:tcW w:type="dxa" w:w="3600"/>
            <w:shd w:val="clear" w:color="auto" w:fill="F4F7FA"/>
          </w:tcPr>
          <w:p>
            <w:r>
              <w:rPr>
                <w:color w:val="48566A"/>
                <w:sz w:val="18"/>
              </w:rPr>
              <w:t>Declarative skill definitions indexed into RAG</w:t>
            </w:r>
          </w:p>
        </w:tc>
      </w:tr>
      <w:tr>
        <w:tc>
          <w:tcPr>
            <w:tcW w:type="dxa" w:w="1008"/>
            <w:shd w:val="clear" w:color="auto" w:fill="FFFFFF"/>
          </w:tcPr>
          <w:p>
            <w:r>
              <w:rPr>
                <w:color w:val="48566A"/>
                <w:sz w:val="18"/>
              </w:rPr>
              <w:t>9A ⚡</w:t>
            </w:r>
          </w:p>
        </w:tc>
        <w:tc>
          <w:tcPr>
            <w:tcW w:type="dxa" w:w="2592"/>
            <w:shd w:val="clear" w:color="auto" w:fill="FFFFFF"/>
          </w:tcPr>
          <w:p>
            <w:r>
              <w:rPr>
                <w:color w:val="48566A"/>
                <w:sz w:val="18"/>
              </w:rPr>
              <w:t>xAgent (spine)</w:t>
            </w:r>
          </w:p>
        </w:tc>
        <w:tc>
          <w:tcPr>
            <w:tcW w:type="dxa" w:w="2160"/>
            <w:shd w:val="clear" w:color="auto" w:fill="FFFFFF"/>
          </w:tcPr>
          <w:p>
            <w:r>
              <w:rPr>
                <w:color w:val="48566A"/>
                <w:sz w:val="18"/>
              </w:rPr>
              <w:t>DONE</w:t>
            </w:r>
          </w:p>
        </w:tc>
        <w:tc>
          <w:tcPr>
            <w:tcW w:type="dxa" w:w="3600"/>
            <w:shd w:val="clear" w:color="auto" w:fill="FFFFFF"/>
          </w:tcPr>
          <w:p>
            <w:r>
              <w:rPr>
                <w:color w:val="48566A"/>
                <w:sz w:val="18"/>
              </w:rPr>
              <w:t>Stage pipeline, task execution, first-cycle smoke tests</w:t>
            </w:r>
          </w:p>
        </w:tc>
      </w:tr>
      <w:tr>
        <w:tc>
          <w:tcPr>
            <w:tcW w:type="dxa" w:w="1008"/>
            <w:shd w:val="clear" w:color="auto" w:fill="F4F7FA"/>
          </w:tcPr>
          <w:p>
            <w:r>
              <w:rPr>
                <w:color w:val="48566A"/>
                <w:sz w:val="18"/>
              </w:rPr>
              <w:t>9B/9C 📋</w:t>
            </w:r>
          </w:p>
        </w:tc>
        <w:tc>
          <w:tcPr>
            <w:tcW w:type="dxa" w:w="2592"/>
            <w:shd w:val="clear" w:color="auto" w:fill="F4F7FA"/>
          </w:tcPr>
          <w:p>
            <w:r>
              <w:rPr>
                <w:color w:val="48566A"/>
                <w:sz w:val="18"/>
              </w:rPr>
              <w:t>xAgent (WP12)</w:t>
            </w:r>
          </w:p>
        </w:tc>
        <w:tc>
          <w:tcPr>
            <w:tcW w:type="dxa" w:w="2160"/>
            <w:shd w:val="clear" w:color="auto" w:fill="F4F7FA"/>
          </w:tcPr>
          <w:p>
            <w:r>
              <w:rPr>
                <w:color w:val="48566A"/>
                <w:sz w:val="18"/>
              </w:rPr>
              <w:t>CODED (flag-disabled)</w:t>
            </w:r>
          </w:p>
        </w:tc>
        <w:tc>
          <w:tcPr>
            <w:tcW w:type="dxa" w:w="3600"/>
            <w:shd w:val="clear" w:color="auto" w:fill="F4F7FA"/>
          </w:tcPr>
          <w:p>
            <w:r>
              <w:rPr>
                <w:color w:val="48566A"/>
                <w:sz w:val="18"/>
              </w:rPr>
              <w:t>RAG_QUERY, MEM_RETRIEVE, TOOL_LOOP, MEM_WRITE stages</w:t>
            </w:r>
          </w:p>
        </w:tc>
      </w:tr>
      <w:tr>
        <w:tc>
          <w:tcPr>
            <w:tcW w:type="dxa" w:w="1008"/>
            <w:shd w:val="clear" w:color="auto" w:fill="FFFFFF"/>
          </w:tcPr>
          <w:p>
            <w:r>
              <w:rPr>
                <w:color w:val="48566A"/>
                <w:sz w:val="18"/>
              </w:rPr>
              <w:t>10 📋</w:t>
            </w:r>
          </w:p>
        </w:tc>
        <w:tc>
          <w:tcPr>
            <w:tcW w:type="dxa" w:w="2592"/>
            <w:shd w:val="clear" w:color="auto" w:fill="FFFFFF"/>
          </w:tcPr>
          <w:p>
            <w:r>
              <w:rPr>
                <w:color w:val="48566A"/>
                <w:sz w:val="18"/>
              </w:rPr>
              <w:t>A2A Orchestration</w:t>
            </w:r>
          </w:p>
        </w:tc>
        <w:tc>
          <w:tcPr>
            <w:tcW w:type="dxa" w:w="2160"/>
            <w:shd w:val="clear" w:color="auto" w:fill="FFFFFF"/>
          </w:tcPr>
          <w:p>
            <w:r>
              <w:rPr>
                <w:color w:val="48566A"/>
                <w:sz w:val="18"/>
              </w:rPr>
              <w:t>PENDING (ax-2 empty)</w:t>
            </w:r>
          </w:p>
        </w:tc>
        <w:tc>
          <w:tcPr>
            <w:tcW w:type="dxa" w:w="3600"/>
            <w:shd w:val="clear" w:color="auto" w:fill="FFFFFF"/>
          </w:tcPr>
          <w:p>
            <w:r>
              <w:rPr>
                <w:color w:val="48566A"/>
                <w:sz w:val="18"/>
              </w:rPr>
              <w:t>A2A router, orchestrator, multi-agent workflows</w:t>
            </w:r>
          </w:p>
        </w:tc>
      </w:tr>
      <w:tr>
        <w:tc>
          <w:tcPr>
            <w:tcW w:type="dxa" w:w="1008"/>
            <w:shd w:val="clear" w:color="auto" w:fill="F4F7FA"/>
          </w:tcPr>
          <w:p>
            <w:r>
              <w:rPr>
                <w:color w:val="48566A"/>
                <w:sz w:val="18"/>
              </w:rPr>
              <w:t>11 📋</w:t>
            </w:r>
          </w:p>
        </w:tc>
        <w:tc>
          <w:tcPr>
            <w:tcW w:type="dxa" w:w="2592"/>
            <w:shd w:val="clear" w:color="auto" w:fill="F4F7FA"/>
          </w:tcPr>
          <w:p>
            <w:r>
              <w:rPr>
                <w:color w:val="48566A"/>
                <w:sz w:val="18"/>
              </w:rPr>
              <w:t>Platform Control Plane</w:t>
            </w:r>
          </w:p>
        </w:tc>
        <w:tc>
          <w:tcPr>
            <w:tcW w:type="dxa" w:w="2160"/>
            <w:shd w:val="clear" w:color="auto" w:fill="F4F7FA"/>
          </w:tcPr>
          <w:p>
            <w:r>
              <w:rPr>
                <w:color w:val="48566A"/>
                <w:sz w:val="18"/>
              </w:rPr>
              <w:t>STUB</w:t>
            </w:r>
          </w:p>
        </w:tc>
        <w:tc>
          <w:tcPr>
            <w:tcW w:type="dxa" w:w="3600"/>
            <w:shd w:val="clear" w:color="auto" w:fill="F4F7FA"/>
          </w:tcPr>
          <w:p>
            <w:r>
              <w:rPr>
                <w:color w:val="48566A"/>
                <w:sz w:val="18"/>
              </w:rPr>
              <w:t>Service registry, billing, config hot-reload, px0 bridge</w:t>
            </w:r>
          </w:p>
        </w:tc>
      </w:tr>
      <w:tr>
        <w:tc>
          <w:tcPr>
            <w:tcW w:type="dxa" w:w="1008"/>
            <w:shd w:val="clear" w:color="auto" w:fill="FFFFFF"/>
          </w:tcPr>
          <w:p>
            <w:r>
              <w:rPr>
                <w:color w:val="48566A"/>
                <w:sz w:val="18"/>
              </w:rPr>
              <w:t>12 📋</w:t>
            </w:r>
          </w:p>
        </w:tc>
        <w:tc>
          <w:tcPr>
            <w:tcW w:type="dxa" w:w="2592"/>
            <w:shd w:val="clear" w:color="auto" w:fill="FFFFFF"/>
          </w:tcPr>
          <w:p>
            <w:r>
              <w:rPr>
                <w:color w:val="48566A"/>
                <w:sz w:val="18"/>
              </w:rPr>
              <w:t>Frontend</w:t>
            </w:r>
          </w:p>
        </w:tc>
        <w:tc>
          <w:tcPr>
            <w:tcW w:type="dxa" w:w="2160"/>
            <w:shd w:val="clear" w:color="auto" w:fill="FFFFFF"/>
          </w:tcPr>
          <w:p>
            <w:r>
              <w:rPr>
                <w:color w:val="48566A"/>
                <w:sz w:val="18"/>
              </w:rPr>
              <w:t>DONE</w:t>
            </w:r>
          </w:p>
        </w:tc>
        <w:tc>
          <w:tcPr>
            <w:tcW w:type="dxa" w:w="3600"/>
            <w:shd w:val="clear" w:color="auto" w:fill="FFFFFF"/>
          </w:tcPr>
          <w:p>
            <w:r>
              <w:rPr>
                <w:color w:val="48566A"/>
                <w:sz w:val="18"/>
              </w:rPr>
              <w:t>Admin console SPA, BFF, demo runner</w:t>
            </w:r>
          </w:p>
        </w:tc>
      </w:tr>
      <w:tr>
        <w:tc>
          <w:tcPr>
            <w:tcW w:type="dxa" w:w="1008"/>
            <w:shd w:val="clear" w:color="auto" w:fill="F4F7FA"/>
          </w:tcPr>
          <w:p>
            <w:r>
              <w:rPr>
                <w:color w:val="48566A"/>
                <w:sz w:val="18"/>
              </w:rPr>
              <w:t>13 📋</w:t>
            </w:r>
          </w:p>
        </w:tc>
        <w:tc>
          <w:tcPr>
            <w:tcW w:type="dxa" w:w="2592"/>
            <w:shd w:val="clear" w:color="auto" w:fill="F4F7FA"/>
          </w:tcPr>
          <w:p>
            <w:r>
              <w:rPr>
                <w:color w:val="48566A"/>
                <w:sz w:val="18"/>
              </w:rPr>
              <w:t>Hardening</w:t>
            </w:r>
          </w:p>
        </w:tc>
        <w:tc>
          <w:tcPr>
            <w:tcW w:type="dxa" w:w="2160"/>
            <w:shd w:val="clear" w:color="auto" w:fill="F4F7FA"/>
          </w:tcPr>
          <w:p>
            <w:r>
              <w:rPr>
                <w:color w:val="48566A"/>
                <w:sz w:val="18"/>
              </w:rPr>
              <w:t>PENDING</w:t>
            </w:r>
          </w:p>
        </w:tc>
        <w:tc>
          <w:tcPr>
            <w:tcW w:type="dxa" w:w="3600"/>
            <w:shd w:val="clear" w:color="auto" w:fill="F4F7FA"/>
          </w:tcPr>
          <w:p>
            <w:r>
              <w:rPr>
                <w:color w:val="48566A"/>
                <w:sz w:val="18"/>
              </w:rPr>
              <w:t>External readiness, penetration testing, compliance</w:t>
            </w:r>
          </w:p>
        </w:tc>
      </w:tr>
      <w:tr>
        <w:tc>
          <w:tcPr>
            <w:tcW w:type="dxa" w:w="1008"/>
            <w:shd w:val="clear" w:color="auto" w:fill="FFFFFF"/>
          </w:tcPr>
          <w:p>
            <w:r>
              <w:rPr>
                <w:color w:val="48566A"/>
                <w:sz w:val="18"/>
              </w:rPr>
              <w:t>14 📋</w:t>
            </w:r>
          </w:p>
        </w:tc>
        <w:tc>
          <w:tcPr>
            <w:tcW w:type="dxa" w:w="2592"/>
            <w:shd w:val="clear" w:color="auto" w:fill="FFFFFF"/>
          </w:tcPr>
          <w:p>
            <w:r>
              <w:rPr>
                <w:color w:val="48566A"/>
                <w:sz w:val="18"/>
              </w:rPr>
              <w:t>SDKs</w:t>
            </w:r>
          </w:p>
        </w:tc>
        <w:tc>
          <w:tcPr>
            <w:tcW w:type="dxa" w:w="2160"/>
            <w:shd w:val="clear" w:color="auto" w:fill="FFFFFF"/>
          </w:tcPr>
          <w:p>
            <w:r>
              <w:rPr>
                <w:color w:val="48566A"/>
                <w:sz w:val="18"/>
              </w:rPr>
              <w:t>PENDING</w:t>
            </w:r>
          </w:p>
        </w:tc>
        <w:tc>
          <w:tcPr>
            <w:tcW w:type="dxa" w:w="3600"/>
            <w:shd w:val="clear" w:color="auto" w:fill="FFFFFF"/>
          </w:tcPr>
          <w:p>
            <w:r>
              <w:rPr>
                <w:color w:val="48566A"/>
                <w:sz w:val="18"/>
              </w:rPr>
              <w:t>Python, TypeScript, Go SDKs for agent development</w:t>
            </w:r>
          </w:p>
        </w:tc>
      </w:tr>
    </w:tbl>
    <w:p/>
    <w:p>
      <w:pPr>
        <w:pStyle w:val="Heading2"/>
        <w:spacing w:before="160" w:after="120"/>
      </w:pPr>
      <w:r>
        <w:rPr>
          <w:color w:val="00B4D8"/>
          <w:sz w:val="32"/>
        </w:rPr>
        <w:t>Immediate Next Steps</w:t>
      </w:r>
    </w:p>
    <w:p>
      <w:pPr>
        <w:pStyle w:val="ListBullet"/>
        <w:spacing w:after="60"/>
        <w:ind w:left="432"/>
      </w:pPr>
      <w:r>
        <w:rPr>
          <w:color w:val="48566A"/>
          <w:sz w:val="20"/>
        </w:rPr>
        <w:t>Enable WP12 stages in production (flag STAGE_ENABLE_RAG_QUERY=true etc.) — code already written and tested.</w:t>
      </w:r>
    </w:p>
    <w:p>
      <w:pPr>
        <w:pStyle w:val="ListBullet"/>
        <w:spacing w:after="60"/>
        <w:ind w:left="432"/>
      </w:pPr>
      <w:r>
        <w:rPr>
          <w:color w:val="48566A"/>
          <w:sz w:val="20"/>
        </w:rPr>
        <w:t>Build ax-2 (A2A router + Orchestrator) — phase-10-a2a-orchestration.md spec ready.</w:t>
      </w:r>
    </w:p>
    <w:p>
      <w:pPr>
        <w:pStyle w:val="ListBullet"/>
        <w:spacing w:after="60"/>
        <w:ind w:left="432"/>
      </w:pPr>
      <w:r>
        <w:rPr>
          <w:color w:val="48566A"/>
          <w:sz w:val="20"/>
        </w:rPr>
        <w:t>Build platform control plane (Phase 11) — cost roll-up, service registry, config hot-reload.</w:t>
      </w:r>
    </w:p>
    <w:p>
      <w:pPr>
        <w:pStyle w:val="ListBullet"/>
        <w:spacing w:after="60"/>
        <w:ind w:left="432"/>
      </w:pPr>
      <w:r>
        <w:rPr>
          <w:color w:val="48566A"/>
          <w:sz w:val="20"/>
        </w:rPr>
        <w:t>Build Skills repo (Phase 8) — declarative YAML skill definitions, Contract 11.</w:t>
      </w:r>
    </w:p>
    <w:p>
      <w:pPr>
        <w:pStyle w:val="ListBullet"/>
        <w:spacing w:after="60"/>
        <w:ind w:left="432"/>
      </w:pPr>
      <w:r>
        <w:rPr>
          <w:color w:val="48566A"/>
          <w:sz w:val="20"/>
        </w:rPr>
        <w:t>Hardening (Phase 13) — penetration test, SOC2 evidence collection, WAF rule tuning.</w:t>
      </w:r>
    </w:p>
    <w:p>
      <w:pPr>
        <w:pStyle w:val="ListBullet"/>
        <w:spacing w:after="60"/>
        <w:ind w:left="432"/>
      </w:pPr>
      <w:r>
        <w:rPr>
          <w:color w:val="48566A"/>
          <w:sz w:val="20"/>
        </w:rPr>
        <w:t>SDK release (Phase 14) — Python/TS/Go SDKs for partner and customer agent development.</w:t>
      </w:r>
    </w:p>
    <w:p>
      <w:r>
        <w:br w:type="page"/>
      </w:r>
    </w:p>
    <w:p>
      <w:pPr>
        <w:pStyle w:val="Heading1"/>
        <w:spacing w:before="280" w:after="120"/>
      </w:pPr>
      <w:r>
        <w:rPr>
          <w:color w:val="0D1B2A"/>
          <w:sz w:val="44"/>
        </w:rPr>
        <w:t>14. Business Model &amp; Key Metrics</w:t>
      </w:r>
    </w:p>
    <w:p>
      <w:pPr>
        <w:pStyle w:val="Heading2"/>
        <w:spacing w:before="160" w:after="120"/>
      </w:pPr>
      <w:r>
        <w:rPr>
          <w:color w:val="00B4D8"/>
          <w:sz w:val="32"/>
        </w:rPr>
        <w:t>Revenue Model</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0D1B2A"/>
          </w:tcPr>
          <w:p>
            <w:pPr>
              <w:jc w:val="center"/>
            </w:pPr>
            <w:r>
              <w:rPr>
                <w:b/>
                <w:color w:val="FFFFFF"/>
                <w:sz w:val="19"/>
              </w:rPr>
              <w:t>Revenue Stream</w:t>
            </w:r>
          </w:p>
        </w:tc>
        <w:tc>
          <w:tcPr>
            <w:tcW w:type="dxa" w:w="4032"/>
            <w:shd w:val="clear" w:color="auto" w:fill="0D1B2A"/>
          </w:tcPr>
          <w:p>
            <w:pPr>
              <w:jc w:val="center"/>
            </w:pPr>
            <w:r>
              <w:rPr>
                <w:b/>
                <w:color w:val="FFFFFF"/>
                <w:sz w:val="19"/>
              </w:rPr>
              <w:t>Description</w:t>
            </w:r>
          </w:p>
        </w:tc>
        <w:tc>
          <w:tcPr>
            <w:tcW w:type="dxa" w:w="2880"/>
            <w:shd w:val="clear" w:color="auto" w:fill="0D1B2A"/>
          </w:tcPr>
          <w:p>
            <w:pPr>
              <w:jc w:val="center"/>
            </w:pPr>
            <w:r>
              <w:rPr>
                <w:b/>
                <w:color w:val="FFFFFF"/>
                <w:sz w:val="19"/>
              </w:rPr>
              <w:t>Unit Economics</w:t>
            </w:r>
          </w:p>
        </w:tc>
      </w:tr>
      <w:tr>
        <w:tc>
          <w:tcPr>
            <w:tcW w:type="dxa" w:w="2592"/>
            <w:shd w:val="clear" w:color="auto" w:fill="F4F7FA"/>
          </w:tcPr>
          <w:p>
            <w:r>
              <w:rPr>
                <w:color w:val="48566A"/>
                <w:sz w:val="18"/>
              </w:rPr>
              <w:t>Platform Subscription</w:t>
            </w:r>
          </w:p>
        </w:tc>
        <w:tc>
          <w:tcPr>
            <w:tcW w:type="dxa" w:w="4032"/>
            <w:shd w:val="clear" w:color="auto" w:fill="F4F7FA"/>
          </w:tcPr>
          <w:p>
            <w:r>
              <w:rPr>
                <w:color w:val="48566A"/>
                <w:sz w:val="18"/>
              </w:rPr>
              <w:t>Monthly/annual SaaS fee per tenant tier (Starter / Pro / Enterprise)</w:t>
            </w:r>
          </w:p>
        </w:tc>
        <w:tc>
          <w:tcPr>
            <w:tcW w:type="dxa" w:w="2880"/>
            <w:shd w:val="clear" w:color="auto" w:fill="F4F7FA"/>
          </w:tcPr>
          <w:p>
            <w:r>
              <w:rPr>
                <w:color w:val="48566A"/>
                <w:sz w:val="18"/>
              </w:rPr>
              <w:t>Recurring ARR; high gross margin (~80%)</w:t>
            </w:r>
          </w:p>
        </w:tc>
      </w:tr>
      <w:tr>
        <w:tc>
          <w:tcPr>
            <w:tcW w:type="dxa" w:w="2592"/>
            <w:shd w:val="clear" w:color="auto" w:fill="FFFFFF"/>
          </w:tcPr>
          <w:p>
            <w:r>
              <w:rPr>
                <w:color w:val="48566A"/>
                <w:sz w:val="18"/>
              </w:rPr>
              <w:t>LLM Token Pass-Through</w:t>
            </w:r>
          </w:p>
        </w:tc>
        <w:tc>
          <w:tcPr>
            <w:tcW w:type="dxa" w:w="4032"/>
            <w:shd w:val="clear" w:color="auto" w:fill="FFFFFF"/>
          </w:tcPr>
          <w:p>
            <w:r>
              <w:rPr>
                <w:color w:val="48566A"/>
                <w:sz w:val="18"/>
              </w:rPr>
              <w:t>Margin on tokens routed through llms-gateway (cost + 10–20% markup)</w:t>
            </w:r>
          </w:p>
        </w:tc>
        <w:tc>
          <w:tcPr>
            <w:tcW w:type="dxa" w:w="2880"/>
            <w:shd w:val="clear" w:color="auto" w:fill="FFFFFF"/>
          </w:tcPr>
          <w:p>
            <w:r>
              <w:rPr>
                <w:color w:val="48566A"/>
                <w:sz w:val="18"/>
              </w:rPr>
              <w:t>Scales with usage; metered via usage_records</w:t>
            </w:r>
          </w:p>
        </w:tc>
      </w:tr>
      <w:tr>
        <w:tc>
          <w:tcPr>
            <w:tcW w:type="dxa" w:w="2592"/>
            <w:shd w:val="clear" w:color="auto" w:fill="F4F7FA"/>
          </w:tcPr>
          <w:p>
            <w:r>
              <w:rPr>
                <w:color w:val="48566A"/>
                <w:sz w:val="18"/>
              </w:rPr>
              <w:t>SharedCore SaaS</w:t>
            </w:r>
          </w:p>
        </w:tc>
        <w:tc>
          <w:tcPr>
            <w:tcW w:type="dxa" w:w="4032"/>
            <w:shd w:val="clear" w:color="auto" w:fill="F4F7FA"/>
          </w:tcPr>
          <w:p>
            <w:r>
              <w:rPr>
                <w:color w:val="48566A"/>
                <w:sz w:val="18"/>
              </w:rPr>
              <w:t>Each SharedCore service (auth, guardrails, rag, memory) sold as standalone SaaS product</w:t>
            </w:r>
          </w:p>
        </w:tc>
        <w:tc>
          <w:tcPr>
            <w:tcW w:type="dxa" w:w="2880"/>
            <w:shd w:val="clear" w:color="auto" w:fill="F4F7FA"/>
          </w:tcPr>
          <w:p>
            <w:r>
              <w:rPr>
                <w:color w:val="48566A"/>
                <w:sz w:val="18"/>
              </w:rPr>
              <w:t>Cross-sell to customers using only one component</w:t>
            </w:r>
          </w:p>
        </w:tc>
      </w:tr>
      <w:tr>
        <w:tc>
          <w:tcPr>
            <w:tcW w:type="dxa" w:w="2592"/>
            <w:shd w:val="clear" w:color="auto" w:fill="FFFFFF"/>
          </w:tcPr>
          <w:p>
            <w:r>
              <w:rPr>
                <w:color w:val="48566A"/>
                <w:sz w:val="18"/>
              </w:rPr>
              <w:t>Engineering Memory (cypherx-a1)</w:t>
            </w:r>
          </w:p>
        </w:tc>
        <w:tc>
          <w:tcPr>
            <w:tcW w:type="dxa" w:w="4032"/>
            <w:shd w:val="clear" w:color="auto" w:fill="FFFFFF"/>
          </w:tcPr>
          <w:p>
            <w:r>
              <w:rPr>
                <w:color w:val="48566A"/>
                <w:sz w:val="18"/>
              </w:rPr>
              <w:t>Autonomous engineering knowledge graph and copilot — per-seat or per-org pricing</w:t>
            </w:r>
          </w:p>
        </w:tc>
        <w:tc>
          <w:tcPr>
            <w:tcW w:type="dxa" w:w="2880"/>
            <w:shd w:val="clear" w:color="auto" w:fill="FFFFFF"/>
          </w:tcPr>
          <w:p>
            <w:r>
              <w:rPr>
                <w:color w:val="48566A"/>
                <w:sz w:val="18"/>
              </w:rPr>
              <w:t>Knowledge moat; high retention</w:t>
            </w:r>
          </w:p>
        </w:tc>
      </w:tr>
      <w:tr>
        <w:tc>
          <w:tcPr>
            <w:tcW w:type="dxa" w:w="2592"/>
            <w:shd w:val="clear" w:color="auto" w:fill="F4F7FA"/>
          </w:tcPr>
          <w:p>
            <w:r>
              <w:rPr>
                <w:color w:val="48566A"/>
                <w:sz w:val="18"/>
              </w:rPr>
              <w:t>Professional Services</w:t>
            </w:r>
          </w:p>
        </w:tc>
        <w:tc>
          <w:tcPr>
            <w:tcW w:type="dxa" w:w="4032"/>
            <w:shd w:val="clear" w:color="auto" w:fill="F4F7FA"/>
          </w:tcPr>
          <w:p>
            <w:r>
              <w:rPr>
                <w:color w:val="48566A"/>
                <w:sz w:val="18"/>
              </w:rPr>
              <w:t>Implementation, custom agent development, enterprise on-boarding</w:t>
            </w:r>
          </w:p>
        </w:tc>
        <w:tc>
          <w:tcPr>
            <w:tcW w:type="dxa" w:w="2880"/>
            <w:shd w:val="clear" w:color="auto" w:fill="F4F7FA"/>
          </w:tcPr>
          <w:p>
            <w:r>
              <w:rPr>
                <w:color w:val="48566A"/>
                <w:sz w:val="18"/>
              </w:rPr>
              <w:t>One-time; transitions to ARR</w:t>
            </w:r>
          </w:p>
        </w:tc>
      </w:tr>
    </w:tbl>
    <w:p/>
    <w:p>
      <w:pPr>
        <w:pStyle w:val="Heading2"/>
        <w:spacing w:before="160" w:after="120"/>
      </w:pPr>
      <w:r>
        <w:rPr>
          <w:color w:val="00B4D8"/>
          <w:sz w:val="32"/>
        </w:rPr>
        <w:t>Key Platform Metrics</w:t>
      </w:r>
    </w:p>
    <w:tbl>
      <w:tblPr>
        <w:tblStyle w:val="TableGrid"/>
        <w:tblW w:type="auto" w:w="0"/>
        <w:jc w:val="center"/>
        <w:tblLook w:firstColumn="1" w:firstRow="1" w:lastColumn="0" w:lastRow="0" w:noHBand="0" w:noVBand="1" w:val="04A0"/>
      </w:tblPr>
      <w:tblGrid>
        <w:gridCol w:w="4536"/>
        <w:gridCol w:w="4536"/>
      </w:tblGrid>
      <w:tr>
        <w:tc>
          <w:tcPr>
            <w:tcW w:type="dxa" w:w="3168"/>
            <w:shd w:val="clear" w:color="auto" w:fill="0D1B2A"/>
          </w:tcPr>
          <w:p>
            <w:pPr>
              <w:jc w:val="center"/>
            </w:pPr>
            <w:r>
              <w:rPr>
                <w:b/>
                <w:color w:val="FFFFFF"/>
                <w:sz w:val="19"/>
              </w:rPr>
              <w:t>Metric</w:t>
            </w:r>
          </w:p>
        </w:tc>
        <w:tc>
          <w:tcPr>
            <w:tcW w:type="dxa" w:w="6192"/>
            <w:shd w:val="clear" w:color="auto" w:fill="0D1B2A"/>
          </w:tcPr>
          <w:p>
            <w:pPr>
              <w:jc w:val="center"/>
            </w:pPr>
            <w:r>
              <w:rPr>
                <w:b/>
                <w:color w:val="FFFFFF"/>
                <w:sz w:val="19"/>
              </w:rPr>
              <w:t>Why It Matters</w:t>
            </w:r>
          </w:p>
        </w:tc>
      </w:tr>
      <w:tr>
        <w:tc>
          <w:tcPr>
            <w:tcW w:type="dxa" w:w="3168"/>
            <w:shd w:val="clear" w:color="auto" w:fill="F4F7FA"/>
          </w:tcPr>
          <w:p>
            <w:r>
              <w:rPr>
                <w:color w:val="48566A"/>
                <w:sz w:val="18"/>
              </w:rPr>
              <w:t>Monthly Active Agents (MAA)</w:t>
            </w:r>
          </w:p>
        </w:tc>
        <w:tc>
          <w:tcPr>
            <w:tcW w:type="dxa" w:w="6192"/>
            <w:shd w:val="clear" w:color="auto" w:fill="F4F7FA"/>
          </w:tcPr>
          <w:p>
            <w:r>
              <w:rPr>
                <w:color w:val="48566A"/>
                <w:sz w:val="18"/>
              </w:rPr>
              <w:t>Primary growth metric — each registered, active agent represents an active customer workflow</w:t>
            </w:r>
          </w:p>
        </w:tc>
      </w:tr>
      <w:tr>
        <w:tc>
          <w:tcPr>
            <w:tcW w:type="dxa" w:w="3168"/>
            <w:shd w:val="clear" w:color="auto" w:fill="FFFFFF"/>
          </w:tcPr>
          <w:p>
            <w:r>
              <w:rPr>
                <w:color w:val="48566A"/>
                <w:sz w:val="18"/>
              </w:rPr>
              <w:t>Tasks per Day / LLM Tokens per Day</w:t>
            </w:r>
          </w:p>
        </w:tc>
        <w:tc>
          <w:tcPr>
            <w:tcW w:type="dxa" w:w="6192"/>
            <w:shd w:val="clear" w:color="auto" w:fill="FFFFFF"/>
          </w:tcPr>
          <w:p>
            <w:r>
              <w:rPr>
                <w:color w:val="48566A"/>
                <w:sz w:val="18"/>
              </w:rPr>
              <w:t>Usage-based revenue driver; scales with customer value delivery</w:t>
            </w:r>
          </w:p>
        </w:tc>
      </w:tr>
      <w:tr>
        <w:tc>
          <w:tcPr>
            <w:tcW w:type="dxa" w:w="3168"/>
            <w:shd w:val="clear" w:color="auto" w:fill="F4F7FA"/>
          </w:tcPr>
          <w:p>
            <w:r>
              <w:rPr>
                <w:color w:val="48566A"/>
                <w:sz w:val="18"/>
              </w:rPr>
              <w:t>Guardrail Block Rate</w:t>
            </w:r>
          </w:p>
        </w:tc>
        <w:tc>
          <w:tcPr>
            <w:tcW w:type="dxa" w:w="6192"/>
            <w:shd w:val="clear" w:color="auto" w:fill="F4F7FA"/>
          </w:tcPr>
          <w:p>
            <w:r>
              <w:rPr>
                <w:color w:val="48566A"/>
                <w:sz w:val="18"/>
              </w:rPr>
              <w:t>Safety health indicator; high block rate = policy misconfiguration; low = insufficient protection</w:t>
            </w:r>
          </w:p>
        </w:tc>
      </w:tr>
      <w:tr>
        <w:tc>
          <w:tcPr>
            <w:tcW w:type="dxa" w:w="3168"/>
            <w:shd w:val="clear" w:color="auto" w:fill="FFFFFF"/>
          </w:tcPr>
          <w:p>
            <w:r>
              <w:rPr>
                <w:color w:val="48566A"/>
                <w:sz w:val="18"/>
              </w:rPr>
              <w:t>RAG Query Volume</w:t>
            </w:r>
          </w:p>
        </w:tc>
        <w:tc>
          <w:tcPr>
            <w:tcW w:type="dxa" w:w="6192"/>
            <w:shd w:val="clear" w:color="auto" w:fill="FFFFFF"/>
          </w:tcPr>
          <w:p>
            <w:r>
              <w:rPr>
                <w:color w:val="48566A"/>
                <w:sz w:val="18"/>
              </w:rPr>
              <w:t>Knowledge base utilisation; higher = more tenant data moat and stickiness</w:t>
            </w:r>
          </w:p>
        </w:tc>
      </w:tr>
      <w:tr>
        <w:tc>
          <w:tcPr>
            <w:tcW w:type="dxa" w:w="3168"/>
            <w:shd w:val="clear" w:color="auto" w:fill="F4F7FA"/>
          </w:tcPr>
          <w:p>
            <w:r>
              <w:rPr>
                <w:color w:val="48566A"/>
                <w:sz w:val="18"/>
              </w:rPr>
              <w:t>P95 Task Latency</w:t>
            </w:r>
          </w:p>
        </w:tc>
        <w:tc>
          <w:tcPr>
            <w:tcW w:type="dxa" w:w="6192"/>
            <w:shd w:val="clear" w:color="auto" w:fill="F4F7FA"/>
          </w:tcPr>
          <w:p>
            <w:r>
              <w:rPr>
                <w:color w:val="48566A"/>
                <w:sz w:val="18"/>
              </w:rPr>
              <w:t>Platform reliability; SLO target ≤ 5 s end-to-end</w:t>
            </w:r>
          </w:p>
        </w:tc>
      </w:tr>
      <w:tr>
        <w:tc>
          <w:tcPr>
            <w:tcW w:type="dxa" w:w="3168"/>
            <w:shd w:val="clear" w:color="auto" w:fill="FFFFFF"/>
          </w:tcPr>
          <w:p>
            <w:r>
              <w:rPr>
                <w:color w:val="48566A"/>
                <w:sz w:val="18"/>
              </w:rPr>
              <w:t>Contract-15 Test Pass Rate</w:t>
            </w:r>
          </w:p>
        </w:tc>
        <w:tc>
          <w:tcPr>
            <w:tcW w:type="dxa" w:w="6192"/>
            <w:shd w:val="clear" w:color="auto" w:fill="FFFFFF"/>
          </w:tcPr>
          <w:p>
            <w:r>
              <w:rPr>
                <w:color w:val="48566A"/>
                <w:sz w:val="18"/>
              </w:rPr>
              <w:t>Engineering quality gate; must be 15/15 before any release</w:t>
            </w:r>
          </w:p>
        </w:tc>
      </w:tr>
      <w:tr>
        <w:tc>
          <w:tcPr>
            <w:tcW w:type="dxa" w:w="3168"/>
            <w:shd w:val="clear" w:color="auto" w:fill="F4F7FA"/>
          </w:tcPr>
          <w:p>
            <w:r>
              <w:rPr>
                <w:color w:val="48566A"/>
                <w:sz w:val="18"/>
              </w:rPr>
              <w:t>Tenant Churn Rate</w:t>
            </w:r>
          </w:p>
        </w:tc>
        <w:tc>
          <w:tcPr>
            <w:tcW w:type="dxa" w:w="6192"/>
            <w:shd w:val="clear" w:color="auto" w:fill="F4F7FA"/>
          </w:tcPr>
          <w:p>
            <w:r>
              <w:rPr>
                <w:color w:val="48566A"/>
                <w:sz w:val="18"/>
              </w:rPr>
              <w:t>Platform stickiness; identity + audit trail + memory create high switching cost</w:t>
            </w:r>
          </w:p>
        </w:tc>
      </w:tr>
    </w:tbl>
    <w:p/>
    <w:p>
      <w:pPr>
        <w:pStyle w:val="Heading2"/>
        <w:spacing w:before="160" w:after="120"/>
      </w:pPr>
      <w:r>
        <w:rPr>
          <w:color w:val="00B4D8"/>
          <w:sz w:val="32"/>
        </w:rPr>
        <w:t>Competitive Moats</w:t>
      </w:r>
    </w:p>
    <w:p>
      <w:r>
        <w:rPr>
          <w:b/>
          <w:color w:val="00B4D8"/>
          <w:sz w:val="22"/>
        </w:rPr>
        <w:t xml:space="preserve">Contract Ecosystem: </w:t>
      </w:r>
      <w:r>
        <w:rPr>
          <w:color w:val="48566A"/>
          <w:sz w:val="21"/>
        </w:rPr>
        <w:t>The 21 immutable contracts create a network effect — any tool, skill, or agent that speaks CypherX contracts works with every CypherX tenant.</w:t>
      </w:r>
    </w:p>
    <w:p>
      <w:r>
        <w:rPr>
          <w:b/>
          <w:color w:val="00B4D8"/>
          <w:sz w:val="22"/>
        </w:rPr>
        <w:t xml:space="preserve">Tenant Knowledge Graph: </w:t>
      </w:r>
      <w:r>
        <w:rPr>
          <w:color w:val="48566A"/>
          <w:sz w:val="21"/>
        </w:rPr>
        <w:t>The cypherx-a1 engineering memory and per-tenant RAG corpora are unique data assets that grow over time and are hard to migrate.</w:t>
      </w:r>
    </w:p>
    <w:p>
      <w:r>
        <w:rPr>
          <w:b/>
          <w:color w:val="00B4D8"/>
          <w:sz w:val="22"/>
        </w:rPr>
        <w:t xml:space="preserve">Identity &amp; Compliance Audit Trail: </w:t>
      </w:r>
      <w:r>
        <w:rPr>
          <w:color w:val="48566A"/>
          <w:sz w:val="21"/>
        </w:rPr>
        <w:t>The append-only audit_log, immutable JWT jti revocation trail, and RLS isolation make CypherX AI a compliance-grade platform — a requirement for regulated industries.</w:t>
      </w:r>
    </w:p>
    <w:p>
      <w:r>
        <w:rPr>
          <w:b/>
          <w:color w:val="00B4D8"/>
          <w:sz w:val="22"/>
        </w:rPr>
        <w:t xml:space="preserve">Integrated Safety Layer: </w:t>
      </w:r>
      <w:r>
        <w:rPr>
          <w:color w:val="48566A"/>
          <w:sz w:val="21"/>
        </w:rPr>
        <w:t>The guardrails-service is the only path LLM responses travel; every response is policy-checked before delivery — impossible to replicate as a bolted-on layer.</w:t>
      </w:r>
    </w:p>
    <w:p>
      <w:r>
        <w:br w:type="page"/>
      </w:r>
    </w:p>
    <w:p>
      <w:pPr>
        <w:pStyle w:val="Heading1"/>
        <w:spacing w:before="280" w:after="120"/>
      </w:pPr>
      <w:r>
        <w:rPr>
          <w:color w:val="0D1B2A"/>
          <w:sz w:val="44"/>
        </w:rPr>
        <w:t>15. Architecture Decision Records (ADRs)</w:t>
      </w:r>
    </w:p>
    <w:p>
      <w:pPr>
        <w:spacing w:after="120"/>
      </w:pPr>
      <w:r>
        <w:rPr>
          <w:color w:val="48566A"/>
          <w:sz w:val="21"/>
        </w:rPr>
        <w:t>Architecture Decision Records document every significant technical decision, its context, the alternatives considered, and the consequences. These are living documents that provide institutional memory and rationale for future contributors and investors.</w:t>
      </w:r>
    </w:p>
    <w:p>
      <w:pPr>
        <w:pStyle w:val="Heading2"/>
        <w:spacing w:before="160" w:after="120"/>
      </w:pPr>
      <w:r>
        <w:rPr>
          <w:color w:val="00B4D8"/>
          <w:sz w:val="32"/>
        </w:rPr>
        <w:t>ADR-001: PostgreSQL + pgvector over MongoDB + dedicated vector DB</w:t>
      </w:r>
    </w:p>
    <w:p>
      <w:r>
        <w:rPr>
          <w:b/>
          <w:color w:val="00B4D8"/>
        </w:rPr>
        <w:t xml:space="preserve">Status: </w:t>
      </w:r>
      <w:r>
        <w:rPr>
          <w:b/>
          <w:color w:val="10B981"/>
        </w:rPr>
        <w:t>Accepted</w:t>
      </w:r>
    </w:p>
    <w:p>
      <w:pPr>
        <w:spacing w:after="120"/>
      </w:pPr>
      <w:r>
        <w:rPr>
          <w:color w:val="48566A"/>
          <w:sz w:val="21"/>
        </w:rPr>
        <w:t>Single database engine simplifies operations, eliminates cross-DB consistency problems, enables RLS for multi-tenancy, and pgvector performance is sufficient for our workload. Dedicated vector DBs (Pinecone, Qdrant) would require separate auth, separate backups, and duplicate RLS enforcement.</w:t>
      </w:r>
    </w:p>
    <w:p>
      <w:pPr>
        <w:pBdr>
          <w:bottom w:val="single" w:sz="6" w:space="1" w:color="00B4D8"/>
        </w:pBdr>
        <w:spacing w:after="200"/>
      </w:pPr>
    </w:p>
    <w:p>
      <w:pPr>
        <w:pStyle w:val="Heading2"/>
        <w:spacing w:before="160" w:after="120"/>
      </w:pPr>
      <w:r>
        <w:rPr>
          <w:color w:val="00B4D8"/>
          <w:sz w:val="32"/>
        </w:rPr>
        <w:t>ADR-002: Neon Serverless Postgres over self-managed RDS in compose</w:t>
      </w:r>
    </w:p>
    <w:p>
      <w:r>
        <w:rPr>
          <w:b/>
          <w:color w:val="00B4D8"/>
        </w:rPr>
        <w:t xml:space="preserve">Status: </w:t>
      </w:r>
      <w:r>
        <w:rPr>
          <w:b/>
          <w:color w:val="10B981"/>
        </w:rPr>
        <w:t>Accepted</w:t>
      </w:r>
    </w:p>
    <w:p>
      <w:pPr>
        <w:spacing w:after="120"/>
      </w:pPr>
      <w:r>
        <w:rPr>
          <w:color w:val="48566A"/>
          <w:sz w:val="21"/>
        </w:rPr>
        <w:t>Eliminates the postgres container from compose (reducing local startup complexity), provides autoscaling and branching for dev environments, and the POOLED/DIRECT endpoint split maps cleanly to our transaction-mode RLS requirement.</w:t>
      </w:r>
    </w:p>
    <w:p>
      <w:pPr>
        <w:pBdr>
          <w:bottom w:val="single" w:sz="6" w:space="1" w:color="00B4D8"/>
        </w:pBdr>
        <w:spacing w:after="200"/>
      </w:pPr>
    </w:p>
    <w:p>
      <w:pPr>
        <w:pStyle w:val="Heading2"/>
        <w:spacing w:before="160" w:after="120"/>
      </w:pPr>
      <w:r>
        <w:rPr>
          <w:color w:val="00B4D8"/>
          <w:sz w:val="32"/>
        </w:rPr>
        <w:t>ADR-003: Transactional Outbox Pattern for Kafka event delivery</w:t>
      </w:r>
    </w:p>
    <w:p>
      <w:r>
        <w:rPr>
          <w:b/>
          <w:color w:val="00B4D8"/>
        </w:rPr>
        <w:t xml:space="preserve">Status: </w:t>
      </w:r>
      <w:r>
        <w:rPr>
          <w:b/>
          <w:color w:val="10B981"/>
        </w:rPr>
        <w:t>Accepted</w:t>
      </w:r>
    </w:p>
    <w:p>
      <w:pPr>
        <w:spacing w:after="120"/>
      </w:pPr>
      <w:r>
        <w:rPr>
          <w:color w:val="48566A"/>
          <w:sz w:val="21"/>
        </w:rPr>
        <w:t>Solves the dual-write problem: if we wrote to Kafka in the application layer separately from the DB write, a crash between the two would produce inconsistent state. The outbox ensures events are only published after the state change is committed.</w:t>
      </w:r>
    </w:p>
    <w:p>
      <w:pPr>
        <w:pBdr>
          <w:bottom w:val="single" w:sz="6" w:space="1" w:color="00B4D8"/>
        </w:pBdr>
        <w:spacing w:after="200"/>
      </w:pPr>
    </w:p>
    <w:p>
      <w:pPr>
        <w:pStyle w:val="Heading2"/>
        <w:spacing w:before="160" w:after="120"/>
      </w:pPr>
      <w:r>
        <w:rPr>
          <w:color w:val="00B4D8"/>
          <w:sz w:val="32"/>
        </w:rPr>
        <w:t>ADR-004: RS256 (asymmetric) JWT over HS256 (symmetric)</w:t>
      </w:r>
    </w:p>
    <w:p>
      <w:r>
        <w:rPr>
          <w:b/>
          <w:color w:val="00B4D8"/>
        </w:rPr>
        <w:t xml:space="preserve">Status: </w:t>
      </w:r>
      <w:r>
        <w:rPr>
          <w:b/>
          <w:color w:val="10B981"/>
        </w:rPr>
        <w:t>Accepted</w:t>
      </w:r>
    </w:p>
    <w:p>
      <w:pPr>
        <w:spacing w:after="120"/>
      </w:pPr>
      <w:r>
        <w:rPr>
          <w:color w:val="48566A"/>
          <w:sz w:val="21"/>
        </w:rPr>
        <w:t>Asymmetric keys allow any service to verify JWTs using the public JWKS without ever seeing the private key. HS256 would require sharing the secret with every service — a security anti-pattern at scale.</w:t>
      </w:r>
    </w:p>
    <w:p>
      <w:pPr>
        <w:pBdr>
          <w:bottom w:val="single" w:sz="6" w:space="1" w:color="00B4D8"/>
        </w:pBdr>
        <w:spacing w:after="200"/>
      </w:pPr>
    </w:p>
    <w:p>
      <w:pPr>
        <w:pStyle w:val="Heading2"/>
        <w:spacing w:before="160" w:after="120"/>
      </w:pPr>
      <w:r>
        <w:rPr>
          <w:color w:val="00B4D8"/>
          <w:sz w:val="32"/>
        </w:rPr>
        <w:t>ADR-005: Contract-first development over code-first</w:t>
      </w:r>
    </w:p>
    <w:p>
      <w:r>
        <w:rPr>
          <w:b/>
          <w:color w:val="00B4D8"/>
        </w:rPr>
        <w:t xml:space="preserve">Status: </w:t>
      </w:r>
      <w:r>
        <w:rPr>
          <w:b/>
          <w:color w:val="10B981"/>
        </w:rPr>
        <w:t>Accepted</w:t>
      </w:r>
    </w:p>
    <w:p>
      <w:pPr>
        <w:spacing w:after="120"/>
      </w:pPr>
      <w:r>
        <w:rPr>
          <w:color w:val="48566A"/>
          <w:sz w:val="21"/>
        </w:rPr>
        <w:t>Publishing immutable contracts before writing code prevents the most expensive category of bugs: service interface mismatches discovered in integration. It also enables parallel development across teams and provides a machine-verifiable specification.</w:t>
      </w:r>
    </w:p>
    <w:p>
      <w:pPr>
        <w:pBdr>
          <w:bottom w:val="single" w:sz="6" w:space="1" w:color="00B4D8"/>
        </w:pBdr>
        <w:spacing w:after="200"/>
      </w:pPr>
    </w:p>
    <w:p>
      <w:pPr>
        <w:pStyle w:val="Heading2"/>
        <w:spacing w:before="160" w:after="120"/>
      </w:pPr>
      <w:r>
        <w:rPr>
          <w:color w:val="00B4D8"/>
          <w:sz w:val="32"/>
        </w:rPr>
        <w:t>ADR-006: Redpanda over Apache Kafka</w:t>
      </w:r>
    </w:p>
    <w:p>
      <w:r>
        <w:rPr>
          <w:b/>
          <w:color w:val="00B4D8"/>
        </w:rPr>
        <w:t xml:space="preserve">Status: </w:t>
      </w:r>
      <w:r>
        <w:rPr>
          <w:b/>
          <w:color w:val="10B981"/>
        </w:rPr>
        <w:t>Accepted</w:t>
      </w:r>
    </w:p>
    <w:p>
      <w:pPr>
        <w:spacing w:after="120"/>
      </w:pPr>
      <w:r>
        <w:rPr>
          <w:color w:val="48566A"/>
          <w:sz w:val="21"/>
        </w:rPr>
        <w:t>Redpanda is Kafka-wire-compatible (all existing Kafka tooling works), eliminates ZooKeeper, has lower operational overhead in containers, and provides better single-machine performance for development. Full Kafka migration path exists if needed.</w:t>
      </w:r>
    </w:p>
    <w:p>
      <w:pPr>
        <w:pBdr>
          <w:bottom w:val="single" w:sz="6" w:space="1" w:color="00B4D8"/>
        </w:pBdr>
        <w:spacing w:after="200"/>
      </w:pPr>
    </w:p>
    <w:p>
      <w:pPr>
        <w:pStyle w:val="Heading2"/>
        <w:spacing w:before="160" w:after="120"/>
      </w:pPr>
      <w:r>
        <w:rPr>
          <w:color w:val="00B4D8"/>
          <w:sz w:val="32"/>
        </w:rPr>
        <w:t>ADR-007: Python 3.12 / FastAPI / uv for Python services</w:t>
      </w:r>
    </w:p>
    <w:p>
      <w:r>
        <w:rPr>
          <w:b/>
          <w:color w:val="00B4D8"/>
        </w:rPr>
        <w:t xml:space="preserve">Status: </w:t>
      </w:r>
      <w:r>
        <w:rPr>
          <w:b/>
          <w:color w:val="10B981"/>
        </w:rPr>
        <w:t>Accepted</w:t>
      </w:r>
    </w:p>
    <w:p>
      <w:pPr>
        <w:spacing w:after="120"/>
      </w:pPr>
      <w:r>
        <w:rPr>
          <w:color w:val="48566A"/>
          <w:sz w:val="21"/>
        </w:rPr>
        <w:t>FastAPI provides OpenAPI spec generation from type hints (critical for contract validation), async-first for I/O-bound workloads, excellent pydantic integration, and a large ecosystem. uv replaces pip for fast, reproducible builds.</w:t>
      </w:r>
    </w:p>
    <w:p>
      <w:pPr>
        <w:pBdr>
          <w:bottom w:val="single" w:sz="6" w:space="1" w:color="00B4D8"/>
        </w:pBdr>
        <w:spacing w:after="200"/>
      </w:pPr>
    </w:p>
    <w:p>
      <w:pPr>
        <w:pStyle w:val="Heading2"/>
        <w:spacing w:before="160" w:after="120"/>
      </w:pPr>
      <w:r>
        <w:rPr>
          <w:color w:val="00B4D8"/>
          <w:sz w:val="32"/>
        </w:rPr>
        <w:t>ADR-008: Kotlin / Spring Boot for auth-service</w:t>
      </w:r>
    </w:p>
    <w:p>
      <w:r>
        <w:rPr>
          <w:b/>
          <w:color w:val="00B4D8"/>
        </w:rPr>
        <w:t xml:space="preserve">Status: </w:t>
      </w:r>
      <w:r>
        <w:rPr>
          <w:b/>
          <w:color w:val="10B981"/>
        </w:rPr>
        <w:t>Accepted</w:t>
      </w:r>
    </w:p>
    <w:p>
      <w:pPr>
        <w:spacing w:after="120"/>
      </w:pPr>
      <w:r>
        <w:rPr>
          <w:color w:val="48566A"/>
          <w:sz w:val="21"/>
        </w:rPr>
        <w:t>Auth is the most security-critical service; Spring Security has a mature, battle-tested security ecosystem. Kotlin provides null safety and coroutine support. JVM warm-up is acceptable for a service that handles authentication (not hot-path latency-sensitive).</w:t>
      </w:r>
    </w:p>
    <w:p>
      <w:pPr>
        <w:pBdr>
          <w:bottom w:val="single" w:sz="6" w:space="1" w:color="00B4D8"/>
        </w:pBdr>
        <w:spacing w:after="200"/>
      </w:pPr>
    </w:p>
    <w:p>
      <w:pPr>
        <w:pStyle w:val="Heading2"/>
        <w:spacing w:before="160" w:after="120"/>
      </w:pPr>
      <w:r>
        <w:rPr>
          <w:color w:val="00B4D8"/>
          <w:sz w:val="32"/>
        </w:rPr>
        <w:t>ADR-009: Doppler for secrets management over committed .env files</w:t>
      </w:r>
    </w:p>
    <w:p>
      <w:r>
        <w:rPr>
          <w:b/>
          <w:color w:val="00B4D8"/>
        </w:rPr>
        <w:t xml:space="preserve">Status: </w:t>
      </w:r>
      <w:r>
        <w:rPr>
          <w:b/>
          <w:color w:val="10B981"/>
        </w:rPr>
        <w:t>Accepted</w:t>
      </w:r>
    </w:p>
    <w:p>
      <w:pPr>
        <w:spacing w:after="120"/>
      </w:pPr>
      <w:r>
        <w:rPr>
          <w:color w:val="48566A"/>
          <w:sz w:val="21"/>
        </w:rPr>
        <w:t>Committed secrets are a critical security vulnerability. Doppler provides audit logs for secret access, automatic rotation support, and environment-scoped secret sets. The Doppler operator syncs to K8s Secrets in cloud without service code changes.</w:t>
      </w:r>
    </w:p>
    <w:p>
      <w:pPr>
        <w:pBdr>
          <w:bottom w:val="single" w:sz="6" w:space="1" w:color="00B4D8"/>
        </w:pBdr>
        <w:spacing w:after="200"/>
      </w:pPr>
    </w:p>
    <w:p>
      <w:pPr>
        <w:pStyle w:val="Heading2"/>
        <w:spacing w:before="160" w:after="120"/>
      </w:pPr>
      <w:r>
        <w:rPr>
          <w:color w:val="00B4D8"/>
          <w:sz w:val="32"/>
        </w:rPr>
        <w:t>ADR-010: ArgoCD GitOps with manual prod sync over CD pipeline direct deploys</w:t>
      </w:r>
    </w:p>
    <w:p>
      <w:r>
        <w:rPr>
          <w:b/>
          <w:color w:val="00B4D8"/>
        </w:rPr>
        <w:t xml:space="preserve">Status: </w:t>
      </w:r>
      <w:r>
        <w:rPr>
          <w:b/>
          <w:color w:val="10B981"/>
        </w:rPr>
        <w:t>Accepted</w:t>
      </w:r>
    </w:p>
    <w:p>
      <w:pPr>
        <w:spacing w:after="120"/>
      </w:pPr>
      <w:r>
        <w:rPr>
          <w:color w:val="48566A"/>
          <w:sz w:val="21"/>
        </w:rPr>
        <w:t>GitOps provides a full audit trail of every deployment (git history + ArgoCD sync history), easy rollback (revert the git PR), and drift detection. Manual prod sync is a deliberate safety gate to prevent automated rollouts from reaching production without human review.</w:t>
      </w:r>
    </w:p>
    <w:p>
      <w:pPr>
        <w:pBdr>
          <w:bottom w:val="single" w:sz="6" w:space="1" w:color="00B4D8"/>
        </w:pBdr>
        <w:spacing w:after="200"/>
      </w:pPr>
    </w:p>
    <w:p>
      <w:pPr>
        <w:pStyle w:val="Heading1"/>
        <w:spacing w:before="280" w:after="120"/>
      </w:pPr>
      <w:r>
        <w:rPr>
          <w:color w:val="0D1B2A"/>
          <w:sz w:val="44"/>
        </w:rPr>
        <w:t>Appendix A: Full Technology Stack</w:t>
      </w:r>
    </w:p>
    <w:p>
      <w:pPr>
        <w:jc w:val="center"/>
      </w:pPr>
      <w:r>
        <w:drawing>
          <wp:inline xmlns:a="http://schemas.openxmlformats.org/drawingml/2006/main" xmlns:pic="http://schemas.openxmlformats.org/drawingml/2006/picture">
            <wp:extent cx="5852160" cy="3029137"/>
            <wp:docPr id="9" name="Picture 9"/>
            <wp:cNvGraphicFramePr>
              <a:graphicFrameLocks noChangeAspect="1"/>
            </wp:cNvGraphicFramePr>
            <a:graphic>
              <a:graphicData uri="http://schemas.openxmlformats.org/drawingml/2006/picture">
                <pic:pic>
                  <pic:nvPicPr>
                    <pic:cNvPr id="0" name="06_tech_stack.png"/>
                    <pic:cNvPicPr/>
                  </pic:nvPicPr>
                  <pic:blipFill>
                    <a:blip r:embed="rId15"/>
                    <a:stretch>
                      <a:fillRect/>
                    </a:stretch>
                  </pic:blipFill>
                  <pic:spPr>
                    <a:xfrm>
                      <a:off x="0" y="0"/>
                      <a:ext cx="5852160" cy="3029137"/>
                    </a:xfrm>
                    <a:prstGeom prst="rect"/>
                  </pic:spPr>
                </pic:pic>
              </a:graphicData>
            </a:graphic>
          </wp:inline>
        </w:drawing>
      </w:r>
    </w:p>
    <w:p>
      <w:pPr>
        <w:spacing w:after="200"/>
        <w:jc w:val="center"/>
      </w:pPr>
      <w:r>
        <w:rPr>
          <w:i/>
          <w:color w:val="48566A"/>
          <w:sz w:val="18"/>
        </w:rPr>
        <w:t>Figure A.1 — Full Technology Stack by Layer</w:t>
      </w:r>
    </w:p>
    <w:p>
      <w:r>
        <w:br w:type="page"/>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8566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