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F996D" w14:textId="3EF1A618" w:rsidR="00B025A4" w:rsidRPr="00346A60" w:rsidRDefault="00B025A4" w:rsidP="00B025A4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Hlk536547905"/>
      <w:bookmarkEnd w:id="0"/>
      <w:r w:rsidRPr="00346A60">
        <w:rPr>
          <w:rFonts w:ascii="Times New Roman" w:hAnsi="Times New Roman" w:cs="Times New Roman"/>
          <w:b/>
          <w:sz w:val="28"/>
        </w:rPr>
        <w:t>Homework</w:t>
      </w:r>
      <w:r w:rsidRPr="00346A60">
        <w:rPr>
          <w:rFonts w:ascii="Times New Roman" w:hAnsi="Times New Roman" w:cs="Times New Roman"/>
          <w:b/>
          <w:sz w:val="28"/>
        </w:rPr>
        <w:tab/>
        <w:t xml:space="preserve">Week 1 | Assignment - </w:t>
      </w:r>
      <w:proofErr w:type="spellStart"/>
      <w:r w:rsidRPr="00346A60">
        <w:rPr>
          <w:rFonts w:ascii="Times New Roman" w:hAnsi="Times New Roman" w:cs="Times New Roman"/>
          <w:b/>
          <w:sz w:val="28"/>
        </w:rPr>
        <w:t>KickStart</w:t>
      </w:r>
      <w:proofErr w:type="spellEnd"/>
    </w:p>
    <w:p w14:paraId="554AC0DA" w14:textId="77777777" w:rsidR="00B025A4" w:rsidRPr="00346A60" w:rsidRDefault="00B025A4" w:rsidP="00B025A4">
      <w:pPr>
        <w:rPr>
          <w:rFonts w:ascii="Times New Roman" w:hAnsi="Times New Roman" w:cs="Times New Roman"/>
          <w:b/>
        </w:rPr>
      </w:pPr>
    </w:p>
    <w:p w14:paraId="2FD55273" w14:textId="77777777" w:rsidR="00B025A4" w:rsidRPr="00346A60" w:rsidRDefault="00B025A4" w:rsidP="00B025A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346A60">
        <w:rPr>
          <w:rFonts w:ascii="Times New Roman" w:hAnsi="Times New Roman" w:cs="Times New Roman"/>
          <w:b/>
        </w:rPr>
        <w:t>What are three conclusions we can make about Kickstarter campaigns given the provided data?</w:t>
      </w:r>
    </w:p>
    <w:p w14:paraId="25C8C4CB" w14:textId="77777777" w:rsidR="00B025A4" w:rsidRDefault="00B025A4" w:rsidP="00B025A4">
      <w:pPr>
        <w:pStyle w:val="ListParagraph"/>
        <w:ind w:left="360"/>
        <w:rPr>
          <w:rFonts w:ascii="Times New Roman" w:hAnsi="Times New Roman" w:cs="Times New Roman"/>
        </w:rPr>
      </w:pPr>
      <w:bookmarkStart w:id="1" w:name="_GoBack"/>
      <w:bookmarkEnd w:id="1"/>
    </w:p>
    <w:p w14:paraId="139D2C9F" w14:textId="46B68B00" w:rsidR="00D327F7" w:rsidRDefault="00D327F7" w:rsidP="00B0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popular </w:t>
      </w:r>
      <w:r w:rsidR="00B025A4">
        <w:rPr>
          <w:rFonts w:ascii="Times New Roman" w:hAnsi="Times New Roman" w:cs="Times New Roman"/>
        </w:rPr>
        <w:t xml:space="preserve">Kickstarter campaigns </w:t>
      </w:r>
      <w:r>
        <w:rPr>
          <w:rFonts w:ascii="Times New Roman" w:hAnsi="Times New Roman" w:cs="Times New Roman"/>
        </w:rPr>
        <w:t>are theater/play categories while it seems investors have least interest in journalism campaigns, and food, video games and web projects are difficult to success.</w:t>
      </w:r>
    </w:p>
    <w:p w14:paraId="1AC9A750" w14:textId="77777777" w:rsidR="00D327F7" w:rsidRDefault="00D327F7" w:rsidP="00B0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speaking the higher the funding goal is the lower success rate it might have.</w:t>
      </w:r>
    </w:p>
    <w:p w14:paraId="040DB113" w14:textId="154EA925" w:rsidR="00B025A4" w:rsidRDefault="00B025A4" w:rsidP="00970E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Kickstarter campaigns that request </w:t>
      </w:r>
      <w:r w:rsidR="00D327F7">
        <w:rPr>
          <w:rFonts w:ascii="Times New Roman" w:hAnsi="Times New Roman" w:cs="Times New Roman"/>
        </w:rPr>
        <w:t>less than</w:t>
      </w:r>
      <w:r>
        <w:rPr>
          <w:rFonts w:ascii="Times New Roman" w:hAnsi="Times New Roman" w:cs="Times New Roman"/>
        </w:rPr>
        <w:t xml:space="preserve"> $4,999</w:t>
      </w:r>
      <w:r w:rsidR="00D327F7">
        <w:rPr>
          <w:rFonts w:ascii="Times New Roman" w:hAnsi="Times New Roman" w:cs="Times New Roman"/>
        </w:rPr>
        <w:t xml:space="preserve"> have</w:t>
      </w:r>
      <w:r w:rsidR="00D327F7" w:rsidRPr="00D327F7">
        <w:rPr>
          <w:rFonts w:ascii="Times New Roman" w:hAnsi="Times New Roman" w:cs="Times New Roman"/>
        </w:rPr>
        <w:t xml:space="preserve"> </w:t>
      </w:r>
      <w:r w:rsidR="00D327F7">
        <w:rPr>
          <w:rFonts w:ascii="Times New Roman" w:hAnsi="Times New Roman" w:cs="Times New Roman"/>
        </w:rPr>
        <w:t xml:space="preserve">highest success rate while the rate drops dramatically </w:t>
      </w:r>
      <w:r w:rsidR="00970E0E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$</w:t>
      </w:r>
      <w:r w:rsidR="00970E0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4,999.</w:t>
      </w:r>
    </w:p>
    <w:p w14:paraId="1C4EE119" w14:textId="69E3CE73" w:rsidR="00B025A4" w:rsidRDefault="00B025A4" w:rsidP="00B02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between the summer and winter months fluctuates, the percentage of success begins to plummet around the month of December</w:t>
      </w:r>
      <w:r w:rsidR="00970E0E">
        <w:rPr>
          <w:rFonts w:ascii="Times New Roman" w:hAnsi="Times New Roman" w:cs="Times New Roman"/>
        </w:rPr>
        <w:t>; while the highest percentage of success occurs between the month of May and June</w:t>
      </w:r>
      <w:r>
        <w:rPr>
          <w:rFonts w:ascii="Times New Roman" w:hAnsi="Times New Roman" w:cs="Times New Roman"/>
        </w:rPr>
        <w:t>.</w:t>
      </w:r>
    </w:p>
    <w:p w14:paraId="191E4298" w14:textId="77777777" w:rsidR="00B025A4" w:rsidRPr="000B6746" w:rsidRDefault="00B025A4" w:rsidP="00B025A4">
      <w:pPr>
        <w:pStyle w:val="ListParagraph"/>
        <w:rPr>
          <w:rFonts w:ascii="Times New Roman" w:hAnsi="Times New Roman" w:cs="Times New Roman"/>
        </w:rPr>
      </w:pPr>
    </w:p>
    <w:p w14:paraId="38ED71C6" w14:textId="77777777" w:rsidR="00B025A4" w:rsidRPr="00346A60" w:rsidRDefault="00B025A4" w:rsidP="00B025A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346A60">
        <w:rPr>
          <w:rFonts w:ascii="Times New Roman" w:hAnsi="Times New Roman" w:cs="Times New Roman"/>
          <w:b/>
        </w:rPr>
        <w:t>What are some of the limitations of this dataset?</w:t>
      </w:r>
    </w:p>
    <w:p w14:paraId="08328762" w14:textId="77777777" w:rsidR="00B025A4" w:rsidRDefault="00B025A4" w:rsidP="00B025A4">
      <w:pPr>
        <w:pStyle w:val="ListParagraph"/>
        <w:ind w:left="360"/>
        <w:rPr>
          <w:rFonts w:ascii="Times New Roman" w:hAnsi="Times New Roman" w:cs="Times New Roman"/>
        </w:rPr>
      </w:pPr>
    </w:p>
    <w:p w14:paraId="0E78FEE9" w14:textId="1D4EC43C" w:rsidR="00344EFF" w:rsidRPr="00344EFF" w:rsidRDefault="00344EFF" w:rsidP="00344E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columns of data of d</w:t>
      </w:r>
      <w:r>
        <w:rPr>
          <w:rFonts w:ascii="Times New Roman" w:hAnsi="Times New Roman" w:cs="Times New Roman"/>
        </w:rPr>
        <w:t>emographics of pledgers</w:t>
      </w:r>
      <w:r>
        <w:rPr>
          <w:rFonts w:ascii="Times New Roman" w:hAnsi="Times New Roman" w:cs="Times New Roman"/>
        </w:rPr>
        <w:t>, help understand the source of investments;</w:t>
      </w:r>
    </w:p>
    <w:p w14:paraId="79653F08" w14:textId="0FD03FD9" w:rsidR="00970E0E" w:rsidRDefault="00970E0E" w:rsidP="00B025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Kickstart is only one stage of fund raising, analysis should bring in other popular investing channels and proceed a horizontal comparison within the whole investing environment, in order to verify if the</w:t>
      </w:r>
      <w:r w:rsidR="00346A60">
        <w:rPr>
          <w:rFonts w:ascii="Times New Roman" w:hAnsi="Times New Roman" w:cs="Times New Roman"/>
        </w:rPr>
        <w:t xml:space="preserve"> aforementioned</w:t>
      </w:r>
      <w:r>
        <w:rPr>
          <w:rFonts w:ascii="Times New Roman" w:hAnsi="Times New Roman" w:cs="Times New Roman"/>
        </w:rPr>
        <w:t xml:space="preserve"> assumption</w:t>
      </w:r>
      <w:r w:rsidR="00346A60">
        <w:rPr>
          <w:rFonts w:ascii="Times New Roman" w:hAnsi="Times New Roman" w:cs="Times New Roman"/>
        </w:rPr>
        <w:t>s are correct</w:t>
      </w:r>
      <w:r w:rsidR="00344EFF">
        <w:rPr>
          <w:rFonts w:ascii="Times New Roman" w:hAnsi="Times New Roman" w:cs="Times New Roman"/>
        </w:rPr>
        <w:t>;</w:t>
      </w:r>
    </w:p>
    <w:p w14:paraId="0F9B90C3" w14:textId="598D065F" w:rsidR="00346A60" w:rsidRDefault="00346A60" w:rsidP="0034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Lack of data on canceled projects.  It would be insightful to see the reasons for the cancellations; the canceled projects may have been fully funded through alternative sources, </w:t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venture capital</w:t>
      </w:r>
      <w:r w:rsidR="00344EFF">
        <w:rPr>
          <w:rFonts w:ascii="Times New Roman" w:hAnsi="Times New Roman" w:cs="Times New Roman"/>
        </w:rPr>
        <w:t>;</w:t>
      </w:r>
    </w:p>
    <w:p w14:paraId="7EFB73EF" w14:textId="619571FA" w:rsidR="00346A60" w:rsidRPr="00346A60" w:rsidRDefault="00346A60" w:rsidP="00346A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analysis didn’t include a year-to-year comparison, lacks of assumption that the overall economic environment may impact fund raising and investors’ enthusiasm.</w:t>
      </w:r>
    </w:p>
    <w:p w14:paraId="380A5628" w14:textId="77777777" w:rsidR="00B025A4" w:rsidRPr="00B51344" w:rsidRDefault="00B025A4" w:rsidP="00B025A4">
      <w:pPr>
        <w:pStyle w:val="ListParagraph"/>
        <w:rPr>
          <w:rFonts w:ascii="Times New Roman" w:hAnsi="Times New Roman" w:cs="Times New Roman"/>
        </w:rPr>
      </w:pPr>
    </w:p>
    <w:p w14:paraId="0890ACD5" w14:textId="316CD47F" w:rsidR="00B025A4" w:rsidRDefault="00B025A4" w:rsidP="008E4AB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</w:rPr>
      </w:pPr>
      <w:r w:rsidRPr="00346A60">
        <w:rPr>
          <w:rFonts w:ascii="Times New Roman" w:hAnsi="Times New Roman" w:cs="Times New Roman"/>
          <w:b/>
        </w:rPr>
        <w:t>What are some other possible tables/graphs that we could create?</w:t>
      </w:r>
    </w:p>
    <w:p w14:paraId="15736FBE" w14:textId="07131472" w:rsidR="00056C65" w:rsidRPr="00056C65" w:rsidRDefault="008E4AB2" w:rsidP="00056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E4AB2">
        <w:rPr>
          <w:rFonts w:ascii="Times New Roman" w:hAnsi="Times New Roman" w:cs="Times New Roman"/>
        </w:rPr>
        <w:t xml:space="preserve">As mentioned in </w:t>
      </w:r>
      <w:r>
        <w:rPr>
          <w:rFonts w:ascii="Times New Roman" w:hAnsi="Times New Roman" w:cs="Times New Roman"/>
        </w:rPr>
        <w:t xml:space="preserve">the answer above, we can create a yearly line chart to </w:t>
      </w:r>
      <w:r w:rsidRPr="008E4AB2"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/>
        </w:rPr>
        <w:t xml:space="preserve"> kickstart campaigns’ success rate, bringing chart of local or global economy</w:t>
      </w:r>
      <w:r w:rsidR="00056C65">
        <w:rPr>
          <w:rFonts w:ascii="Times New Roman" w:hAnsi="Times New Roman" w:cs="Times New Roman"/>
        </w:rPr>
        <w:t xml:space="preserve"> of recent years and try to investigate the relationship between investor’s interest in kickstart campaigns and overall investment </w:t>
      </w:r>
      <w:r w:rsidR="00056C65" w:rsidRPr="00056C65">
        <w:rPr>
          <w:rFonts w:ascii="Times New Roman" w:hAnsi="Times New Roman" w:cs="Times New Roman"/>
        </w:rPr>
        <w:t>climate</w:t>
      </w:r>
      <w:r w:rsidR="00056C65">
        <w:rPr>
          <w:rFonts w:ascii="Times New Roman" w:hAnsi="Times New Roman" w:cs="Times New Roman"/>
        </w:rPr>
        <w:t>.</w:t>
      </w:r>
    </w:p>
    <w:p w14:paraId="250CB43E" w14:textId="1999720B" w:rsidR="008E4AB2" w:rsidRDefault="008E4AB2" w:rsidP="008E4AB2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047A92E" wp14:editId="0B5D4918">
            <wp:extent cx="5497195" cy="2683329"/>
            <wp:effectExtent l="0" t="0" r="825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413DCD-68F1-470B-AF24-1104840DA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B8C0E3" w14:textId="2524D1D7" w:rsidR="00056C65" w:rsidRDefault="00C02982" w:rsidP="00056C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Create a Pie chart. </w:t>
      </w:r>
    </w:p>
    <w:p w14:paraId="58C5704F" w14:textId="200B7CCD" w:rsidR="00C02982" w:rsidRPr="00C02982" w:rsidRDefault="00C02982" w:rsidP="00C02982">
      <w:pPr>
        <w:pStyle w:val="ListParagraph"/>
        <w:jc w:val="both"/>
        <w:rPr>
          <w:rFonts w:ascii="Times New Roman" w:hAnsi="Times New Roman" w:cs="Times New Roman"/>
        </w:rPr>
      </w:pPr>
      <w:r w:rsidRPr="00C02982">
        <w:rPr>
          <w:rFonts w:ascii="Times New Roman" w:hAnsi="Times New Roman" w:cs="Times New Roman"/>
        </w:rPr>
        <w:t xml:space="preserve">We can have a visualized data </w:t>
      </w:r>
      <w:proofErr w:type="gramStart"/>
      <w:r w:rsidRPr="00C02982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the</w:t>
      </w:r>
      <w:proofErr w:type="gramEnd"/>
      <w:r>
        <w:rPr>
          <w:rFonts w:ascii="Times New Roman" w:hAnsi="Times New Roman" w:cs="Times New Roman"/>
        </w:rPr>
        <w:t xml:space="preserve"> origins (by country) of all </w:t>
      </w:r>
      <w:r w:rsidR="00BB3EEB">
        <w:rPr>
          <w:rFonts w:ascii="Times New Roman" w:hAnsi="Times New Roman" w:cs="Times New Roman"/>
        </w:rPr>
        <w:t>the campaigns.</w:t>
      </w:r>
    </w:p>
    <w:p w14:paraId="4E653E92" w14:textId="73BF81B0" w:rsidR="00C02982" w:rsidRDefault="00C02982" w:rsidP="00C02982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7E43993" wp14:editId="14C9C848">
            <wp:extent cx="5225143" cy="3958137"/>
            <wp:effectExtent l="38100" t="0" r="1397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02D12C0-4E41-4CBA-9A47-5943CCDEE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DF2624" w14:textId="4FC6E774" w:rsidR="00BB3EEB" w:rsidRDefault="00BB3EEB" w:rsidP="00C02982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1CAA25B5" w14:textId="0CB13ED5" w:rsidR="00BB3EEB" w:rsidRDefault="00494BFA" w:rsidP="00BB3EE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Scatter chart </w:t>
      </w:r>
    </w:p>
    <w:p w14:paraId="7A1BC61F" w14:textId="4342E3A9" w:rsidR="00494BFA" w:rsidRPr="00494BFA" w:rsidRDefault="00494BFA" w:rsidP="00494BFA">
      <w:pPr>
        <w:pStyle w:val="ListParagraph"/>
        <w:jc w:val="both"/>
        <w:rPr>
          <w:rFonts w:ascii="Times New Roman" w:hAnsi="Times New Roman" w:cs="Times New Roman"/>
        </w:rPr>
      </w:pPr>
      <w:r w:rsidRPr="00494BFA">
        <w:rPr>
          <w:rFonts w:ascii="Times New Roman" w:hAnsi="Times New Roman" w:cs="Times New Roman"/>
        </w:rPr>
        <w:t xml:space="preserve">To investigate the potential linear </w:t>
      </w:r>
      <w:proofErr w:type="gramStart"/>
      <w:r w:rsidRPr="00494BFA">
        <w:rPr>
          <w:rFonts w:ascii="Times New Roman" w:hAnsi="Times New Roman" w:cs="Times New Roman"/>
        </w:rPr>
        <w:t>relationship  between</w:t>
      </w:r>
      <w:proofErr w:type="gramEnd"/>
      <w:r w:rsidRPr="00494BFA">
        <w:rPr>
          <w:rFonts w:ascii="Times New Roman" w:hAnsi="Times New Roman" w:cs="Times New Roman"/>
        </w:rPr>
        <w:t xml:space="preserve"> US campaigns and Global campaigns </w:t>
      </w:r>
    </w:p>
    <w:p w14:paraId="2D175F1F" w14:textId="77777777" w:rsidR="00494BFA" w:rsidRDefault="00494BFA" w:rsidP="00494BFA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62109A2F" w14:textId="775B8E5B" w:rsidR="00494BFA" w:rsidRPr="008E4AB2" w:rsidRDefault="00494BFA" w:rsidP="00494BFA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E7121A9" wp14:editId="252519C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D9FF9B8-F6D5-496C-B02E-A39A9F7DF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6D8B64" w14:textId="77777777" w:rsidR="00B025A4" w:rsidRDefault="00B025A4"/>
    <w:sectPr w:rsidR="00B025A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1898C" w14:textId="77777777" w:rsidR="003B07CC" w:rsidRDefault="003B07CC" w:rsidP="00B025A4">
      <w:pPr>
        <w:spacing w:after="0" w:line="240" w:lineRule="auto"/>
      </w:pPr>
      <w:r>
        <w:separator/>
      </w:r>
    </w:p>
  </w:endnote>
  <w:endnote w:type="continuationSeparator" w:id="0">
    <w:p w14:paraId="766EF97E" w14:textId="77777777" w:rsidR="003B07CC" w:rsidRDefault="003B07CC" w:rsidP="00B0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BC5B" w14:textId="77777777" w:rsidR="003B07CC" w:rsidRDefault="003B07CC" w:rsidP="00B025A4">
      <w:pPr>
        <w:spacing w:after="0" w:line="240" w:lineRule="auto"/>
      </w:pPr>
      <w:r>
        <w:separator/>
      </w:r>
    </w:p>
  </w:footnote>
  <w:footnote w:type="continuationSeparator" w:id="0">
    <w:p w14:paraId="42253BE3" w14:textId="77777777" w:rsidR="003B07CC" w:rsidRDefault="003B07CC" w:rsidP="00B0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9C74B" w14:textId="15248DB5" w:rsidR="00B025A4" w:rsidRDefault="00B025A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CF5832" wp14:editId="347748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6D95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hAnsi="Times New Roman" w:cs="Times New Roman"/>
          <w:b/>
        </w:rPr>
        <w:alias w:val="Title"/>
        <w:id w:val="15524250"/>
        <w:placeholder>
          <w:docPart w:val="2603F15E640F44D2B52E5B84EFE1F04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B025A4">
          <w:rPr>
            <w:rFonts w:ascii="Times New Roman" w:hAnsi="Times New Roman" w:cs="Times New Roman"/>
            <w:b/>
          </w:rPr>
          <w:t>Student</w:t>
        </w:r>
        <w:r w:rsidRPr="00B025A4">
          <w:rPr>
            <w:rFonts w:ascii="Times New Roman" w:hAnsi="Times New Roman" w:cs="Times New Roman"/>
            <w:b/>
          </w:rPr>
          <w:tab/>
          <w:t>Yuan Chai</w:t>
        </w:r>
      </w:sdtContent>
    </w:sdt>
  </w:p>
  <w:p w14:paraId="53449E1A" w14:textId="77777777" w:rsidR="00B025A4" w:rsidRDefault="00B02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3A45"/>
    <w:multiLevelType w:val="hybridMultilevel"/>
    <w:tmpl w:val="448AD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6B6E"/>
    <w:multiLevelType w:val="hybridMultilevel"/>
    <w:tmpl w:val="B576E2D6"/>
    <w:lvl w:ilvl="0" w:tplc="9F18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43C74"/>
    <w:multiLevelType w:val="hybridMultilevel"/>
    <w:tmpl w:val="9A1A6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C5DD1"/>
    <w:multiLevelType w:val="hybridMultilevel"/>
    <w:tmpl w:val="AE2435CC"/>
    <w:lvl w:ilvl="0" w:tplc="9F180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010CA"/>
    <w:multiLevelType w:val="hybridMultilevel"/>
    <w:tmpl w:val="C15C8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BD"/>
    <w:rsid w:val="00056C65"/>
    <w:rsid w:val="000E1DA7"/>
    <w:rsid w:val="0014734D"/>
    <w:rsid w:val="00344EFF"/>
    <w:rsid w:val="00346A60"/>
    <w:rsid w:val="003B07CC"/>
    <w:rsid w:val="00494BFA"/>
    <w:rsid w:val="005A2E9C"/>
    <w:rsid w:val="00647C4E"/>
    <w:rsid w:val="008E4AB2"/>
    <w:rsid w:val="00970E0E"/>
    <w:rsid w:val="00A16762"/>
    <w:rsid w:val="00B025A4"/>
    <w:rsid w:val="00BB3EEB"/>
    <w:rsid w:val="00BC13DF"/>
    <w:rsid w:val="00C02982"/>
    <w:rsid w:val="00D327F7"/>
    <w:rsid w:val="00F726B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A332"/>
  <w15:chartTrackingRefBased/>
  <w15:docId w15:val="{39B07F34-4A63-426B-B74D-685FF205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5A4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A4"/>
    <w:pPr>
      <w:ind w:left="720"/>
      <w:contextualSpacing/>
    </w:pPr>
  </w:style>
  <w:style w:type="paragraph" w:styleId="NoSpacing">
    <w:name w:val="No Spacing"/>
    <w:uiPriority w:val="1"/>
    <w:qFormat/>
    <w:rsid w:val="00B025A4"/>
    <w:pPr>
      <w:spacing w:after="0" w:line="240" w:lineRule="auto"/>
    </w:pPr>
    <w:rPr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0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5A4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02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5A4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Y\Desktop\Data%20Bootcamp\@%20Homeworks\01-Excel\StarterBook_Yuan%20Cha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Y\Desktop\Data%20Bootcamp\@%20Homeworks\01-Excel\StarterBook_Yuan%20Cha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Y\Desktop\Data%20Bootcamp\@%20Homeworks\01-Excel\StarterBook_Yuan%20Cha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[StarterBook_Yuan Chai.xlsx]Add' for Q3!PivotTable3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</a:t>
            </a:r>
            <a:r>
              <a:rPr lang="en-US" baseline="0"/>
              <a:t>s success rate per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6"/>
            </a:soli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5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5"/>
            </a:soli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4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solidFill>
              <a:schemeClr val="accent4"/>
            </a:soli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'Add'' for Q3'!$B$4:$B$5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'Add'' for Q3'!$A$6:$A$15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'Add'' for Q3'!$B$6:$B$15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CA-4780-AA3E-201CCE0E36A6}"/>
            </c:ext>
          </c:extLst>
        </c:ser>
        <c:ser>
          <c:idx val="1"/>
          <c:order val="1"/>
          <c:tx>
            <c:strRef>
              <c:f>'Add'' for Q3'!$C$4:$C$5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'Add'' for Q3'!$A$6:$A$15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'Add'' for Q3'!$C$6:$C$15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528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CA-4780-AA3E-201CCE0E36A6}"/>
            </c:ext>
          </c:extLst>
        </c:ser>
        <c:ser>
          <c:idx val="2"/>
          <c:order val="2"/>
          <c:tx>
            <c:strRef>
              <c:f>'Add'' for Q3'!$D$4:$D$5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'Add'' for Q3'!$A$6:$A$15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'Add'' for Q3'!$D$6:$D$15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CA-4780-AA3E-201CCE0E3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332232"/>
        <c:axId val="599332888"/>
      </c:lineChart>
      <c:catAx>
        <c:axId val="599332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332888"/>
        <c:crosses val="autoZero"/>
        <c:auto val="1"/>
        <c:lblAlgn val="ctr"/>
        <c:lblOffset val="100"/>
        <c:noMultiLvlLbl val="0"/>
      </c:catAx>
      <c:valAx>
        <c:axId val="5993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332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[StarterBook_Yuan Chai.xlsx]Add' for Q3!PivotTable2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2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9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4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'Add'' for Q3'!$B$24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83D-4460-8CC2-647FA130C3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83D-4460-8CC2-647FA130C3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83D-4460-8CC2-647FA130C3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83D-4460-8CC2-647FA130C3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83D-4460-8CC2-647FA130C3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783D-4460-8CC2-647FA130C3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783D-4460-8CC2-647FA130C32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783D-4460-8CC2-647FA130C32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783D-4460-8CC2-647FA130C32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783D-4460-8CC2-647FA130C32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783D-4460-8CC2-647FA130C32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783D-4460-8CC2-647FA130C32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783D-4460-8CC2-647FA130C321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783D-4460-8CC2-647FA130C321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783D-4460-8CC2-647FA130C321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783D-4460-8CC2-647FA130C321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783D-4460-8CC2-647FA130C321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783D-4460-8CC2-647FA130C321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783D-4460-8CC2-647FA130C321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783D-4460-8CC2-647FA130C321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9-783D-4460-8CC2-647FA130C321}"/>
              </c:ext>
            </c:extLst>
          </c:dPt>
          <c:cat>
            <c:strRef>
              <c:f>'Add'' for Q3'!$A$25:$A$46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'Add'' for Q3'!$B$25:$B$46</c:f>
              <c:numCache>
                <c:formatCode>General</c:formatCode>
                <c:ptCount val="21"/>
                <c:pt idx="0">
                  <c:v>6</c:v>
                </c:pt>
                <c:pt idx="1">
                  <c:v>74</c:v>
                </c:pt>
                <c:pt idx="2">
                  <c:v>2</c:v>
                </c:pt>
                <c:pt idx="3">
                  <c:v>146</c:v>
                </c:pt>
                <c:pt idx="4">
                  <c:v>6</c:v>
                </c:pt>
                <c:pt idx="5">
                  <c:v>53</c:v>
                </c:pt>
                <c:pt idx="6">
                  <c:v>14</c:v>
                </c:pt>
                <c:pt idx="7">
                  <c:v>21</c:v>
                </c:pt>
                <c:pt idx="8">
                  <c:v>27</c:v>
                </c:pt>
                <c:pt idx="9">
                  <c:v>604</c:v>
                </c:pt>
                <c:pt idx="10">
                  <c:v>3</c:v>
                </c:pt>
                <c:pt idx="11">
                  <c:v>15</c:v>
                </c:pt>
                <c:pt idx="12">
                  <c:v>29</c:v>
                </c:pt>
                <c:pt idx="13">
                  <c:v>2</c:v>
                </c:pt>
                <c:pt idx="14">
                  <c:v>12</c:v>
                </c:pt>
                <c:pt idx="15">
                  <c:v>21</c:v>
                </c:pt>
                <c:pt idx="16">
                  <c:v>7</c:v>
                </c:pt>
                <c:pt idx="17">
                  <c:v>12</c:v>
                </c:pt>
                <c:pt idx="18">
                  <c:v>21</c:v>
                </c:pt>
                <c:pt idx="19">
                  <c:v>1</c:v>
                </c:pt>
                <c:pt idx="20">
                  <c:v>3038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783D-4460-8CC2-647FA130C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Sheet5!$L$5</c:f>
              <c:strCache>
                <c:ptCount val="1"/>
                <c:pt idx="0">
                  <c:v>successful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Sheet5!$I$6:$I$46</c:f>
              <c:numCache>
                <c:formatCode>General</c:formatCode>
                <c:ptCount val="41"/>
                <c:pt idx="4">
                  <c:v>33</c:v>
                </c:pt>
                <c:pt idx="5">
                  <c:v>164</c:v>
                </c:pt>
                <c:pt idx="7">
                  <c:v>30</c:v>
                </c:pt>
                <c:pt idx="12">
                  <c:v>103</c:v>
                </c:pt>
                <c:pt idx="13">
                  <c:v>138</c:v>
                </c:pt>
                <c:pt idx="15">
                  <c:v>7</c:v>
                </c:pt>
                <c:pt idx="16">
                  <c:v>14</c:v>
                </c:pt>
                <c:pt idx="18">
                  <c:v>45</c:v>
                </c:pt>
                <c:pt idx="20">
                  <c:v>49</c:v>
                </c:pt>
                <c:pt idx="22">
                  <c:v>62</c:v>
                </c:pt>
                <c:pt idx="24">
                  <c:v>412</c:v>
                </c:pt>
                <c:pt idx="25">
                  <c:v>35</c:v>
                </c:pt>
                <c:pt idx="26">
                  <c:v>20</c:v>
                </c:pt>
                <c:pt idx="28">
                  <c:v>240</c:v>
                </c:pt>
                <c:pt idx="30">
                  <c:v>48</c:v>
                </c:pt>
                <c:pt idx="31">
                  <c:v>34</c:v>
                </c:pt>
                <c:pt idx="32">
                  <c:v>31</c:v>
                </c:pt>
                <c:pt idx="33">
                  <c:v>68</c:v>
                </c:pt>
                <c:pt idx="34">
                  <c:v>52</c:v>
                </c:pt>
                <c:pt idx="35">
                  <c:v>49</c:v>
                </c:pt>
                <c:pt idx="38">
                  <c:v>17</c:v>
                </c:pt>
              </c:numCache>
            </c:numRef>
          </c:xVal>
          <c:yVal>
            <c:numRef>
              <c:f>Sheet5!$L$6:$L$46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40</c:v>
                </c:pt>
                <c:pt idx="5">
                  <c:v>180</c:v>
                </c:pt>
                <c:pt idx="6">
                  <c:v>0</c:v>
                </c:pt>
                <c:pt idx="7">
                  <c:v>40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140</c:v>
                </c:pt>
                <c:pt idx="13">
                  <c:v>140</c:v>
                </c:pt>
                <c:pt idx="14">
                  <c:v>0</c:v>
                </c:pt>
                <c:pt idx="15">
                  <c:v>9</c:v>
                </c:pt>
                <c:pt idx="16">
                  <c:v>20</c:v>
                </c:pt>
                <c:pt idx="17">
                  <c:v>0</c:v>
                </c:pt>
                <c:pt idx="18">
                  <c:v>60</c:v>
                </c:pt>
                <c:pt idx="19">
                  <c:v>0</c:v>
                </c:pt>
                <c:pt idx="20">
                  <c:v>60</c:v>
                </c:pt>
                <c:pt idx="21">
                  <c:v>0</c:v>
                </c:pt>
                <c:pt idx="22">
                  <c:v>103</c:v>
                </c:pt>
                <c:pt idx="23">
                  <c:v>0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7">
                  <c:v>0</c:v>
                </c:pt>
                <c:pt idx="28">
                  <c:v>260</c:v>
                </c:pt>
                <c:pt idx="29">
                  <c:v>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6">
                  <c:v>0</c:v>
                </c:pt>
                <c:pt idx="37">
                  <c:v>0</c:v>
                </c:pt>
                <c:pt idx="38">
                  <c:v>20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DF-44FD-B4B0-4797BF924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532544"/>
        <c:axId val="617538776"/>
      </c:scatterChart>
      <c:valAx>
        <c:axId val="61753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538776"/>
        <c:crosses val="autoZero"/>
        <c:crossBetween val="midCat"/>
      </c:valAx>
      <c:valAx>
        <c:axId val="61753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532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3F15E640F44D2B52E5B84EFE1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AD033-1D0F-4E9D-BB20-D3501879991E}"/>
      </w:docPartPr>
      <w:docPartBody>
        <w:p w:rsidR="00962DC2" w:rsidRDefault="002131F9" w:rsidP="002131F9">
          <w:pPr>
            <w:pStyle w:val="2603F15E640F44D2B52E5B84EFE1F04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F9"/>
    <w:rsid w:val="002131F9"/>
    <w:rsid w:val="005A56E6"/>
    <w:rsid w:val="00666484"/>
    <w:rsid w:val="009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3F15E640F44D2B52E5B84EFE1F04F">
    <w:name w:val="2603F15E640F44D2B52E5B84EFE1F04F"/>
    <w:rsid w:val="00213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BFE5-507F-4115-BFD3-B0F24DE4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	Yuan Chai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	Yuan Chai</dc:title>
  <dc:subject/>
  <dc:creator>CY</dc:creator>
  <cp:keywords/>
  <dc:description/>
  <cp:lastModifiedBy>CY</cp:lastModifiedBy>
  <cp:revision>6</cp:revision>
  <dcterms:created xsi:type="dcterms:W3CDTF">2019-01-29T06:26:00Z</dcterms:created>
  <dcterms:modified xsi:type="dcterms:W3CDTF">2019-01-29T23:39:00Z</dcterms:modified>
</cp:coreProperties>
</file>