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40"/>
      </w:pPr>
      <w:r>
        <w:rPr>
          <w:sz w:val="22"/>
          <w:szCs w:val="22"/>
        </w:rPr>
        <w:t xml:space="preserve"/>
      </w:r>
    </w:p>
    <w:p>
      <w:pPr>
        <w:jc w:val="center"/>
      </w:pPr>
      <w:r>
        <w:rPr>
          <w:rFonts w:ascii="Arial" w:cs="Arial" w:eastAsia="Arial" w:hAnsi="Arial"/>
          <w:b/>
          <w:bCs/>
          <w:color w:val="1F3864"/>
          <w:sz w:val="64"/>
          <w:szCs w:val="64"/>
        </w:rPr>
        <w:t xml:space="preserve">TURPE_france.xlsx</w:t>
      </w:r>
    </w:p>
    <w:p>
      <w:pPr>
        <w:spacing w:after="60"/>
        <w:jc w:val="center"/>
      </w:pPr>
      <w:r>
        <w:rPr>
          <w:rFonts w:ascii="Arial" w:cs="Arial" w:eastAsia="Arial" w:hAnsi="Arial"/>
          <w:color w:val="2E75B6"/>
          <w:sz w:val="32"/>
          <w:szCs w:val="32"/>
        </w:rPr>
        <w:t xml:space="preserve">Guide complet — Tarifs TURPE 6 HTB</w:t>
      </w:r>
    </w:p>
    <w:p>
      <w:pPr>
        <w:spacing w:after="480"/>
        <w:jc w:val="center"/>
      </w:pPr>
      <w:r>
        <w:rPr>
          <w:rFonts w:ascii="Arial" w:cs="Arial" w:eastAsia="Arial" w:hAnsi="Arial"/>
          <w:color w:val="777777"/>
          <w:sz w:val="24"/>
          <w:szCs w:val="24"/>
        </w:rPr>
        <w:t xml:space="preserve">Pour débutants · Version 2.0 · Mars 2026</w:t>
      </w:r>
    </w:p>
    <w:tbl>
      <w:tblPr>
        <w:tblW w:type="dxa" w:w="920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80"/>
        </w:tblCellMar>
      </w:tblPr>
      <w:tblGrid>
        <w:gridCol w:w="9200"/>
      </w:tblGrid>
      <w:tr>
        <w:tc>
          <w:tcPr>
            <w:tcBorders>
              <w:top w:val="single" w:color="CCCCCC" w:sz="1"/>
              <w:left w:val="single" w:color="2E75B6" w:sz="12"/>
              <w:bottom w:val="single" w:color="CCCCCC" w:sz="1"/>
              <w:right w:val="single" w:color="CCCCCC" w:sz="1"/>
            </w:tcBorders>
            <w:shd w:fill="EBF3FA" w:val="clear"/>
            <w:tcMar>
              <w:top w:type="dxa" w:w="140"/>
              <w:left w:type="dxa" w:w="200"/>
              <w:bottom w:type="dxa" w:w="140"/>
              <w:right w:type="dxa" w:w="140"/>
            </w:tcMar>
          </w:tcPr>
          <w:p>
            <w:pPr>
              <w:spacing w:after="0"/>
            </w:pPr>
            <w:r>
              <w:rPr>
                <w:rFonts w:ascii="Arial" w:cs="Arial" w:eastAsia="Arial" w:hAnsi="Arial"/>
                <w:b/>
                <w:bCs/>
                <w:color w:val="2E75B6"/>
                <w:sz w:val="22"/>
                <w:szCs w:val="22"/>
              </w:rPr>
              <w:t xml:space="preserve"/>
            </w:r>
            <w:r>
              <w:rPr>
                <w:rFonts w:ascii="Arial" w:cs="Arial" w:eastAsia="Arial" w:hAnsi="Arial"/>
                <w:color w:val="1A1A1A"/>
                <w:sz w:val="21"/>
                <w:szCs w:val="21"/>
              </w:rPr>
              <w:t xml:space="preserve">Ce document explique le fichier TURPE_france.xlsx utilisé dans le modèle d'optimisation PPA. Il est écrit pour quelqu'un qui n'a jamais travaillé avec les tarifs électriques français. Aucun prérequis technique n'est nécessaire.</w:t>
            </w:r>
          </w:p>
        </w:tc>
      </w:tr>
    </w:tbl>
    <w:p>
      <w:r>
        <w:br w:type="page"/>
      </w:r>
    </w:p>
    <w:p>
      <w:pPr>
        <w:pStyle w:val="Heading1"/>
        <w:pBdr>
          <w:bottom w:val="single" w:color="2E75B6" w:sz="6" w:space="4"/>
        </w:pBdr>
        <w:spacing w:before="400" w:after="160"/>
      </w:pPr>
      <w:r>
        <w:rPr>
          <w:rFonts w:ascii="Arial" w:cs="Arial" w:eastAsia="Arial" w:hAnsi="Arial"/>
          <w:b/>
          <w:bCs/>
          <w:color w:val="1F3864"/>
          <w:sz w:val="36"/>
          <w:szCs w:val="36"/>
        </w:rPr>
        <w:t xml:space="preserve">1. Contexte — Pourquoi ce fichier existe</w:t>
      </w:r>
    </w:p>
    <w:p>
      <w:pPr>
        <w:pStyle w:val="Heading2"/>
        <w:spacing w:before="280" w:after="100"/>
      </w:pPr>
      <w:r>
        <w:rPr>
          <w:rFonts w:ascii="Arial" w:cs="Arial" w:eastAsia="Arial" w:hAnsi="Arial"/>
          <w:b/>
          <w:bCs/>
          <w:color w:val="2E75B6"/>
          <w:sz w:val="28"/>
          <w:szCs w:val="28"/>
        </w:rPr>
        <w:t xml:space="preserve">1.1 Le problème que le modèle PPA cherche à résoudre</w:t>
      </w:r>
    </w:p>
    <w:p>
      <w:pPr>
        <w:spacing w:after="120"/>
      </w:pPr>
      <w:r>
        <w:rPr>
          <w:rFonts w:ascii="Arial" w:cs="Arial" w:eastAsia="Arial" w:hAnsi="Arial"/>
          <w:color w:val="1A1A1A"/>
          <w:sz w:val="22"/>
          <w:szCs w:val="22"/>
        </w:rPr>
        <w:t xml:space="preserve">Un grand industriel (aciérie, cimenterie, usine chimique, électrolyseur H2...) consomme des dizaines voire des centaines de mégawatts d'électricité. Il doit choisir comment s'approvisionner :</w:t>
      </w:r>
    </w:p>
    <w:p>
      <w:pPr>
        <w:pStyle w:val="ListParagraph"/>
        <w:numPr>
          <w:ilvl w:val="0"/>
          <w:numId w:val="2"/>
        </w:numPr>
        <w:spacing w:after="80"/>
      </w:pPr>
      <w:r>
        <w:rPr>
          <w:rFonts w:ascii="Arial" w:cs="Arial" w:eastAsia="Arial" w:hAnsi="Arial"/>
          <w:color w:val="1A1A1A"/>
          <w:sz w:val="22"/>
          <w:szCs w:val="22"/>
        </w:rPr>
        <w:t xml:space="preserve">Acheter son électricité sur le réseau via un fournisseur classique (EDF, TotalEnergies, Engie...)</w:t>
      </w:r>
    </w:p>
    <w:p>
      <w:pPr>
        <w:pStyle w:val="ListParagraph"/>
        <w:numPr>
          <w:ilvl w:val="0"/>
          <w:numId w:val="2"/>
        </w:numPr>
        <w:spacing w:after="80"/>
      </w:pPr>
      <w:r>
        <w:rPr>
          <w:rFonts w:ascii="Arial" w:cs="Arial" w:eastAsia="Arial" w:hAnsi="Arial"/>
          <w:color w:val="1A1A1A"/>
          <w:sz w:val="22"/>
          <w:szCs w:val="22"/>
        </w:rPr>
        <w:t xml:space="preserve">Signer un contrat direct avec un producteur d'énergie renouvelable — c'est un PPA (Power Purchase Agreement)</w:t>
      </w:r>
    </w:p>
    <w:p>
      <w:pPr>
        <w:pStyle w:val="ListParagraph"/>
        <w:numPr>
          <w:ilvl w:val="0"/>
          <w:numId w:val="2"/>
        </w:numPr>
        <w:spacing w:after="80"/>
      </w:pPr>
      <w:r>
        <w:rPr>
          <w:rFonts w:ascii="Arial" w:cs="Arial" w:eastAsia="Arial" w:hAnsi="Arial"/>
          <w:color w:val="1A1A1A"/>
          <w:sz w:val="22"/>
          <w:szCs w:val="22"/>
        </w:rPr>
        <w:t xml:space="preserve">Ou combiner intelligemment les deux sources</w:t>
      </w:r>
    </w:p>
    <w:p>
      <w:pPr>
        <w:spacing w:after="80"/>
      </w:pPr>
      <w:r>
        <w:rPr>
          <w:sz w:val="22"/>
          <w:szCs w:val="22"/>
        </w:rPr>
        <w:t xml:space="preserve"/>
      </w:r>
    </w:p>
    <w:p>
      <w:pPr>
        <w:spacing w:after="120"/>
      </w:pPr>
      <w:r>
        <w:rPr>
          <w:rFonts w:ascii="Arial" w:cs="Arial" w:eastAsia="Arial" w:hAnsi="Arial"/>
          <w:color w:val="1A1A1A"/>
          <w:sz w:val="22"/>
          <w:szCs w:val="22"/>
        </w:rPr>
        <w:t xml:space="preserve">Le modèle calcule le mix optimal pour minimiser le coût total sur 20-30 ans. Pour ce calcul, il a besoin de connaître le coût complet de l'électricité réseau, heure par heure. C'est exactement ce que fournit le fichier TURPE_france.xlsx.</w:t>
      </w:r>
    </w:p>
    <w:p>
      <w:pPr>
        <w:pStyle w:val="Heading2"/>
        <w:spacing w:before="280" w:after="100"/>
      </w:pPr>
      <w:r>
        <w:rPr>
          <w:rFonts w:ascii="Arial" w:cs="Arial" w:eastAsia="Arial" w:hAnsi="Arial"/>
          <w:b/>
          <w:bCs/>
          <w:color w:val="2E75B6"/>
          <w:sz w:val="28"/>
          <w:szCs w:val="28"/>
        </w:rPr>
        <w:t xml:space="preserve">1.2 Qu'est-ce que le TURPE ?</w:t>
      </w:r>
    </w:p>
    <w:p>
      <w:pPr>
        <w:spacing w:after="120"/>
      </w:pPr>
      <w:r>
        <w:rPr>
          <w:rFonts w:ascii="Arial" w:cs="Arial" w:eastAsia="Arial" w:hAnsi="Arial"/>
          <w:color w:val="1A1A1A"/>
          <w:sz w:val="22"/>
          <w:szCs w:val="22"/>
        </w:rPr>
        <w:t xml:space="preserve">TURPE signifie : Tarif d'Utilisation des Réseaux Publics d'Électricité. En langage simple : c'est la facture que vous payez pour avoir le droit d'utiliser les câbles et lignes haute tension qui transportent l'électricité jusqu'à votre usine.</w:t>
      </w:r>
    </w:p>
    <w:p>
      <w:pPr>
        <w:spacing w:after="120"/>
      </w:pPr>
      <w:r>
        <w:rPr>
          <w:rFonts w:ascii="Arial" w:cs="Arial" w:eastAsia="Arial" w:hAnsi="Arial"/>
          <w:color w:val="1A1A1A"/>
          <w:sz w:val="22"/>
          <w:szCs w:val="22"/>
        </w:rPr>
        <w:t xml:space="preserve">Quand vous achetez de l'électricité, votre facture contient toujours deux grandes parties :</w:t>
      </w:r>
    </w:p>
    <w:p>
      <w:pPr>
        <w:pStyle w:val="ListParagraph"/>
        <w:numPr>
          <w:ilvl w:val="0"/>
          <w:numId w:val="2"/>
        </w:numPr>
        <w:spacing w:after="80"/>
      </w:pPr>
      <w:r>
        <w:rPr>
          <w:rFonts w:ascii="Arial" w:cs="Arial" w:eastAsia="Arial" w:hAnsi="Arial"/>
          <w:color w:val="1A1A1A"/>
          <w:sz w:val="22"/>
          <w:szCs w:val="22"/>
        </w:rPr>
        <w:t xml:space="preserve">La commodity : le prix de l'électricité elle-même (varie chaque heure selon le marché européen EPEX Spot)</w:t>
      </w:r>
    </w:p>
    <w:p>
      <w:pPr>
        <w:pStyle w:val="ListParagraph"/>
        <w:numPr>
          <w:ilvl w:val="0"/>
          <w:numId w:val="2"/>
        </w:numPr>
        <w:spacing w:after="80"/>
      </w:pPr>
      <w:r>
        <w:rPr>
          <w:rFonts w:ascii="Arial" w:cs="Arial" w:eastAsia="Arial" w:hAnsi="Arial"/>
          <w:color w:val="1A1A1A"/>
          <w:sz w:val="22"/>
          <w:szCs w:val="22"/>
        </w:rPr>
        <w:t xml:space="preserve">L'acheminement : le TURPE — le coût d'utilisation du réseau, fixé par l'État via la CRE, indépendant du prix du marché</w:t>
      </w:r>
    </w:p>
    <w:p>
      <w:pPr>
        <w:spacing w:after="80"/>
      </w:pPr>
      <w:r>
        <w:rPr>
          <w:sz w:val="22"/>
          <w:szCs w:val="22"/>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80"/>
        </w:tblCellMar>
      </w:tblPr>
      <w:tblGrid>
        <w:gridCol w:w="9200"/>
      </w:tblGrid>
      <w:tr>
        <w:tc>
          <w:tcPr>
            <w:tcBorders>
              <w:top w:val="single" w:color="CCCCCC" w:sz="1"/>
              <w:left w:val="single" w:color="2E75B6" w:sz="12"/>
              <w:bottom w:val="single" w:color="CCCCCC" w:sz="1"/>
              <w:right w:val="single" w:color="CCCCCC" w:sz="1"/>
            </w:tcBorders>
            <w:shd w:fill="EBF3FA" w:val="clear"/>
            <w:tcMar>
              <w:top w:type="dxa" w:w="140"/>
              <w:left w:type="dxa" w:w="200"/>
              <w:bottom w:type="dxa" w:w="140"/>
              <w:right w:type="dxa" w:w="140"/>
            </w:tcMar>
          </w:tcPr>
          <w:p>
            <w:pPr>
              <w:spacing w:after="0"/>
            </w:pPr>
            <w:r>
              <w:rPr>
                <w:rFonts w:ascii="Arial" w:cs="Arial" w:eastAsia="Arial" w:hAnsi="Arial"/>
                <w:b/>
                <w:bCs/>
                <w:color w:val="2E75B6"/>
                <w:sz w:val="22"/>
                <w:szCs w:val="22"/>
              </w:rPr>
              <w:t xml:space="preserve"/>
            </w:r>
            <w:r>
              <w:rPr>
                <w:rFonts w:ascii="Arial" w:cs="Arial" w:eastAsia="Arial" w:hAnsi="Arial"/>
                <w:color w:val="1A1A1A"/>
                <w:sz w:val="21"/>
                <w:szCs w:val="21"/>
              </w:rPr>
              <w:t xml:space="preserve">💡  Analogie simple
Le TURPE, c'est comme le péage autoroutier. Que l'autoroute soit chargée ou vide, vous payez le péage. De même, le TURPE ne dépend pas du prix spot de l'électricité — il couvre uniquement les coûts d'infrastructure du réseau (lignes, transformateurs, maintenance...).</w:t>
            </w:r>
          </w:p>
        </w:tc>
      </w:tr>
    </w:tbl>
    <w:p>
      <w:pPr>
        <w:pStyle w:val="Heading2"/>
        <w:spacing w:before="280" w:after="100"/>
      </w:pPr>
      <w:r>
        <w:rPr>
          <w:rFonts w:ascii="Arial" w:cs="Arial" w:eastAsia="Arial" w:hAnsi="Arial"/>
          <w:b/>
          <w:bCs/>
          <w:color w:val="2E75B6"/>
          <w:sz w:val="28"/>
          <w:szCs w:val="28"/>
        </w:rPr>
        <w:t xml:space="preserve">1.3 Qui fixe le TURPE et comment ?</w:t>
      </w:r>
    </w:p>
    <w:p>
      <w:pPr>
        <w:pStyle w:val="ListParagraph"/>
        <w:numPr>
          <w:ilvl w:val="0"/>
          <w:numId w:val="2"/>
        </w:numPr>
        <w:spacing w:after="80"/>
      </w:pPr>
      <w:r>
        <w:rPr>
          <w:rFonts w:ascii="Arial" w:cs="Arial" w:eastAsia="Arial" w:hAnsi="Arial"/>
          <w:color w:val="1A1A1A"/>
          <w:sz w:val="22"/>
          <w:szCs w:val="22"/>
        </w:rPr>
        <w:t xml:space="preserve">La CRE (Commission de Régulation de l'Énergie) : autorité indépendante de l'État qui fixe les règles et les montants. Équivalent de l'AMF pour les marchés financiers, mais pour l'énergie.</w:t>
      </w:r>
    </w:p>
    <w:p>
      <w:pPr>
        <w:pStyle w:val="ListParagraph"/>
        <w:numPr>
          <w:ilvl w:val="0"/>
          <w:numId w:val="2"/>
        </w:numPr>
        <w:spacing w:after="80"/>
      </w:pPr>
      <w:r>
        <w:rPr>
          <w:rFonts w:ascii="Arial" w:cs="Arial" w:eastAsia="Arial" w:hAnsi="Arial"/>
          <w:color w:val="1A1A1A"/>
          <w:sz w:val="22"/>
          <w:szCs w:val="22"/>
        </w:rPr>
        <w:t xml:space="preserve">RTE (Réseau de Transport d'Électricité) : filiale d'EDF qui gère physiquement le réseau haute tension français. C'est RTE qui perçoit le TURPE pour financer ses infrastructures.</w:t>
      </w:r>
    </w:p>
    <w:p>
      <w:pPr>
        <w:spacing w:after="80"/>
      </w:pPr>
      <w:r>
        <w:rPr>
          <w:sz w:val="22"/>
          <w:szCs w:val="22"/>
        </w:rPr>
        <w:t xml:space="preserve"/>
      </w:r>
    </w:p>
    <w:p>
      <w:pPr>
        <w:spacing w:after="120"/>
      </w:pPr>
      <w:r>
        <w:rPr>
          <w:rFonts w:ascii="Arial" w:cs="Arial" w:eastAsia="Arial" w:hAnsi="Arial"/>
          <w:color w:val="1A1A1A"/>
          <w:sz w:val="22"/>
          <w:szCs w:val="22"/>
        </w:rPr>
        <w:t xml:space="preserve">Le TURPE est révisé chaque 1er août. La version actuelle est le TURPE 6 HTB, en vigueur depuis août 2021 et révisé chaque année avec un coefficient basé sur l'inflation.</w:t>
      </w:r>
    </w:p>
    <w:p>
      <w:pPr>
        <w:spacing w:after="160"/>
      </w:pPr>
      <w:r>
        <w:rPr>
          <w:sz w:val="22"/>
          <w:szCs w:val="22"/>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80"/>
        </w:tblCellMar>
      </w:tblPr>
      <w:tblGrid>
        <w:gridCol w:w="9200"/>
      </w:tblGrid>
      <w:tr>
        <w:tc>
          <w:tcPr>
            <w:tcBorders>
              <w:top w:val="single" w:color="CCCCCC" w:sz="1"/>
              <w:left w:val="single" w:color="C55A11" w:sz="12"/>
              <w:bottom w:val="single" w:color="CCCCCC" w:sz="1"/>
              <w:right w:val="single" w:color="CCCCCC" w:sz="1"/>
            </w:tcBorders>
            <w:shd w:fill="FCE4D6" w:val="clear"/>
            <w:tcMar>
              <w:top w:type="dxa" w:w="140"/>
              <w:left w:type="dxa" w:w="200"/>
              <w:bottom w:type="dxa" w:w="140"/>
              <w:right w:type="dxa" w:w="140"/>
            </w:tcMar>
          </w:tcPr>
          <w:p>
            <w:pPr>
              <w:spacing w:after="0"/>
            </w:pPr>
            <w:r>
              <w:rPr>
                <w:rFonts w:ascii="Arial" w:cs="Arial" w:eastAsia="Arial" w:hAnsi="Arial"/>
                <w:b/>
                <w:bCs/>
                <w:color w:val="C55A11"/>
                <w:sz w:val="22"/>
                <w:szCs w:val="22"/>
              </w:rPr>
              <w:t xml:space="preserve"/>
            </w:r>
            <w:r>
              <w:rPr>
                <w:rFonts w:ascii="Arial" w:cs="Arial" w:eastAsia="Arial" w:hAnsi="Arial"/>
                <w:color w:val="1A1A1A"/>
                <w:sz w:val="21"/>
                <w:szCs w:val="21"/>
              </w:rPr>
              <w:t xml:space="preserve">⚠️  Fin de l'ARENH (janvier 2026)
L'ARENH (Accès Régulé à l'Énergie Nucléaire Historique, 42 €/MWh) a expiré fin décembre 2025. Son successeur, les contrats de long terme EDF (CPP — Contrats à Prix Plafond, estimés 60-70 €/MWh sur 15 ans), constitue désormais la principale alternative aux PPAs renouvelables. Le TURPE reste inchangé par cette évolution — il s'applique à toutes les sources d'approvisionnement (réseau, CPP, PPA off-site).</w:t>
            </w:r>
          </w:p>
        </w:tc>
      </w:tr>
    </w:tbl>
    <w:p>
      <w:r>
        <w:br w:type="page"/>
      </w:r>
    </w:p>
    <w:p>
      <w:pPr>
        <w:pStyle w:val="Heading1"/>
        <w:pBdr>
          <w:bottom w:val="single" w:color="2E75B6" w:sz="6" w:space="4"/>
        </w:pBdr>
        <w:spacing w:before="400" w:after="160"/>
      </w:pPr>
      <w:r>
        <w:rPr>
          <w:rFonts w:ascii="Arial" w:cs="Arial" w:eastAsia="Arial" w:hAnsi="Arial"/>
          <w:b/>
          <w:bCs/>
          <w:color w:val="1F3864"/>
          <w:sz w:val="36"/>
          <w:szCs w:val="36"/>
        </w:rPr>
        <w:t xml:space="preserve">2. Les domaines de tension : HTB1, HTB2, HTB3</w:t>
      </w:r>
    </w:p>
    <w:p>
      <w:pPr>
        <w:pStyle w:val="Heading2"/>
        <w:spacing w:before="280" w:after="100"/>
      </w:pPr>
      <w:r>
        <w:rPr>
          <w:rFonts w:ascii="Arial" w:cs="Arial" w:eastAsia="Arial" w:hAnsi="Arial"/>
          <w:b/>
          <w:bCs/>
          <w:color w:val="2E75B6"/>
          <w:sz w:val="28"/>
          <w:szCs w:val="28"/>
        </w:rPr>
        <w:t xml:space="preserve">2.1 Pourquoi différents niveaux de tension ?</w:t>
      </w:r>
    </w:p>
    <w:p>
      <w:pPr>
        <w:spacing w:after="120"/>
      </w:pPr>
      <w:r>
        <w:rPr>
          <w:rFonts w:ascii="Arial" w:cs="Arial" w:eastAsia="Arial" w:hAnsi="Arial"/>
          <w:color w:val="1A1A1A"/>
          <w:sz w:val="22"/>
          <w:szCs w:val="22"/>
        </w:rPr>
        <w:t xml:space="preserve">L'électricité voyage sur le réseau à différentes tensions (mesurées en kilovolts, kV). Plus la tension est élevée, moins il y a de pertes sur les longues distances, mais plus les équipements sont coûteux. Chaque type de client est raccordé au réseau au niveau de tension qui correspond à sa puissance.</w:t>
      </w:r>
    </w:p>
    <w:tbl>
      <w:tblPr>
        <w:tblW w:type="dxa" w:w="920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1200"/>
        <w:gridCol w:w="1800"/>
        <w:gridCol w:w="2600"/>
        <w:gridCol w:w="3600"/>
      </w:tblGrid>
      <w:tr>
        <w:trPr>
          <w:tblHeader/>
        </w:trPr>
        <w:tc>
          <w:tcPr>
            <w:tcW w:type="dxa" w:w="1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00"/>
            </w:tcMar>
            <w:vAlign w:val="center"/>
          </w:tcPr>
          <w:p>
            <w:pPr>
              <w:spacing w:after="0"/>
            </w:pPr>
            <w:r>
              <w:rPr>
                <w:rFonts w:ascii="Arial" w:cs="Arial" w:eastAsia="Arial" w:hAnsi="Arial"/>
                <w:b/>
                <w:bCs/>
                <w:color w:val="FFFFFF"/>
                <w:sz w:val="20"/>
                <w:szCs w:val="20"/>
              </w:rPr>
              <w:t xml:space="preserve">Domaine</w:t>
            </w:r>
          </w:p>
        </w:tc>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00"/>
            </w:tcMar>
            <w:vAlign w:val="center"/>
          </w:tcPr>
          <w:p>
            <w:pPr>
              <w:spacing w:after="0"/>
            </w:pPr>
            <w:r>
              <w:rPr>
                <w:rFonts w:ascii="Arial" w:cs="Arial" w:eastAsia="Arial" w:hAnsi="Arial"/>
                <w:b/>
                <w:bCs/>
                <w:color w:val="FFFFFF"/>
                <w:sz w:val="20"/>
                <w:szCs w:val="20"/>
              </w:rPr>
              <w:t xml:space="preserve">Tension</w:t>
            </w:r>
          </w:p>
        </w:tc>
        <w:tc>
          <w:tcPr>
            <w:tcW w:type="dxa" w:w="2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00"/>
            </w:tcMar>
            <w:vAlign w:val="center"/>
          </w:tcPr>
          <w:p>
            <w:pPr>
              <w:spacing w:after="0"/>
            </w:pPr>
            <w:r>
              <w:rPr>
                <w:rFonts w:ascii="Arial" w:cs="Arial" w:eastAsia="Arial" w:hAnsi="Arial"/>
                <w:b/>
                <w:bCs/>
                <w:color w:val="FFFFFF"/>
                <w:sz w:val="20"/>
                <w:szCs w:val="20"/>
              </w:rPr>
              <w:t xml:space="preserve">Qui l'utilise ?</w:t>
            </w:r>
          </w:p>
        </w:tc>
        <w:tc>
          <w:tcPr>
            <w:tcW w:type="dxa" w:w="3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00"/>
            </w:tcMar>
            <w:vAlign w:val="center"/>
          </w:tcPr>
          <w:p>
            <w:pPr>
              <w:spacing w:after="0"/>
            </w:pPr>
            <w:r>
              <w:rPr>
                <w:rFonts w:ascii="Arial" w:cs="Arial" w:eastAsia="Arial" w:hAnsi="Arial"/>
                <w:b/>
                <w:bCs/>
                <w:color w:val="FFFFFF"/>
                <w:sz w:val="20"/>
                <w:szCs w:val="20"/>
              </w:rPr>
              <w:t xml:space="preserve">Exemple concret</w:t>
            </w:r>
          </w:p>
        </w:tc>
      </w:tr>
      <w:tr>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pPr>
            <w:r>
              <w:rPr>
                <w:rFonts w:ascii="Arial" w:cs="Arial" w:eastAsia="Arial" w:hAnsi="Arial"/>
                <w:color w:val="1A1A1A"/>
                <w:sz w:val="20"/>
                <w:szCs w:val="20"/>
              </w:rPr>
              <w:t xml:space="preserve">HTB1</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pPr>
            <w:r>
              <w:rPr>
                <w:rFonts w:ascii="Arial" w:cs="Arial" w:eastAsia="Arial" w:hAnsi="Arial"/>
                <w:color w:val="1A1A1A"/>
                <w:sz w:val="20"/>
                <w:szCs w:val="20"/>
              </w:rPr>
              <w:t xml:space="preserve">400 kV (THT)</w:t>
            </w:r>
          </w:p>
        </w:tc>
        <w:tc>
          <w:tcPr>
            <w:tcW w:type="dxa" w:w="2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pPr>
            <w:r>
              <w:rPr>
                <w:rFonts w:ascii="Arial" w:cs="Arial" w:eastAsia="Arial" w:hAnsi="Arial"/>
                <w:color w:val="1A1A1A"/>
                <w:sz w:val="20"/>
                <w:szCs w:val="20"/>
              </w:rPr>
              <w:t xml:space="preserve">Grands réseaux régionaux</w:t>
            </w:r>
          </w:p>
        </w:tc>
        <w:tc>
          <w:tcPr>
            <w:tcW w:type="dxa" w:w="3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pPr>
            <w:r>
              <w:rPr>
                <w:rFonts w:ascii="Arial" w:cs="Arial" w:eastAsia="Arial" w:hAnsi="Arial"/>
                <w:color w:val="1A1A1A"/>
                <w:sz w:val="20"/>
                <w:szCs w:val="20"/>
              </w:rPr>
              <w:t xml:space="preserve">Lignes traversant la France, interconnexions européennes</w:t>
            </w:r>
          </w:p>
        </w:tc>
      </w:tr>
      <w:tr>
        <w:tc>
          <w:tcPr>
            <w:tcW w:type="dxa" w:w="1200"/>
            <w:tcBorders>
              <w:top w:val="single" w:color="CCCCCC" w:sz="1"/>
              <w:left w:val="single" w:color="CCCCCC" w:sz="1"/>
              <w:bottom w:val="single" w:color="CCCCCC" w:sz="1"/>
              <w:right w:val="single" w:color="CCCCCC" w:sz="1"/>
            </w:tcBorders>
            <w:shd w:fill="EBF3FA" w:val="clear"/>
            <w:tcMar>
              <w:top w:type="dxa" w:w="70"/>
              <w:left w:type="dxa" w:w="120"/>
              <w:bottom w:type="dxa" w:w="70"/>
              <w:right w:type="dxa" w:w="100"/>
            </w:tcMar>
            <w:vAlign w:val="top"/>
          </w:tcPr>
          <w:p>
            <w:pPr>
              <w:spacing w:after="0"/>
            </w:pPr>
            <w:r>
              <w:rPr>
                <w:rFonts w:ascii="Arial" w:cs="Arial" w:eastAsia="Arial" w:hAnsi="Arial"/>
                <w:color w:val="1A1A1A"/>
                <w:sz w:val="20"/>
                <w:szCs w:val="20"/>
              </w:rPr>
              <w:t xml:space="preserve">HTB2</w:t>
            </w:r>
          </w:p>
        </w:tc>
        <w:tc>
          <w:tcPr>
            <w:tcW w:type="dxa" w:w="1800"/>
            <w:tcBorders>
              <w:top w:val="single" w:color="CCCCCC" w:sz="1"/>
              <w:left w:val="single" w:color="CCCCCC" w:sz="1"/>
              <w:bottom w:val="single" w:color="CCCCCC" w:sz="1"/>
              <w:right w:val="single" w:color="CCCCCC" w:sz="1"/>
            </w:tcBorders>
            <w:shd w:fill="EBF3FA" w:val="clear"/>
            <w:tcMar>
              <w:top w:type="dxa" w:w="70"/>
              <w:left w:type="dxa" w:w="120"/>
              <w:bottom w:type="dxa" w:w="70"/>
              <w:right w:type="dxa" w:w="100"/>
            </w:tcMar>
            <w:vAlign w:val="top"/>
          </w:tcPr>
          <w:p>
            <w:pPr>
              <w:spacing w:after="0"/>
            </w:pPr>
            <w:r>
              <w:rPr>
                <w:rFonts w:ascii="Arial" w:cs="Arial" w:eastAsia="Arial" w:hAnsi="Arial"/>
                <w:color w:val="1A1A1A"/>
                <w:sz w:val="20"/>
                <w:szCs w:val="20"/>
              </w:rPr>
              <w:t xml:space="preserve">225-150 kV (HT)</w:t>
            </w:r>
          </w:p>
        </w:tc>
        <w:tc>
          <w:tcPr>
            <w:tcW w:type="dxa" w:w="2600"/>
            <w:tcBorders>
              <w:top w:val="single" w:color="CCCCCC" w:sz="1"/>
              <w:left w:val="single" w:color="CCCCCC" w:sz="1"/>
              <w:bottom w:val="single" w:color="CCCCCC" w:sz="1"/>
              <w:right w:val="single" w:color="CCCCCC" w:sz="1"/>
            </w:tcBorders>
            <w:shd w:fill="EBF3FA" w:val="clear"/>
            <w:tcMar>
              <w:top w:type="dxa" w:w="70"/>
              <w:left w:type="dxa" w:w="120"/>
              <w:bottom w:type="dxa" w:w="70"/>
              <w:right w:type="dxa" w:w="100"/>
            </w:tcMar>
            <w:vAlign w:val="top"/>
          </w:tcPr>
          <w:p>
            <w:pPr>
              <w:spacing w:after="0"/>
            </w:pPr>
            <w:r>
              <w:rPr>
                <w:rFonts w:ascii="Arial" w:cs="Arial" w:eastAsia="Arial" w:hAnsi="Arial"/>
                <w:color w:val="1A1A1A"/>
                <w:sz w:val="20"/>
                <w:szCs w:val="20"/>
              </w:rPr>
              <w:t xml:space="preserve">Très gros industriels</w:t>
            </w:r>
          </w:p>
        </w:tc>
        <w:tc>
          <w:tcPr>
            <w:tcW w:type="dxa" w:w="3600"/>
            <w:tcBorders>
              <w:top w:val="single" w:color="CCCCCC" w:sz="1"/>
              <w:left w:val="single" w:color="CCCCCC" w:sz="1"/>
              <w:bottom w:val="single" w:color="CCCCCC" w:sz="1"/>
              <w:right w:val="single" w:color="CCCCCC" w:sz="1"/>
            </w:tcBorders>
            <w:shd w:fill="EBF3FA" w:val="clear"/>
            <w:tcMar>
              <w:top w:type="dxa" w:w="70"/>
              <w:left w:type="dxa" w:w="120"/>
              <w:bottom w:type="dxa" w:w="70"/>
              <w:right w:type="dxa" w:w="100"/>
            </w:tcMar>
            <w:vAlign w:val="top"/>
          </w:tcPr>
          <w:p>
            <w:pPr>
              <w:spacing w:after="0"/>
            </w:pPr>
            <w:r>
              <w:rPr>
                <w:rFonts w:ascii="Arial" w:cs="Arial" w:eastAsia="Arial" w:hAnsi="Arial"/>
                <w:color w:val="1A1A1A"/>
                <w:sz w:val="20"/>
                <w:szCs w:val="20"/>
              </w:rPr>
              <w:t xml:space="preserve">Aluminium Dunkerque, grandes aciéries, usines chimiques &gt; 100 MW</w:t>
            </w:r>
          </w:p>
        </w:tc>
      </w:tr>
      <w:tr>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pPr>
            <w:r>
              <w:rPr>
                <w:rFonts w:ascii="Arial" w:cs="Arial" w:eastAsia="Arial" w:hAnsi="Arial"/>
                <w:color w:val="1A1A1A"/>
                <w:sz w:val="20"/>
                <w:szCs w:val="20"/>
              </w:rPr>
              <w:t xml:space="preserve">HTB3</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pPr>
            <w:r>
              <w:rPr>
                <w:rFonts w:ascii="Arial" w:cs="Arial" w:eastAsia="Arial" w:hAnsi="Arial"/>
                <w:color w:val="1A1A1A"/>
                <w:sz w:val="20"/>
                <w:szCs w:val="20"/>
              </w:rPr>
              <w:t xml:space="preserve">90-63 kV (HT)</w:t>
            </w:r>
          </w:p>
        </w:tc>
        <w:tc>
          <w:tcPr>
            <w:tcW w:type="dxa" w:w="2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pPr>
            <w:r>
              <w:rPr>
                <w:rFonts w:ascii="Arial" w:cs="Arial" w:eastAsia="Arial" w:hAnsi="Arial"/>
                <w:color w:val="1A1A1A"/>
                <w:sz w:val="20"/>
                <w:szCs w:val="20"/>
              </w:rPr>
              <w:t xml:space="preserve">Gros industriels + distributeurs</w:t>
            </w:r>
          </w:p>
        </w:tc>
        <w:tc>
          <w:tcPr>
            <w:tcW w:type="dxa" w:w="3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pPr>
            <w:r>
              <w:rPr>
                <w:rFonts w:ascii="Arial" w:cs="Arial" w:eastAsia="Arial" w:hAnsi="Arial"/>
                <w:color w:val="1A1A1A"/>
                <w:sz w:val="20"/>
                <w:szCs w:val="20"/>
              </w:rPr>
              <w:t xml:space="preserve">La majorité des grands sites industriels, ENEDIS pour alimenter les villes</w:t>
            </w:r>
          </w:p>
        </w:tc>
      </w:tr>
      <w:tr>
        <w:tc>
          <w:tcPr>
            <w:tcW w:type="dxa" w:w="1200"/>
            <w:tcBorders>
              <w:top w:val="single" w:color="CCCCCC" w:sz="1"/>
              <w:left w:val="single" w:color="CCCCCC" w:sz="1"/>
              <w:bottom w:val="single" w:color="CCCCCC" w:sz="1"/>
              <w:right w:val="single" w:color="CCCCCC" w:sz="1"/>
            </w:tcBorders>
            <w:shd w:fill="EBF3FA" w:val="clear"/>
            <w:tcMar>
              <w:top w:type="dxa" w:w="70"/>
              <w:left w:type="dxa" w:w="120"/>
              <w:bottom w:type="dxa" w:w="70"/>
              <w:right w:type="dxa" w:w="100"/>
            </w:tcMar>
            <w:vAlign w:val="top"/>
          </w:tcPr>
          <w:p>
            <w:pPr>
              <w:spacing w:after="0"/>
            </w:pPr>
            <w:r>
              <w:rPr>
                <w:rFonts w:ascii="Arial" w:cs="Arial" w:eastAsia="Arial" w:hAnsi="Arial"/>
                <w:color w:val="1A1A1A"/>
                <w:sz w:val="20"/>
                <w:szCs w:val="20"/>
              </w:rPr>
              <w:t xml:space="preserve">HTA</w:t>
            </w:r>
          </w:p>
        </w:tc>
        <w:tc>
          <w:tcPr>
            <w:tcW w:type="dxa" w:w="1800"/>
            <w:tcBorders>
              <w:top w:val="single" w:color="CCCCCC" w:sz="1"/>
              <w:left w:val="single" w:color="CCCCCC" w:sz="1"/>
              <w:bottom w:val="single" w:color="CCCCCC" w:sz="1"/>
              <w:right w:val="single" w:color="CCCCCC" w:sz="1"/>
            </w:tcBorders>
            <w:shd w:fill="EBF3FA" w:val="clear"/>
            <w:tcMar>
              <w:top w:type="dxa" w:w="70"/>
              <w:left w:type="dxa" w:w="120"/>
              <w:bottom w:type="dxa" w:w="70"/>
              <w:right w:type="dxa" w:w="100"/>
            </w:tcMar>
            <w:vAlign w:val="top"/>
          </w:tcPr>
          <w:p>
            <w:pPr>
              <w:spacing w:after="0"/>
            </w:pPr>
            <w:r>
              <w:rPr>
                <w:rFonts w:ascii="Arial" w:cs="Arial" w:eastAsia="Arial" w:hAnsi="Arial"/>
                <w:color w:val="1A1A1A"/>
                <w:sz w:val="20"/>
                <w:szCs w:val="20"/>
              </w:rPr>
              <w:t xml:space="preserve">20-33 kV (MT)</w:t>
            </w:r>
          </w:p>
        </w:tc>
        <w:tc>
          <w:tcPr>
            <w:tcW w:type="dxa" w:w="2600"/>
            <w:tcBorders>
              <w:top w:val="single" w:color="CCCCCC" w:sz="1"/>
              <w:left w:val="single" w:color="CCCCCC" w:sz="1"/>
              <w:bottom w:val="single" w:color="CCCCCC" w:sz="1"/>
              <w:right w:val="single" w:color="CCCCCC" w:sz="1"/>
            </w:tcBorders>
            <w:shd w:fill="EBF3FA" w:val="clear"/>
            <w:tcMar>
              <w:top w:type="dxa" w:w="70"/>
              <w:left w:type="dxa" w:w="120"/>
              <w:bottom w:type="dxa" w:w="70"/>
              <w:right w:type="dxa" w:w="100"/>
            </w:tcMar>
            <w:vAlign w:val="top"/>
          </w:tcPr>
          <w:p>
            <w:pPr>
              <w:spacing w:after="0"/>
            </w:pPr>
            <w:r>
              <w:rPr>
                <w:rFonts w:ascii="Arial" w:cs="Arial" w:eastAsia="Arial" w:hAnsi="Arial"/>
                <w:color w:val="1A1A1A"/>
                <w:sz w:val="20"/>
                <w:szCs w:val="20"/>
              </w:rPr>
              <w:t xml:space="preserve">PME industrielles</w:t>
            </w:r>
          </w:p>
        </w:tc>
        <w:tc>
          <w:tcPr>
            <w:tcW w:type="dxa" w:w="3600"/>
            <w:tcBorders>
              <w:top w:val="single" w:color="CCCCCC" w:sz="1"/>
              <w:left w:val="single" w:color="CCCCCC" w:sz="1"/>
              <w:bottom w:val="single" w:color="CCCCCC" w:sz="1"/>
              <w:right w:val="single" w:color="CCCCCC" w:sz="1"/>
            </w:tcBorders>
            <w:shd w:fill="EBF3FA" w:val="clear"/>
            <w:tcMar>
              <w:top w:type="dxa" w:w="70"/>
              <w:left w:type="dxa" w:w="120"/>
              <w:bottom w:type="dxa" w:w="70"/>
              <w:right w:type="dxa" w:w="100"/>
            </w:tcMar>
            <w:vAlign w:val="top"/>
          </w:tcPr>
          <w:p>
            <w:pPr>
              <w:spacing w:after="0"/>
            </w:pPr>
            <w:r>
              <w:rPr>
                <w:rFonts w:ascii="Arial" w:cs="Arial" w:eastAsia="Arial" w:hAnsi="Arial"/>
                <w:color w:val="1A1A1A"/>
                <w:sz w:val="20"/>
                <w:szCs w:val="20"/>
              </w:rPr>
              <w:t xml:space="preserve">Usine de taille moyenne, centre commercial, hôpital</w:t>
            </w:r>
          </w:p>
        </w:tc>
      </w:tr>
      <w:tr>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pPr>
            <w:r>
              <w:rPr>
                <w:rFonts w:ascii="Arial" w:cs="Arial" w:eastAsia="Arial" w:hAnsi="Arial"/>
                <w:color w:val="1A1A1A"/>
                <w:sz w:val="20"/>
                <w:szCs w:val="20"/>
              </w:rPr>
              <w:t xml:space="preserve">BT</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pPr>
            <w:r>
              <w:rPr>
                <w:rFonts w:ascii="Arial" w:cs="Arial" w:eastAsia="Arial" w:hAnsi="Arial"/>
                <w:color w:val="1A1A1A"/>
                <w:sz w:val="20"/>
                <w:szCs w:val="20"/>
              </w:rPr>
              <w:t xml:space="preserve">&lt; 1 kV (BT)</w:t>
            </w:r>
          </w:p>
        </w:tc>
        <w:tc>
          <w:tcPr>
            <w:tcW w:type="dxa" w:w="2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pPr>
            <w:r>
              <w:rPr>
                <w:rFonts w:ascii="Arial" w:cs="Arial" w:eastAsia="Arial" w:hAnsi="Arial"/>
                <w:color w:val="1A1A1A"/>
                <w:sz w:val="20"/>
                <w:szCs w:val="20"/>
              </w:rPr>
              <w:t xml:space="preserve">Particuliers, petits commerces</w:t>
            </w:r>
          </w:p>
        </w:tc>
        <w:tc>
          <w:tcPr>
            <w:tcW w:type="dxa" w:w="3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pPr>
            <w:r>
              <w:rPr>
                <w:rFonts w:ascii="Arial" w:cs="Arial" w:eastAsia="Arial" w:hAnsi="Arial"/>
                <w:color w:val="1A1A1A"/>
                <w:sz w:val="20"/>
                <w:szCs w:val="20"/>
              </w:rPr>
              <w:t xml:space="preserve">Votre maison, une boulangerie, un bureau</w:t>
            </w:r>
          </w:p>
        </w:tc>
      </w:tr>
    </w:tbl>
    <w:p>
      <w:pPr>
        <w:spacing w:after="160"/>
      </w:pPr>
      <w:r>
        <w:rPr>
          <w:sz w:val="22"/>
          <w:szCs w:val="22"/>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80"/>
        </w:tblCellMar>
      </w:tblPr>
      <w:tblGrid>
        <w:gridCol w:w="9200"/>
      </w:tblGrid>
      <w:tr>
        <w:tc>
          <w:tcPr>
            <w:tcBorders>
              <w:top w:val="single" w:color="CCCCCC" w:sz="1"/>
              <w:left w:val="single" w:color="2E75B6" w:sz="12"/>
              <w:bottom w:val="single" w:color="CCCCCC" w:sz="1"/>
              <w:right w:val="single" w:color="CCCCCC" w:sz="1"/>
            </w:tcBorders>
            <w:shd w:fill="EBF3FA" w:val="clear"/>
            <w:tcMar>
              <w:top w:type="dxa" w:w="140"/>
              <w:left w:type="dxa" w:w="200"/>
              <w:bottom w:type="dxa" w:w="140"/>
              <w:right w:type="dxa" w:w="140"/>
            </w:tcMar>
          </w:tcPr>
          <w:p>
            <w:pPr>
              <w:spacing w:after="0"/>
            </w:pPr>
            <w:r>
              <w:rPr>
                <w:rFonts w:ascii="Arial" w:cs="Arial" w:eastAsia="Arial" w:hAnsi="Arial"/>
                <w:b/>
                <w:bCs/>
                <w:color w:val="2E75B6"/>
                <w:sz w:val="22"/>
                <w:szCs w:val="22"/>
              </w:rPr>
              <w:t xml:space="preserve"/>
            </w:r>
            <w:r>
              <w:rPr>
                <w:rFonts w:ascii="Arial" w:cs="Arial" w:eastAsia="Arial" w:hAnsi="Arial"/>
                <w:color w:val="1A1A1A"/>
                <w:sz w:val="21"/>
                <w:szCs w:val="21"/>
              </w:rPr>
              <w:t xml:space="preserve">🏭  Quel domaine pour un client PPA ?
La majorité des clients industriels visés par le modèle PPA sont raccordés en HTB3 (63 kV) ou HTB2 (225 kV). En dessous de 50 MW de puissance souscrite, généralement HTB3. Au-dessus de 100-200 MW, souvent HTB2. Le modèle vous permet de choisir le domaine correspondant au client dans scenario_defaults.xlsx.</w:t>
            </w:r>
          </w:p>
        </w:tc>
      </w:tr>
    </w:tbl>
    <w:p>
      <w:pPr>
        <w:pStyle w:val="Heading2"/>
        <w:spacing w:before="280" w:after="100"/>
      </w:pPr>
      <w:r>
        <w:rPr>
          <w:rFonts w:ascii="Arial" w:cs="Arial" w:eastAsia="Arial" w:hAnsi="Arial"/>
          <w:b/>
          <w:bCs/>
          <w:color w:val="2E75B6"/>
          <w:sz w:val="28"/>
          <w:szCs w:val="28"/>
        </w:rPr>
        <w:t xml:space="preserve">2.2 Pourquoi le domaine change-t-il le tarif ?</w:t>
      </w:r>
    </w:p>
    <w:p>
      <w:pPr>
        <w:spacing w:after="120"/>
      </w:pPr>
      <w:r>
        <w:rPr>
          <w:rFonts w:ascii="Arial" w:cs="Arial" w:eastAsia="Arial" w:hAnsi="Arial"/>
          <w:color w:val="1A1A1A"/>
          <w:sz w:val="22"/>
          <w:szCs w:val="22"/>
        </w:rPr>
        <w:t xml:space="preserve">Plus vous êtes raccordé haut dans le réseau (tension élevée), moins vous utilisez d'ouvrages de distribution. Un client HTB2 n'utilise ni les transformateurs HTA, ni les câbles de distribution urbains. Il paie donc moins de TURPE à l'énergie qu'un client HTB3. C'est le principe du tarif dégressif selon le niveau de tension.</w:t>
      </w:r>
    </w:p>
    <w:p>
      <w:pPr>
        <w:pStyle w:val="Heading1"/>
        <w:pBdr>
          <w:bottom w:val="single" w:color="2E75B6" w:sz="6" w:space="4"/>
        </w:pBdr>
        <w:spacing w:before="400" w:after="160"/>
      </w:pPr>
      <w:r>
        <w:rPr>
          <w:rFonts w:ascii="Arial" w:cs="Arial" w:eastAsia="Arial" w:hAnsi="Arial"/>
          <w:b/>
          <w:bCs/>
          <w:color w:val="1F3864"/>
          <w:sz w:val="36"/>
          <w:szCs w:val="36"/>
        </w:rPr>
        <w:t xml:space="preserve">3. Structure du tarif : composantes de la facture TURPE</w:t>
      </w:r>
    </w:p>
    <w:p>
      <w:pPr>
        <w:pStyle w:val="Heading2"/>
        <w:spacing w:before="280" w:after="100"/>
      </w:pPr>
      <w:r>
        <w:rPr>
          <w:rFonts w:ascii="Arial" w:cs="Arial" w:eastAsia="Arial" w:hAnsi="Arial"/>
          <w:b/>
          <w:bCs/>
          <w:color w:val="2E75B6"/>
          <w:sz w:val="28"/>
          <w:szCs w:val="28"/>
        </w:rPr>
        <w:t xml:space="preserve">3.1 Les différentes composantes</w:t>
      </w:r>
    </w:p>
    <w:tbl>
      <w:tblPr>
        <w:tblW w:type="dxa" w:w="920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2200"/>
        <w:gridCol w:w="2000"/>
        <w:gridCol w:w="5000"/>
      </w:tblGrid>
      <w:tr>
        <w:trPr>
          <w:tblHeader/>
        </w:trP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00"/>
            </w:tcMar>
            <w:vAlign w:val="center"/>
          </w:tcPr>
          <w:p>
            <w:pPr>
              <w:spacing w:after="0"/>
            </w:pPr>
            <w:r>
              <w:rPr>
                <w:rFonts w:ascii="Arial" w:cs="Arial" w:eastAsia="Arial" w:hAnsi="Arial"/>
                <w:b/>
                <w:bCs/>
                <w:color w:val="FFFFFF"/>
                <w:sz w:val="20"/>
                <w:szCs w:val="20"/>
              </w:rPr>
              <w:t xml:space="preserve">Composante</w:t>
            </w:r>
          </w:p>
        </w:tc>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00"/>
            </w:tcMar>
            <w:vAlign w:val="center"/>
          </w:tcPr>
          <w:p>
            <w:pPr>
              <w:spacing w:after="0"/>
            </w:pPr>
            <w:r>
              <w:rPr>
                <w:rFonts w:ascii="Arial" w:cs="Arial" w:eastAsia="Arial" w:hAnsi="Arial"/>
                <w:b/>
                <w:bCs/>
                <w:color w:val="FFFFFF"/>
                <w:sz w:val="20"/>
                <w:szCs w:val="20"/>
              </w:rPr>
              <w:t xml:space="preserve">Notation et unité</w:t>
            </w:r>
          </w:p>
        </w:tc>
        <w:tc>
          <w:tcPr>
            <w:tcW w:type="dxa" w:w="5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00"/>
            </w:tcMar>
            <w:vAlign w:val="center"/>
          </w:tcPr>
          <w:p>
            <w:pPr>
              <w:spacing w:after="0"/>
            </w:pPr>
            <w:r>
              <w:rPr>
                <w:rFonts w:ascii="Arial" w:cs="Arial" w:eastAsia="Arial" w:hAnsi="Arial"/>
                <w:b/>
                <w:bCs/>
                <w:color w:val="FFFFFF"/>
                <w:sz w:val="20"/>
                <w:szCs w:val="20"/>
              </w:rPr>
              <w:t xml:space="preserve">Ce que ça signifie</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pPr>
            <w:r>
              <w:rPr>
                <w:rFonts w:ascii="Arial" w:cs="Arial" w:eastAsia="Arial" w:hAnsi="Arial"/>
                <w:color w:val="1A1A1A"/>
                <w:sz w:val="20"/>
                <w:szCs w:val="20"/>
              </w:rPr>
              <w:t xml:space="preserve">Gestion</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pPr>
            <w:r>
              <w:rPr>
                <w:rFonts w:ascii="Arial" w:cs="Arial" w:eastAsia="Arial" w:hAnsi="Arial"/>
                <w:color w:val="1A1A1A"/>
                <w:sz w:val="20"/>
                <w:szCs w:val="20"/>
              </w:rPr>
              <w:t xml:space="preserve">CG — €/an</w:t>
            </w:r>
          </w:p>
        </w:tc>
        <w:tc>
          <w:tcPr>
            <w:tcW w:type="dxa" w:w="5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pPr>
            <w:r>
              <w:rPr>
                <w:rFonts w:ascii="Arial" w:cs="Arial" w:eastAsia="Arial" w:hAnsi="Arial"/>
                <w:color w:val="1A1A1A"/>
                <w:sz w:val="20"/>
                <w:szCs w:val="20"/>
              </w:rPr>
              <w:t xml:space="preserve">Frais fixes de gestion du contrat de raccordement. Identiques pour tous (~9 900 €/an en 2024). Comme un abonnement : vous payez même si vous ne consommez rien.</w:t>
            </w:r>
          </w:p>
        </w:tc>
      </w:tr>
      <w:tr>
        <w:tc>
          <w:tcPr>
            <w:tcW w:type="dxa" w:w="2200"/>
            <w:tcBorders>
              <w:top w:val="single" w:color="CCCCCC" w:sz="1"/>
              <w:left w:val="single" w:color="CCCCCC" w:sz="1"/>
              <w:bottom w:val="single" w:color="CCCCCC" w:sz="1"/>
              <w:right w:val="single" w:color="CCCCCC" w:sz="1"/>
            </w:tcBorders>
            <w:shd w:fill="EBF3FA" w:val="clear"/>
            <w:tcMar>
              <w:top w:type="dxa" w:w="70"/>
              <w:left w:type="dxa" w:w="120"/>
              <w:bottom w:type="dxa" w:w="70"/>
              <w:right w:type="dxa" w:w="100"/>
            </w:tcMar>
            <w:vAlign w:val="top"/>
          </w:tcPr>
          <w:p>
            <w:pPr>
              <w:spacing w:after="0"/>
            </w:pPr>
            <w:r>
              <w:rPr>
                <w:rFonts w:ascii="Arial" w:cs="Arial" w:eastAsia="Arial" w:hAnsi="Arial"/>
                <w:color w:val="1A1A1A"/>
                <w:sz w:val="20"/>
                <w:szCs w:val="20"/>
              </w:rPr>
              <w:t xml:space="preserve">Soutirage puissance</w:t>
            </w:r>
          </w:p>
        </w:tc>
        <w:tc>
          <w:tcPr>
            <w:tcW w:type="dxa" w:w="2000"/>
            <w:tcBorders>
              <w:top w:val="single" w:color="CCCCCC" w:sz="1"/>
              <w:left w:val="single" w:color="CCCCCC" w:sz="1"/>
              <w:bottom w:val="single" w:color="CCCCCC" w:sz="1"/>
              <w:right w:val="single" w:color="CCCCCC" w:sz="1"/>
            </w:tcBorders>
            <w:shd w:fill="EBF3FA" w:val="clear"/>
            <w:tcMar>
              <w:top w:type="dxa" w:w="70"/>
              <w:left w:type="dxa" w:w="120"/>
              <w:bottom w:type="dxa" w:w="70"/>
              <w:right w:type="dxa" w:w="100"/>
            </w:tcMar>
            <w:vAlign w:val="top"/>
          </w:tcPr>
          <w:p>
            <w:pPr>
              <w:spacing w:after="0"/>
            </w:pPr>
            <w:r>
              <w:rPr>
                <w:rFonts w:ascii="Arial" w:cs="Arial" w:eastAsia="Arial" w:hAnsi="Arial"/>
                <w:color w:val="1A1A1A"/>
                <w:sz w:val="20"/>
                <w:szCs w:val="20"/>
              </w:rPr>
              <w:t xml:space="preserve">CS-b — €/kW/an</w:t>
            </w:r>
          </w:p>
        </w:tc>
        <w:tc>
          <w:tcPr>
            <w:tcW w:type="dxa" w:w="5000"/>
            <w:tcBorders>
              <w:top w:val="single" w:color="CCCCCC" w:sz="1"/>
              <w:left w:val="single" w:color="CCCCCC" w:sz="1"/>
              <w:bottom w:val="single" w:color="CCCCCC" w:sz="1"/>
              <w:right w:val="single" w:color="CCCCCC" w:sz="1"/>
            </w:tcBorders>
            <w:shd w:fill="EBF3FA" w:val="clear"/>
            <w:tcMar>
              <w:top w:type="dxa" w:w="70"/>
              <w:left w:type="dxa" w:w="120"/>
              <w:bottom w:type="dxa" w:w="70"/>
              <w:right w:type="dxa" w:w="100"/>
            </w:tcMar>
            <w:vAlign w:val="top"/>
          </w:tcPr>
          <w:p>
            <w:pPr>
              <w:spacing w:after="0"/>
            </w:pPr>
            <w:r>
              <w:rPr>
                <w:rFonts w:ascii="Arial" w:cs="Arial" w:eastAsia="Arial" w:hAnsi="Arial"/>
                <w:color w:val="1A1A1A"/>
                <w:sz w:val="20"/>
                <w:szCs w:val="20"/>
              </w:rPr>
              <w:t xml:space="preserve">Part fixe liée à la puissance maximale souscrite. Varie selon le niveau de tension et la version tarifaire (CU/MU/LU). C'est la 'réservation de capacité' du réseau.</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pPr>
            <w:r>
              <w:rPr>
                <w:rFonts w:ascii="Arial" w:cs="Arial" w:eastAsia="Arial" w:hAnsi="Arial"/>
                <w:color w:val="1A1A1A"/>
                <w:sz w:val="20"/>
                <w:szCs w:val="20"/>
              </w:rPr>
              <w:t xml:space="preserve">Énergie</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pPr>
            <w:r>
              <w:rPr>
                <w:rFonts w:ascii="Arial" w:cs="Arial" w:eastAsia="Arial" w:hAnsi="Arial"/>
                <w:color w:val="1A1A1A"/>
                <w:sz w:val="20"/>
                <w:szCs w:val="20"/>
              </w:rPr>
              <w:t xml:space="preserve">CS-c — c€/kWh (= €/MWh)</w:t>
            </w:r>
          </w:p>
        </w:tc>
        <w:tc>
          <w:tcPr>
            <w:tcW w:type="dxa" w:w="5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pPr>
            <w:r>
              <w:rPr>
                <w:rFonts w:ascii="Arial" w:cs="Arial" w:eastAsia="Arial" w:hAnsi="Arial"/>
                <w:color w:val="1A1A1A"/>
                <w:sz w:val="20"/>
                <w:szCs w:val="20"/>
              </w:rPr>
              <w:t xml:space="preserve">Part variable liée à l'énergie consommée. Le prix change selon l'heure et la saison. C'est la composante la plus importante et la plus complexe.</w:t>
            </w:r>
          </w:p>
        </w:tc>
      </w:tr>
      <w:tr>
        <w:tc>
          <w:tcPr>
            <w:tcW w:type="dxa" w:w="2200"/>
            <w:tcBorders>
              <w:top w:val="single" w:color="CCCCCC" w:sz="1"/>
              <w:left w:val="single" w:color="CCCCCC" w:sz="1"/>
              <w:bottom w:val="single" w:color="CCCCCC" w:sz="1"/>
              <w:right w:val="single" w:color="CCCCCC" w:sz="1"/>
            </w:tcBorders>
            <w:shd w:fill="EBF3FA" w:val="clear"/>
            <w:tcMar>
              <w:top w:type="dxa" w:w="70"/>
              <w:left w:type="dxa" w:w="120"/>
              <w:bottom w:type="dxa" w:w="70"/>
              <w:right w:type="dxa" w:w="100"/>
            </w:tcMar>
            <w:vAlign w:val="top"/>
          </w:tcPr>
          <w:p>
            <w:pPr>
              <w:spacing w:after="0"/>
            </w:pPr>
            <w:r>
              <w:rPr>
                <w:rFonts w:ascii="Arial" w:cs="Arial" w:eastAsia="Arial" w:hAnsi="Arial"/>
                <w:color w:val="1A1A1A"/>
                <w:sz w:val="20"/>
                <w:szCs w:val="20"/>
              </w:rPr>
              <w:t xml:space="preserve">TICFE (ex-CSPE)</w:t>
            </w:r>
          </w:p>
        </w:tc>
        <w:tc>
          <w:tcPr>
            <w:tcW w:type="dxa" w:w="2000"/>
            <w:tcBorders>
              <w:top w:val="single" w:color="CCCCCC" w:sz="1"/>
              <w:left w:val="single" w:color="CCCCCC" w:sz="1"/>
              <w:bottom w:val="single" w:color="CCCCCC" w:sz="1"/>
              <w:right w:val="single" w:color="CCCCCC" w:sz="1"/>
            </w:tcBorders>
            <w:shd w:fill="EBF3FA" w:val="clear"/>
            <w:tcMar>
              <w:top w:type="dxa" w:w="70"/>
              <w:left w:type="dxa" w:w="120"/>
              <w:bottom w:type="dxa" w:w="70"/>
              <w:right w:type="dxa" w:w="100"/>
            </w:tcMar>
            <w:vAlign w:val="top"/>
          </w:tcPr>
          <w:p>
            <w:pPr>
              <w:spacing w:after="0"/>
            </w:pPr>
            <w:r>
              <w:rPr>
                <w:rFonts w:ascii="Arial" w:cs="Arial" w:eastAsia="Arial" w:hAnsi="Arial"/>
                <w:color w:val="1A1A1A"/>
                <w:sz w:val="20"/>
                <w:szCs w:val="20"/>
              </w:rPr>
              <w:t xml:space="preserve">€/MWh — fixe</w:t>
            </w:r>
          </w:p>
        </w:tc>
        <w:tc>
          <w:tcPr>
            <w:tcW w:type="dxa" w:w="5000"/>
            <w:tcBorders>
              <w:top w:val="single" w:color="CCCCCC" w:sz="1"/>
              <w:left w:val="single" w:color="CCCCCC" w:sz="1"/>
              <w:bottom w:val="single" w:color="CCCCCC" w:sz="1"/>
              <w:right w:val="single" w:color="CCCCCC" w:sz="1"/>
            </w:tcBorders>
            <w:shd w:fill="EBF3FA" w:val="clear"/>
            <w:tcMar>
              <w:top w:type="dxa" w:w="70"/>
              <w:left w:type="dxa" w:w="120"/>
              <w:bottom w:type="dxa" w:w="70"/>
              <w:right w:type="dxa" w:w="100"/>
            </w:tcMar>
            <w:vAlign w:val="top"/>
          </w:tcPr>
          <w:p>
            <w:pPr>
              <w:spacing w:after="0"/>
            </w:pPr>
            <w:r>
              <w:rPr>
                <w:rFonts w:ascii="Arial" w:cs="Arial" w:eastAsia="Arial" w:hAnsi="Arial"/>
                <w:color w:val="1A1A1A"/>
                <w:sz w:val="20"/>
                <w:szCs w:val="20"/>
              </w:rPr>
              <w:t xml:space="preserve">Taxe intérieure sur la consommation finale d'électricité. Incluse dans le calcul du coût réseau total.</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pPr>
            <w:r>
              <w:rPr>
                <w:rFonts w:ascii="Arial" w:cs="Arial" w:eastAsia="Arial" w:hAnsi="Arial"/>
                <w:color w:val="1A1A1A"/>
                <w:sz w:val="20"/>
                <w:szCs w:val="20"/>
              </w:rPr>
              <w:t xml:space="preserve">CTA</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pPr>
            <w:r>
              <w:rPr>
                <w:rFonts w:ascii="Arial" w:cs="Arial" w:eastAsia="Arial" w:hAnsi="Arial"/>
                <w:color w:val="1A1A1A"/>
                <w:sz w:val="20"/>
                <w:szCs w:val="20"/>
              </w:rPr>
              <w:t xml:space="preserve">% — sur abonnement</w:t>
            </w:r>
          </w:p>
        </w:tc>
        <w:tc>
          <w:tcPr>
            <w:tcW w:type="dxa" w:w="5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pPr>
            <w:r>
              <w:rPr>
                <w:rFonts w:ascii="Arial" w:cs="Arial" w:eastAsia="Arial" w:hAnsi="Arial"/>
                <w:color w:val="1A1A1A"/>
                <w:sz w:val="20"/>
                <w:szCs w:val="20"/>
              </w:rPr>
              <w:t xml:space="preserve">Contribution au service public de l'électricité. Petite composante, incluse dans le calcul.</w:t>
            </w:r>
          </w:p>
        </w:tc>
      </w:tr>
    </w:tbl>
    <w:p>
      <w:pPr>
        <w:spacing w:after="160"/>
      </w:pPr>
      <w:r>
        <w:rPr>
          <w:sz w:val="22"/>
          <w:szCs w:val="22"/>
        </w:rPr>
        <w:t xml:space="preserve"/>
      </w:r>
    </w:p>
    <w:p>
      <w:pPr>
        <w:spacing w:after="120"/>
      </w:pPr>
      <w:r>
        <w:rPr>
          <w:rFonts w:ascii="Arial" w:cs="Arial" w:eastAsia="Arial" w:hAnsi="Arial"/>
          <w:color w:val="1A1A1A"/>
          <w:sz w:val="22"/>
          <w:szCs w:val="22"/>
        </w:rPr>
        <w:t xml:space="preserve">Dans le modèle, la fonction process_france_grid_data() dans FranceGridUtils.py additionne toutes ces composantes heure par heure pour construire le coût réseau total : Coût total(h) = EPEX(h) + TURPE énergie(h) + TICFE + CTA.</w:t>
      </w:r>
    </w:p>
    <w:p>
      <w:pPr>
        <w:pStyle w:val="Heading2"/>
        <w:spacing w:before="280" w:after="100"/>
      </w:pPr>
      <w:r>
        <w:rPr>
          <w:rFonts w:ascii="Arial" w:cs="Arial" w:eastAsia="Arial" w:hAnsi="Arial"/>
          <w:b/>
          <w:bCs/>
          <w:color w:val="2E75B6"/>
          <w:sz w:val="28"/>
          <w:szCs w:val="28"/>
        </w:rPr>
        <w:t xml:space="preserve">3.2 Exemple de décomposition d'une facture annuelle (HTB2-MU)</w:t>
      </w:r>
    </w:p>
    <w:p>
      <w:pPr>
        <w:spacing w:after="120"/>
      </w:pPr>
      <w:r>
        <w:rPr>
          <w:rFonts w:ascii="Arial" w:cs="Arial" w:eastAsia="Arial" w:hAnsi="Arial"/>
          <w:color w:val="1A1A1A"/>
          <w:sz w:val="22"/>
          <w:szCs w:val="22"/>
        </w:rPr>
        <w:t xml:space="preserve">Imaginons un industriel raccordé en HTB2, version MU, puissance souscrite = 100 MW, consommation annuelle = 400 000 MWh :</w:t>
      </w:r>
    </w:p>
    <w:tbl>
      <w:tblPr>
        <w:tblW w:type="dxa" w:w="920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2800"/>
        <w:gridCol w:w="2600"/>
        <w:gridCol w:w="1600"/>
        <w:gridCol w:w="2200"/>
      </w:tblGrid>
      <w:tr>
        <w:trPr>
          <w:tblHeader/>
        </w:trPr>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00"/>
            </w:tcMar>
            <w:vAlign w:val="center"/>
          </w:tcPr>
          <w:p>
            <w:pPr>
              <w:spacing w:after="0"/>
            </w:pPr>
            <w:r>
              <w:rPr>
                <w:rFonts w:ascii="Arial" w:cs="Arial" w:eastAsia="Arial" w:hAnsi="Arial"/>
                <w:b/>
                <w:bCs/>
                <w:color w:val="FFFFFF"/>
                <w:sz w:val="20"/>
                <w:szCs w:val="20"/>
              </w:rPr>
              <w:t xml:space="preserve">Composante</w:t>
            </w:r>
          </w:p>
        </w:tc>
        <w:tc>
          <w:tcPr>
            <w:tcW w:type="dxa" w:w="2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00"/>
            </w:tcMar>
            <w:vAlign w:val="center"/>
          </w:tcPr>
          <w:p>
            <w:pPr>
              <w:spacing w:after="0"/>
            </w:pPr>
            <w:r>
              <w:rPr>
                <w:rFonts w:ascii="Arial" w:cs="Arial" w:eastAsia="Arial" w:hAnsi="Arial"/>
                <w:b/>
                <w:bCs/>
                <w:color w:val="FFFFFF"/>
                <w:sz w:val="20"/>
                <w:szCs w:val="20"/>
              </w:rPr>
              <w:t xml:space="preserve">Calcul détaillé</w:t>
            </w:r>
          </w:p>
        </w:tc>
        <w:tc>
          <w:tcPr>
            <w:tcW w:type="dxa" w:w="1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00"/>
            </w:tcMar>
            <w:vAlign w:val="center"/>
          </w:tcPr>
          <w:p>
            <w:pPr>
              <w:spacing w:after="0"/>
            </w:pPr>
            <w:r>
              <w:rPr>
                <w:rFonts w:ascii="Arial" w:cs="Arial" w:eastAsia="Arial" w:hAnsi="Arial"/>
                <w:b/>
                <w:bCs/>
                <w:color w:val="FFFFFF"/>
                <w:sz w:val="20"/>
                <w:szCs w:val="20"/>
              </w:rPr>
              <w:t xml:space="preserve">Montant</w:t>
            </w:r>
          </w:p>
        </w:tc>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00"/>
            </w:tcMar>
            <w:vAlign w:val="center"/>
          </w:tcPr>
          <w:p>
            <w:pPr>
              <w:spacing w:after="0"/>
            </w:pPr>
            <w:r>
              <w:rPr>
                <w:rFonts w:ascii="Arial" w:cs="Arial" w:eastAsia="Arial" w:hAnsi="Arial"/>
                <w:b/>
                <w:bCs/>
                <w:color w:val="FFFFFF"/>
                <w:sz w:val="20"/>
                <w:szCs w:val="20"/>
              </w:rPr>
              <w:t xml:space="preserve">Note</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pPr>
            <w:r>
              <w:rPr>
                <w:rFonts w:ascii="Arial" w:cs="Arial" w:eastAsia="Arial" w:hAnsi="Arial"/>
                <w:color w:val="1A1A1A"/>
                <w:sz w:val="20"/>
                <w:szCs w:val="20"/>
              </w:rPr>
              <w:t xml:space="preserve">Gestion CG (fixe)</w:t>
            </w:r>
          </w:p>
        </w:tc>
        <w:tc>
          <w:tcPr>
            <w:tcW w:type="dxa" w:w="2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pPr>
            <w:r>
              <w:rPr>
                <w:rFonts w:ascii="Arial" w:cs="Arial" w:eastAsia="Arial" w:hAnsi="Arial"/>
                <w:color w:val="1A1A1A"/>
                <w:sz w:val="20"/>
                <w:szCs w:val="20"/>
              </w:rPr>
              <w:t xml:space="preserve">9 888 €/an (fixe)</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pPr>
            <w:r>
              <w:rPr>
                <w:rFonts w:ascii="Arial" w:cs="Arial" w:eastAsia="Arial" w:hAnsi="Arial"/>
                <w:color w:val="1A1A1A"/>
                <w:sz w:val="20"/>
                <w:szCs w:val="20"/>
              </w:rPr>
              <w:t xml:space="preserve">~10 000 €</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pPr>
            <w:r>
              <w:rPr>
                <w:rFonts w:ascii="Arial" w:cs="Arial" w:eastAsia="Arial" w:hAnsi="Arial"/>
                <w:color w:val="1A1A1A"/>
                <w:sz w:val="20"/>
                <w:szCs w:val="20"/>
              </w:rPr>
              <w:t xml:space="preserve">Négligeable</w:t>
            </w:r>
          </w:p>
        </w:tc>
      </w:tr>
      <w:tr>
        <w:tc>
          <w:tcPr>
            <w:tcW w:type="dxa" w:w="2800"/>
            <w:tcBorders>
              <w:top w:val="single" w:color="CCCCCC" w:sz="1"/>
              <w:left w:val="single" w:color="CCCCCC" w:sz="1"/>
              <w:bottom w:val="single" w:color="CCCCCC" w:sz="1"/>
              <w:right w:val="single" w:color="CCCCCC" w:sz="1"/>
            </w:tcBorders>
            <w:shd w:fill="EBF3FA" w:val="clear"/>
            <w:tcMar>
              <w:top w:type="dxa" w:w="70"/>
              <w:left w:type="dxa" w:w="120"/>
              <w:bottom w:type="dxa" w:w="70"/>
              <w:right w:type="dxa" w:w="100"/>
            </w:tcMar>
            <w:vAlign w:val="top"/>
          </w:tcPr>
          <w:p>
            <w:pPr>
              <w:spacing w:after="0"/>
            </w:pPr>
            <w:r>
              <w:rPr>
                <w:rFonts w:ascii="Arial" w:cs="Arial" w:eastAsia="Arial" w:hAnsi="Arial"/>
                <w:color w:val="1A1A1A"/>
                <w:sz w:val="20"/>
                <w:szCs w:val="20"/>
              </w:rPr>
              <w:t xml:space="preserve">Puissance souscrite b-HPSH (fixe)</w:t>
            </w:r>
          </w:p>
        </w:tc>
        <w:tc>
          <w:tcPr>
            <w:tcW w:type="dxa" w:w="2600"/>
            <w:tcBorders>
              <w:top w:val="single" w:color="CCCCCC" w:sz="1"/>
              <w:left w:val="single" w:color="CCCCCC" w:sz="1"/>
              <w:bottom w:val="single" w:color="CCCCCC" w:sz="1"/>
              <w:right w:val="single" w:color="CCCCCC" w:sz="1"/>
            </w:tcBorders>
            <w:shd w:fill="EBF3FA" w:val="clear"/>
            <w:tcMar>
              <w:top w:type="dxa" w:w="70"/>
              <w:left w:type="dxa" w:w="120"/>
              <w:bottom w:type="dxa" w:w="70"/>
              <w:right w:type="dxa" w:w="100"/>
            </w:tcMar>
            <w:vAlign w:val="top"/>
          </w:tcPr>
          <w:p>
            <w:pPr>
              <w:spacing w:after="0"/>
            </w:pPr>
            <w:r>
              <w:rPr>
                <w:rFonts w:ascii="Arial" w:cs="Arial" w:eastAsia="Arial" w:hAnsi="Arial"/>
                <w:color w:val="1A1A1A"/>
                <w:sz w:val="20"/>
                <w:szCs w:val="20"/>
              </w:rPr>
              <w:t xml:space="preserve">100 000 kW × 4.45 €/kW/an</w:t>
            </w:r>
          </w:p>
        </w:tc>
        <w:tc>
          <w:tcPr>
            <w:tcW w:type="dxa" w:w="1600"/>
            <w:tcBorders>
              <w:top w:val="single" w:color="CCCCCC" w:sz="1"/>
              <w:left w:val="single" w:color="CCCCCC" w:sz="1"/>
              <w:bottom w:val="single" w:color="CCCCCC" w:sz="1"/>
              <w:right w:val="single" w:color="CCCCCC" w:sz="1"/>
            </w:tcBorders>
            <w:shd w:fill="EBF3FA" w:val="clear"/>
            <w:tcMar>
              <w:top w:type="dxa" w:w="70"/>
              <w:left w:type="dxa" w:w="120"/>
              <w:bottom w:type="dxa" w:w="70"/>
              <w:right w:type="dxa" w:w="100"/>
            </w:tcMar>
            <w:vAlign w:val="top"/>
          </w:tcPr>
          <w:p>
            <w:pPr>
              <w:spacing w:after="0"/>
            </w:pPr>
            <w:r>
              <w:rPr>
                <w:rFonts w:ascii="Arial" w:cs="Arial" w:eastAsia="Arial" w:hAnsi="Arial"/>
                <w:color w:val="1A1A1A"/>
                <w:sz w:val="20"/>
                <w:szCs w:val="20"/>
              </w:rPr>
              <w:t xml:space="preserve">445 000 €</w:t>
            </w:r>
          </w:p>
        </w:tc>
        <w:tc>
          <w:tcPr>
            <w:tcW w:type="dxa" w:w="2200"/>
            <w:tcBorders>
              <w:top w:val="single" w:color="CCCCCC" w:sz="1"/>
              <w:left w:val="single" w:color="CCCCCC" w:sz="1"/>
              <w:bottom w:val="single" w:color="CCCCCC" w:sz="1"/>
              <w:right w:val="single" w:color="CCCCCC" w:sz="1"/>
            </w:tcBorders>
            <w:shd w:fill="EBF3FA" w:val="clear"/>
            <w:tcMar>
              <w:top w:type="dxa" w:w="70"/>
              <w:left w:type="dxa" w:w="120"/>
              <w:bottom w:type="dxa" w:w="70"/>
              <w:right w:type="dxa" w:w="100"/>
            </w:tcMar>
            <w:vAlign w:val="top"/>
          </w:tcPr>
          <w:p>
            <w:pPr>
              <w:spacing w:after="0"/>
            </w:pPr>
            <w:r>
              <w:rPr>
                <w:rFonts w:ascii="Arial" w:cs="Arial" w:eastAsia="Arial" w:hAnsi="Arial"/>
                <w:color w:val="1A1A1A"/>
                <w:sz w:val="20"/>
                <w:szCs w:val="20"/>
              </w:rPr>
              <w:t xml:space="preserve">Coût réseau fixe</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pPr>
            <w:r>
              <w:rPr>
                <w:rFonts w:ascii="Arial" w:cs="Arial" w:eastAsia="Arial" w:hAnsi="Arial"/>
                <w:color w:val="1A1A1A"/>
                <w:sz w:val="20"/>
                <w:szCs w:val="20"/>
              </w:rPr>
              <w:t xml:space="preserve">Énergie HPSH (60% de 400 GWh)</w:t>
            </w:r>
          </w:p>
        </w:tc>
        <w:tc>
          <w:tcPr>
            <w:tcW w:type="dxa" w:w="2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pPr>
            <w:r>
              <w:rPr>
                <w:rFonts w:ascii="Arial" w:cs="Arial" w:eastAsia="Arial" w:hAnsi="Arial"/>
                <w:color w:val="1A1A1A"/>
                <w:sz w:val="20"/>
                <w:szCs w:val="20"/>
              </w:rPr>
              <w:t xml:space="preserve">240 000 MWh × 8.924 €/MWh</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pPr>
            <w:r>
              <w:rPr>
                <w:rFonts w:ascii="Arial" w:cs="Arial" w:eastAsia="Arial" w:hAnsi="Arial"/>
                <w:color w:val="1A1A1A"/>
                <w:sz w:val="20"/>
                <w:szCs w:val="20"/>
              </w:rPr>
              <w:t xml:space="preserve">2 141 000 €</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pPr>
            <w:r>
              <w:rPr>
                <w:rFonts w:ascii="Arial" w:cs="Arial" w:eastAsia="Arial" w:hAnsi="Arial"/>
                <w:color w:val="1A1A1A"/>
                <w:sz w:val="20"/>
                <w:szCs w:val="20"/>
              </w:rPr>
              <w:t xml:space="preserve">Le plus cher</w:t>
            </w:r>
          </w:p>
        </w:tc>
      </w:tr>
      <w:tr>
        <w:tc>
          <w:tcPr>
            <w:tcW w:type="dxa" w:w="2800"/>
            <w:tcBorders>
              <w:top w:val="single" w:color="CCCCCC" w:sz="1"/>
              <w:left w:val="single" w:color="CCCCCC" w:sz="1"/>
              <w:bottom w:val="single" w:color="CCCCCC" w:sz="1"/>
              <w:right w:val="single" w:color="CCCCCC" w:sz="1"/>
            </w:tcBorders>
            <w:shd w:fill="EBF3FA" w:val="clear"/>
            <w:tcMar>
              <w:top w:type="dxa" w:w="70"/>
              <w:left w:type="dxa" w:w="120"/>
              <w:bottom w:type="dxa" w:w="70"/>
              <w:right w:type="dxa" w:w="100"/>
            </w:tcMar>
            <w:vAlign w:val="top"/>
          </w:tcPr>
          <w:p>
            <w:pPr>
              <w:spacing w:after="0"/>
            </w:pPr>
            <w:r>
              <w:rPr>
                <w:rFonts w:ascii="Arial" w:cs="Arial" w:eastAsia="Arial" w:hAnsi="Arial"/>
                <w:color w:val="1A1A1A"/>
                <w:sz w:val="20"/>
                <w:szCs w:val="20"/>
              </w:rPr>
              <w:t xml:space="preserve">Énergie HCSH + HPSB (30%)</w:t>
            </w:r>
          </w:p>
        </w:tc>
        <w:tc>
          <w:tcPr>
            <w:tcW w:type="dxa" w:w="2600"/>
            <w:tcBorders>
              <w:top w:val="single" w:color="CCCCCC" w:sz="1"/>
              <w:left w:val="single" w:color="CCCCCC" w:sz="1"/>
              <w:bottom w:val="single" w:color="CCCCCC" w:sz="1"/>
              <w:right w:val="single" w:color="CCCCCC" w:sz="1"/>
            </w:tcBorders>
            <w:shd w:fill="EBF3FA" w:val="clear"/>
            <w:tcMar>
              <w:top w:type="dxa" w:w="70"/>
              <w:left w:type="dxa" w:w="120"/>
              <w:bottom w:type="dxa" w:w="70"/>
              <w:right w:type="dxa" w:w="100"/>
            </w:tcMar>
            <w:vAlign w:val="top"/>
          </w:tcPr>
          <w:p>
            <w:pPr>
              <w:spacing w:after="0"/>
            </w:pPr>
            <w:r>
              <w:rPr>
                <w:rFonts w:ascii="Arial" w:cs="Arial" w:eastAsia="Arial" w:hAnsi="Arial"/>
                <w:color w:val="1A1A1A"/>
                <w:sz w:val="20"/>
                <w:szCs w:val="20"/>
              </w:rPr>
              <w:t xml:space="preserve">120 000 MWh × ~6.80 €/MWh</w:t>
            </w:r>
          </w:p>
        </w:tc>
        <w:tc>
          <w:tcPr>
            <w:tcW w:type="dxa" w:w="1600"/>
            <w:tcBorders>
              <w:top w:val="single" w:color="CCCCCC" w:sz="1"/>
              <w:left w:val="single" w:color="CCCCCC" w:sz="1"/>
              <w:bottom w:val="single" w:color="CCCCCC" w:sz="1"/>
              <w:right w:val="single" w:color="CCCCCC" w:sz="1"/>
            </w:tcBorders>
            <w:shd w:fill="EBF3FA" w:val="clear"/>
            <w:tcMar>
              <w:top w:type="dxa" w:w="70"/>
              <w:left w:type="dxa" w:w="120"/>
              <w:bottom w:type="dxa" w:w="70"/>
              <w:right w:type="dxa" w:w="100"/>
            </w:tcMar>
            <w:vAlign w:val="top"/>
          </w:tcPr>
          <w:p>
            <w:pPr>
              <w:spacing w:after="0"/>
            </w:pPr>
            <w:r>
              <w:rPr>
                <w:rFonts w:ascii="Arial" w:cs="Arial" w:eastAsia="Arial" w:hAnsi="Arial"/>
                <w:color w:val="1A1A1A"/>
                <w:sz w:val="20"/>
                <w:szCs w:val="20"/>
              </w:rPr>
              <w:t xml:space="preserve">816 000 €</w:t>
            </w:r>
          </w:p>
        </w:tc>
        <w:tc>
          <w:tcPr>
            <w:tcW w:type="dxa" w:w="2200"/>
            <w:tcBorders>
              <w:top w:val="single" w:color="CCCCCC" w:sz="1"/>
              <w:left w:val="single" w:color="CCCCCC" w:sz="1"/>
              <w:bottom w:val="single" w:color="CCCCCC" w:sz="1"/>
              <w:right w:val="single" w:color="CCCCCC" w:sz="1"/>
            </w:tcBorders>
            <w:shd w:fill="EBF3FA" w:val="clear"/>
            <w:tcMar>
              <w:top w:type="dxa" w:w="70"/>
              <w:left w:type="dxa" w:w="120"/>
              <w:bottom w:type="dxa" w:w="70"/>
              <w:right w:type="dxa" w:w="100"/>
            </w:tcMar>
            <w:vAlign w:val="top"/>
          </w:tcPr>
          <w:p>
            <w:pPr>
              <w:spacing w:after="0"/>
            </w:pPr>
            <w:r>
              <w:rPr>
                <w:rFonts w:ascii="Arial" w:cs="Arial" w:eastAsia="Arial" w:hAnsi="Arial"/>
                <w:color w:val="1A1A1A"/>
                <w:sz w:val="20"/>
                <w:szCs w:val="20"/>
              </w:rPr>
              <w:t xml:space="preserve">Intermédiaire</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pPr>
            <w:r>
              <w:rPr>
                <w:rFonts w:ascii="Arial" w:cs="Arial" w:eastAsia="Arial" w:hAnsi="Arial"/>
                <w:color w:val="1A1A1A"/>
                <w:sz w:val="20"/>
                <w:szCs w:val="20"/>
              </w:rPr>
              <w:t xml:space="preserve">Énergie HCSB (10%)</w:t>
            </w:r>
          </w:p>
        </w:tc>
        <w:tc>
          <w:tcPr>
            <w:tcW w:type="dxa" w:w="2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pPr>
            <w:r>
              <w:rPr>
                <w:rFonts w:ascii="Arial" w:cs="Arial" w:eastAsia="Arial" w:hAnsi="Arial"/>
                <w:color w:val="1A1A1A"/>
                <w:sz w:val="20"/>
                <w:szCs w:val="20"/>
              </w:rPr>
              <w:t xml:space="preserve">40 000 MWh × 3.570 €/MWh</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pPr>
            <w:r>
              <w:rPr>
                <w:rFonts w:ascii="Arial" w:cs="Arial" w:eastAsia="Arial" w:hAnsi="Arial"/>
                <w:color w:val="1A1A1A"/>
                <w:sz w:val="20"/>
                <w:szCs w:val="20"/>
              </w:rPr>
              <w:t xml:space="preserve">143 000 €</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pPr>
            <w:r>
              <w:rPr>
                <w:rFonts w:ascii="Arial" w:cs="Arial" w:eastAsia="Arial" w:hAnsi="Arial"/>
                <w:color w:val="1A1A1A"/>
                <w:sz w:val="20"/>
                <w:szCs w:val="20"/>
              </w:rPr>
              <w:t xml:space="preserve">Le moins cher</w:t>
            </w:r>
          </w:p>
        </w:tc>
      </w:tr>
      <w:tr>
        <w:tc>
          <w:tcPr>
            <w:tcW w:type="dxa" w:w="2800"/>
            <w:tcBorders>
              <w:top w:val="single" w:color="CCCCCC" w:sz="1"/>
              <w:left w:val="single" w:color="CCCCCC" w:sz="1"/>
              <w:bottom w:val="single" w:color="CCCCCC" w:sz="1"/>
              <w:right w:val="single" w:color="CCCCCC" w:sz="1"/>
            </w:tcBorders>
            <w:shd w:fill="EBF3FA" w:val="clear"/>
            <w:tcMar>
              <w:top w:type="dxa" w:w="70"/>
              <w:left w:type="dxa" w:w="120"/>
              <w:bottom w:type="dxa" w:w="70"/>
              <w:right w:type="dxa" w:w="100"/>
            </w:tcMar>
            <w:vAlign w:val="top"/>
          </w:tcPr>
          <w:p>
            <w:pPr>
              <w:spacing w:after="0"/>
            </w:pPr>
            <w:r>
              <w:rPr>
                <w:rFonts w:ascii="Arial" w:cs="Arial" w:eastAsia="Arial" w:hAnsi="Arial"/>
                <w:color w:val="1A1A1A"/>
                <w:sz w:val="20"/>
                <w:szCs w:val="20"/>
              </w:rPr>
              <w:t xml:space="preserve">TOTAL TURPE annuel estimé</w:t>
            </w:r>
          </w:p>
        </w:tc>
        <w:tc>
          <w:tcPr>
            <w:tcW w:type="dxa" w:w="2600"/>
            <w:tcBorders>
              <w:top w:val="single" w:color="CCCCCC" w:sz="1"/>
              <w:left w:val="single" w:color="CCCCCC" w:sz="1"/>
              <w:bottom w:val="single" w:color="CCCCCC" w:sz="1"/>
              <w:right w:val="single" w:color="CCCCCC" w:sz="1"/>
            </w:tcBorders>
            <w:shd w:fill="EBF3FA" w:val="clear"/>
            <w:tcMar>
              <w:top w:type="dxa" w:w="70"/>
              <w:left w:type="dxa" w:w="120"/>
              <w:bottom w:type="dxa" w:w="70"/>
              <w:right w:type="dxa" w:w="100"/>
            </w:tcMar>
            <w:vAlign w:val="top"/>
          </w:tcPr>
          <w:p>
            <w:pPr>
              <w:spacing w:after="0"/>
            </w:pPr>
            <w:r>
              <w:rPr>
                <w:rFonts w:ascii="Arial" w:cs="Arial" w:eastAsia="Arial" w:hAnsi="Arial"/>
                <w:color w:val="1A1A1A"/>
                <w:sz w:val="20"/>
                <w:szCs w:val="20"/>
              </w:rPr>
              <w:t xml:space="preserve">—</w:t>
            </w:r>
          </w:p>
        </w:tc>
        <w:tc>
          <w:tcPr>
            <w:tcW w:type="dxa" w:w="1600"/>
            <w:tcBorders>
              <w:top w:val="single" w:color="CCCCCC" w:sz="1"/>
              <w:left w:val="single" w:color="CCCCCC" w:sz="1"/>
              <w:bottom w:val="single" w:color="CCCCCC" w:sz="1"/>
              <w:right w:val="single" w:color="CCCCCC" w:sz="1"/>
            </w:tcBorders>
            <w:shd w:fill="EBF3FA" w:val="clear"/>
            <w:tcMar>
              <w:top w:type="dxa" w:w="70"/>
              <w:left w:type="dxa" w:w="120"/>
              <w:bottom w:type="dxa" w:w="70"/>
              <w:right w:type="dxa" w:w="100"/>
            </w:tcMar>
            <w:vAlign w:val="top"/>
          </w:tcPr>
          <w:p>
            <w:pPr>
              <w:spacing w:after="0"/>
            </w:pPr>
            <w:r>
              <w:rPr>
                <w:rFonts w:ascii="Arial" w:cs="Arial" w:eastAsia="Arial" w:hAnsi="Arial"/>
                <w:color w:val="1A1A1A"/>
                <w:sz w:val="20"/>
                <w:szCs w:val="20"/>
              </w:rPr>
              <w:t xml:space="preserve">~3.6 M€/an</w:t>
            </w:r>
          </w:p>
        </w:tc>
        <w:tc>
          <w:tcPr>
            <w:tcW w:type="dxa" w:w="2200"/>
            <w:tcBorders>
              <w:top w:val="single" w:color="CCCCCC" w:sz="1"/>
              <w:left w:val="single" w:color="CCCCCC" w:sz="1"/>
              <w:bottom w:val="single" w:color="CCCCCC" w:sz="1"/>
              <w:right w:val="single" w:color="CCCCCC" w:sz="1"/>
            </w:tcBorders>
            <w:shd w:fill="EBF3FA" w:val="clear"/>
            <w:tcMar>
              <w:top w:type="dxa" w:w="70"/>
              <w:left w:type="dxa" w:w="120"/>
              <w:bottom w:type="dxa" w:w="70"/>
              <w:right w:type="dxa" w:w="100"/>
            </w:tcMar>
            <w:vAlign w:val="top"/>
          </w:tcPr>
          <w:p>
            <w:pPr>
              <w:spacing w:after="0"/>
            </w:pPr>
            <w:r>
              <w:rPr>
                <w:rFonts w:ascii="Arial" w:cs="Arial" w:eastAsia="Arial" w:hAnsi="Arial"/>
                <w:color w:val="1A1A1A"/>
                <w:sz w:val="20"/>
                <w:szCs w:val="20"/>
              </w:rPr>
              <w:t xml:space="preserve">~9 €/MWh moyen</w:t>
            </w:r>
          </w:p>
        </w:tc>
      </w:tr>
    </w:tbl>
    <w:p>
      <w:pPr>
        <w:spacing w:after="80"/>
      </w:pPr>
      <w:r>
        <w:rPr>
          <w:rFonts w:ascii="Arial" w:cs="Arial" w:eastAsia="Arial" w:hAnsi="Arial"/>
          <w:color w:val="555555"/>
          <w:sz w:val="19"/>
          <w:szCs w:val="19"/>
        </w:rPr>
        <w:t xml:space="preserve">Valeurs approximatives à titre illustratif. Le TURPE représente typiquement 8-15% de la facture électrique totale d'un gros industriel. Le reste est la commodity (prix spot + marge fournisseur).</w:t>
      </w:r>
    </w:p>
    <w:p>
      <w:r>
        <w:br w:type="page"/>
      </w:r>
    </w:p>
    <w:p>
      <w:pPr>
        <w:pStyle w:val="Heading1"/>
        <w:pBdr>
          <w:bottom w:val="single" w:color="2E75B6" w:sz="6" w:space="4"/>
        </w:pBdr>
        <w:spacing w:before="400" w:after="160"/>
      </w:pPr>
      <w:r>
        <w:rPr>
          <w:rFonts w:ascii="Arial" w:cs="Arial" w:eastAsia="Arial" w:hAnsi="Arial"/>
          <w:b/>
          <w:bCs/>
          <w:color w:val="1F3864"/>
          <w:sz w:val="36"/>
          <w:szCs w:val="36"/>
        </w:rPr>
        <w:t xml:space="preserve">4. Les 4 classes temporelles</w:t>
      </w:r>
    </w:p>
    <w:p>
      <w:pPr>
        <w:pStyle w:val="Heading2"/>
        <w:spacing w:before="280" w:after="100"/>
      </w:pPr>
      <w:r>
        <w:rPr>
          <w:rFonts w:ascii="Arial" w:cs="Arial" w:eastAsia="Arial" w:hAnsi="Arial"/>
          <w:b/>
          <w:bCs/>
          <w:color w:val="2E75B6"/>
          <w:sz w:val="28"/>
          <w:szCs w:val="28"/>
        </w:rPr>
        <w:t xml:space="preserve">4.1 Pourquoi des prix différents selon l'heure ?</w:t>
      </w:r>
    </w:p>
    <w:p>
      <w:pPr>
        <w:spacing w:after="120"/>
      </w:pPr>
      <w:r>
        <w:rPr>
          <w:rFonts w:ascii="Arial" w:cs="Arial" w:eastAsia="Arial" w:hAnsi="Arial"/>
          <w:color w:val="1A1A1A"/>
          <w:sz w:val="22"/>
          <w:szCs w:val="22"/>
        </w:rPr>
        <w:t xml:space="preserve">Le réseau électrique doit être dimensionné pour satisfaire la demande la plus forte de l'année (en hiver, le matin). Or, ces équipements (lignes, transformateurs) coûtent cher même quand ils ne servent qu'à 50% de capacité. Pour inciter les industriels à consommer moins aux heures de pointe, le TURPE applique des tarifs plus élevés aux heures de forte demande.</w:t>
      </w:r>
    </w:p>
    <w:p>
      <w:pPr>
        <w:pStyle w:val="Heading2"/>
        <w:spacing w:before="280" w:after="100"/>
      </w:pPr>
      <w:r>
        <w:rPr>
          <w:rFonts w:ascii="Arial" w:cs="Arial" w:eastAsia="Arial" w:hAnsi="Arial"/>
          <w:b/>
          <w:bCs/>
          <w:color w:val="2E75B6"/>
          <w:sz w:val="28"/>
          <w:szCs w:val="28"/>
        </w:rPr>
        <w:t xml:space="preserve">4.2 Les 4 classes HPSH / HCSH / HPSB / HCSB</w:t>
      </w:r>
    </w:p>
    <w:tbl>
      <w:tblPr>
        <w:tblW w:type="dxa" w:w="920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1200"/>
        <w:gridCol w:w="2400"/>
        <w:gridCol w:w="1800"/>
        <w:gridCol w:w="2000"/>
        <w:gridCol w:w="1800"/>
      </w:tblGrid>
      <w:tr>
        <w:trPr>
          <w:tblHeader/>
        </w:trPr>
        <w:tc>
          <w:tcPr>
            <w:tcW w:type="dxa" w:w="1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00"/>
            </w:tcMar>
            <w:vAlign w:val="center"/>
          </w:tcPr>
          <w:p>
            <w:pPr>
              <w:spacing w:after="0"/>
            </w:pPr>
            <w:r>
              <w:rPr>
                <w:rFonts w:ascii="Arial" w:cs="Arial" w:eastAsia="Arial" w:hAnsi="Arial"/>
                <w:b/>
                <w:bCs/>
                <w:color w:val="FFFFFF"/>
                <w:sz w:val="20"/>
                <w:szCs w:val="20"/>
              </w:rPr>
              <w:t xml:space="preserve">Classe</w:t>
            </w:r>
          </w:p>
        </w:tc>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00"/>
            </w:tcMar>
            <w:vAlign w:val="center"/>
          </w:tcPr>
          <w:p>
            <w:pPr>
              <w:spacing w:after="0"/>
            </w:pPr>
            <w:r>
              <w:rPr>
                <w:rFonts w:ascii="Arial" w:cs="Arial" w:eastAsia="Arial" w:hAnsi="Arial"/>
                <w:b/>
                <w:bCs/>
                <w:color w:val="FFFFFF"/>
                <w:sz w:val="20"/>
                <w:szCs w:val="20"/>
              </w:rPr>
              <w:t xml:space="preserve">Signification</w:t>
            </w:r>
          </w:p>
        </w:tc>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00"/>
            </w:tcMar>
            <w:vAlign w:val="center"/>
          </w:tcPr>
          <w:p>
            <w:pPr>
              <w:spacing w:after="0"/>
            </w:pPr>
            <w:r>
              <w:rPr>
                <w:rFonts w:ascii="Arial" w:cs="Arial" w:eastAsia="Arial" w:hAnsi="Arial"/>
                <w:b/>
                <w:bCs/>
                <w:color w:val="FFFFFF"/>
                <w:sz w:val="20"/>
                <w:szCs w:val="20"/>
              </w:rPr>
              <w:t xml:space="preserve">Saison</w:t>
            </w:r>
          </w:p>
        </w:tc>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00"/>
            </w:tcMar>
            <w:vAlign w:val="center"/>
          </w:tcPr>
          <w:p>
            <w:pPr>
              <w:spacing w:after="0"/>
            </w:pPr>
            <w:r>
              <w:rPr>
                <w:rFonts w:ascii="Arial" w:cs="Arial" w:eastAsia="Arial" w:hAnsi="Arial"/>
                <w:b/>
                <w:bCs/>
                <w:color w:val="FFFFFF"/>
                <w:sz w:val="20"/>
                <w:szCs w:val="20"/>
              </w:rPr>
              <w:t xml:space="preserve">Heures</w:t>
            </w:r>
          </w:p>
        </w:tc>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00"/>
            </w:tcMar>
            <w:vAlign w:val="center"/>
          </w:tcPr>
          <w:p>
            <w:pPr>
              <w:spacing w:after="0"/>
            </w:pPr>
            <w:r>
              <w:rPr>
                <w:rFonts w:ascii="Arial" w:cs="Arial" w:eastAsia="Arial" w:hAnsi="Arial"/>
                <w:b/>
                <w:bCs/>
                <w:color w:val="FFFFFF"/>
                <w:sz w:val="20"/>
                <w:szCs w:val="20"/>
              </w:rPr>
              <w:t xml:space="preserve">Tarif HTB2-MU</w:t>
            </w:r>
          </w:p>
        </w:tc>
      </w:tr>
      <w:tr>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pPr>
            <w:r>
              <w:rPr>
                <w:rFonts w:ascii="Arial" w:cs="Arial" w:eastAsia="Arial" w:hAnsi="Arial"/>
                <w:color w:val="1A1A1A"/>
                <w:sz w:val="20"/>
                <w:szCs w:val="20"/>
              </w:rPr>
              <w:t xml:space="preserve">HPSH</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pPr>
            <w:r>
              <w:rPr>
                <w:rFonts w:ascii="Arial" w:cs="Arial" w:eastAsia="Arial" w:hAnsi="Arial"/>
                <w:color w:val="1A1A1A"/>
                <w:sz w:val="20"/>
                <w:szCs w:val="20"/>
              </w:rPr>
              <w:t xml:space="preserve">Heures Pleines Saison Haute</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pPr>
            <w:r>
              <w:rPr>
                <w:rFonts w:ascii="Arial" w:cs="Arial" w:eastAsia="Arial" w:hAnsi="Arial"/>
                <w:color w:val="1A1A1A"/>
                <w:sz w:val="20"/>
                <w:szCs w:val="20"/>
              </w:rPr>
              <w:t xml:space="preserve">Hiver (Nov-Mar)</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pPr>
            <w:r>
              <w:rPr>
                <w:rFonts w:ascii="Arial" w:cs="Arial" w:eastAsia="Arial" w:hAnsi="Arial"/>
                <w:color w:val="1A1A1A"/>
                <w:sz w:val="20"/>
                <w:szCs w:val="20"/>
              </w:rPr>
              <w:t xml:space="preserve">8h-20h semaine</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pPr>
            <w:r>
              <w:rPr>
                <w:rFonts w:ascii="Arial" w:cs="Arial" w:eastAsia="Arial" w:hAnsi="Arial"/>
                <w:color w:val="1A1A1A"/>
                <w:sz w:val="20"/>
                <w:szCs w:val="20"/>
              </w:rPr>
              <w:t xml:space="preserve">8.924 €/MWh — le plus cher</w:t>
            </w:r>
          </w:p>
        </w:tc>
      </w:tr>
      <w:tr>
        <w:tc>
          <w:tcPr>
            <w:tcW w:type="dxa" w:w="1200"/>
            <w:tcBorders>
              <w:top w:val="single" w:color="CCCCCC" w:sz="1"/>
              <w:left w:val="single" w:color="CCCCCC" w:sz="1"/>
              <w:bottom w:val="single" w:color="CCCCCC" w:sz="1"/>
              <w:right w:val="single" w:color="CCCCCC" w:sz="1"/>
            </w:tcBorders>
            <w:shd w:fill="EBF3FA" w:val="clear"/>
            <w:tcMar>
              <w:top w:type="dxa" w:w="70"/>
              <w:left w:type="dxa" w:w="120"/>
              <w:bottom w:type="dxa" w:w="70"/>
              <w:right w:type="dxa" w:w="100"/>
            </w:tcMar>
            <w:vAlign w:val="top"/>
          </w:tcPr>
          <w:p>
            <w:pPr>
              <w:spacing w:after="0"/>
            </w:pPr>
            <w:r>
              <w:rPr>
                <w:rFonts w:ascii="Arial" w:cs="Arial" w:eastAsia="Arial" w:hAnsi="Arial"/>
                <w:color w:val="1A1A1A"/>
                <w:sz w:val="20"/>
                <w:szCs w:val="20"/>
              </w:rPr>
              <w:t xml:space="preserve">HCSH</w:t>
            </w:r>
          </w:p>
        </w:tc>
        <w:tc>
          <w:tcPr>
            <w:tcW w:type="dxa" w:w="2400"/>
            <w:tcBorders>
              <w:top w:val="single" w:color="CCCCCC" w:sz="1"/>
              <w:left w:val="single" w:color="CCCCCC" w:sz="1"/>
              <w:bottom w:val="single" w:color="CCCCCC" w:sz="1"/>
              <w:right w:val="single" w:color="CCCCCC" w:sz="1"/>
            </w:tcBorders>
            <w:shd w:fill="EBF3FA" w:val="clear"/>
            <w:tcMar>
              <w:top w:type="dxa" w:w="70"/>
              <w:left w:type="dxa" w:w="120"/>
              <w:bottom w:type="dxa" w:w="70"/>
              <w:right w:type="dxa" w:w="100"/>
            </w:tcMar>
            <w:vAlign w:val="top"/>
          </w:tcPr>
          <w:p>
            <w:pPr>
              <w:spacing w:after="0"/>
            </w:pPr>
            <w:r>
              <w:rPr>
                <w:rFonts w:ascii="Arial" w:cs="Arial" w:eastAsia="Arial" w:hAnsi="Arial"/>
                <w:color w:val="1A1A1A"/>
                <w:sz w:val="20"/>
                <w:szCs w:val="20"/>
              </w:rPr>
              <w:t xml:space="preserve">Heures Creuses Saison Haute</w:t>
            </w:r>
          </w:p>
        </w:tc>
        <w:tc>
          <w:tcPr>
            <w:tcW w:type="dxa" w:w="1800"/>
            <w:tcBorders>
              <w:top w:val="single" w:color="CCCCCC" w:sz="1"/>
              <w:left w:val="single" w:color="CCCCCC" w:sz="1"/>
              <w:bottom w:val="single" w:color="CCCCCC" w:sz="1"/>
              <w:right w:val="single" w:color="CCCCCC" w:sz="1"/>
            </w:tcBorders>
            <w:shd w:fill="EBF3FA" w:val="clear"/>
            <w:tcMar>
              <w:top w:type="dxa" w:w="70"/>
              <w:left w:type="dxa" w:w="120"/>
              <w:bottom w:type="dxa" w:w="70"/>
              <w:right w:type="dxa" w:w="100"/>
            </w:tcMar>
            <w:vAlign w:val="top"/>
          </w:tcPr>
          <w:p>
            <w:pPr>
              <w:spacing w:after="0"/>
            </w:pPr>
            <w:r>
              <w:rPr>
                <w:rFonts w:ascii="Arial" w:cs="Arial" w:eastAsia="Arial" w:hAnsi="Arial"/>
                <w:color w:val="1A1A1A"/>
                <w:sz w:val="20"/>
                <w:szCs w:val="20"/>
              </w:rPr>
              <w:t xml:space="preserve">Hiver (Nov-Mar)</w:t>
            </w:r>
          </w:p>
        </w:tc>
        <w:tc>
          <w:tcPr>
            <w:tcW w:type="dxa" w:w="2000"/>
            <w:tcBorders>
              <w:top w:val="single" w:color="CCCCCC" w:sz="1"/>
              <w:left w:val="single" w:color="CCCCCC" w:sz="1"/>
              <w:bottom w:val="single" w:color="CCCCCC" w:sz="1"/>
              <w:right w:val="single" w:color="CCCCCC" w:sz="1"/>
            </w:tcBorders>
            <w:shd w:fill="EBF3FA" w:val="clear"/>
            <w:tcMar>
              <w:top w:type="dxa" w:w="70"/>
              <w:left w:type="dxa" w:w="120"/>
              <w:bottom w:type="dxa" w:w="70"/>
              <w:right w:type="dxa" w:w="100"/>
            </w:tcMar>
            <w:vAlign w:val="top"/>
          </w:tcPr>
          <w:p>
            <w:pPr>
              <w:spacing w:after="0"/>
            </w:pPr>
            <w:r>
              <w:rPr>
                <w:rFonts w:ascii="Arial" w:cs="Arial" w:eastAsia="Arial" w:hAnsi="Arial"/>
                <w:color w:val="1A1A1A"/>
                <w:sz w:val="20"/>
                <w:szCs w:val="20"/>
              </w:rPr>
              <w:t xml:space="preserve">20h-8h + weekends</w:t>
            </w:r>
          </w:p>
        </w:tc>
        <w:tc>
          <w:tcPr>
            <w:tcW w:type="dxa" w:w="1800"/>
            <w:tcBorders>
              <w:top w:val="single" w:color="CCCCCC" w:sz="1"/>
              <w:left w:val="single" w:color="CCCCCC" w:sz="1"/>
              <w:bottom w:val="single" w:color="CCCCCC" w:sz="1"/>
              <w:right w:val="single" w:color="CCCCCC" w:sz="1"/>
            </w:tcBorders>
            <w:shd w:fill="EBF3FA" w:val="clear"/>
            <w:tcMar>
              <w:top w:type="dxa" w:w="70"/>
              <w:left w:type="dxa" w:w="120"/>
              <w:bottom w:type="dxa" w:w="70"/>
              <w:right w:type="dxa" w:w="100"/>
            </w:tcMar>
            <w:vAlign w:val="top"/>
          </w:tcPr>
          <w:p>
            <w:pPr>
              <w:spacing w:after="0"/>
            </w:pPr>
            <w:r>
              <w:rPr>
                <w:rFonts w:ascii="Arial" w:cs="Arial" w:eastAsia="Arial" w:hAnsi="Arial"/>
                <w:color w:val="1A1A1A"/>
                <w:sz w:val="20"/>
                <w:szCs w:val="20"/>
              </w:rPr>
              <w:t xml:space="preserve">6.824 €/MWh</w:t>
            </w:r>
          </w:p>
        </w:tc>
      </w:tr>
      <w:tr>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pPr>
            <w:r>
              <w:rPr>
                <w:rFonts w:ascii="Arial" w:cs="Arial" w:eastAsia="Arial" w:hAnsi="Arial"/>
                <w:color w:val="1A1A1A"/>
                <w:sz w:val="20"/>
                <w:szCs w:val="20"/>
              </w:rPr>
              <w:t xml:space="preserve">HPSB</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pPr>
            <w:r>
              <w:rPr>
                <w:rFonts w:ascii="Arial" w:cs="Arial" w:eastAsia="Arial" w:hAnsi="Arial"/>
                <w:color w:val="1A1A1A"/>
                <w:sz w:val="20"/>
                <w:szCs w:val="20"/>
              </w:rPr>
              <w:t xml:space="preserve">Heures Pleines Saison Basse</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pPr>
            <w:r>
              <w:rPr>
                <w:rFonts w:ascii="Arial" w:cs="Arial" w:eastAsia="Arial" w:hAnsi="Arial"/>
                <w:color w:val="1A1A1A"/>
                <w:sz w:val="20"/>
                <w:szCs w:val="20"/>
              </w:rPr>
              <w:t xml:space="preserve">Été (Avr-Oct)</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pPr>
            <w:r>
              <w:rPr>
                <w:rFonts w:ascii="Arial" w:cs="Arial" w:eastAsia="Arial" w:hAnsi="Arial"/>
                <w:color w:val="1A1A1A"/>
                <w:sz w:val="20"/>
                <w:szCs w:val="20"/>
              </w:rPr>
              <w:t xml:space="preserve">8h-20h semaine</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pPr>
            <w:r>
              <w:rPr>
                <w:rFonts w:ascii="Arial" w:cs="Arial" w:eastAsia="Arial" w:hAnsi="Arial"/>
                <w:color w:val="1A1A1A"/>
                <w:sz w:val="20"/>
                <w:szCs w:val="20"/>
              </w:rPr>
              <w:t xml:space="preserve">5.354 €/MWh</w:t>
            </w:r>
          </w:p>
        </w:tc>
      </w:tr>
      <w:tr>
        <w:tc>
          <w:tcPr>
            <w:tcW w:type="dxa" w:w="1200"/>
            <w:tcBorders>
              <w:top w:val="single" w:color="CCCCCC" w:sz="1"/>
              <w:left w:val="single" w:color="CCCCCC" w:sz="1"/>
              <w:bottom w:val="single" w:color="CCCCCC" w:sz="1"/>
              <w:right w:val="single" w:color="CCCCCC" w:sz="1"/>
            </w:tcBorders>
            <w:shd w:fill="EBF3FA" w:val="clear"/>
            <w:tcMar>
              <w:top w:type="dxa" w:w="70"/>
              <w:left w:type="dxa" w:w="120"/>
              <w:bottom w:type="dxa" w:w="70"/>
              <w:right w:type="dxa" w:w="100"/>
            </w:tcMar>
            <w:vAlign w:val="top"/>
          </w:tcPr>
          <w:p>
            <w:pPr>
              <w:spacing w:after="0"/>
            </w:pPr>
            <w:r>
              <w:rPr>
                <w:rFonts w:ascii="Arial" w:cs="Arial" w:eastAsia="Arial" w:hAnsi="Arial"/>
                <w:color w:val="1A1A1A"/>
                <w:sz w:val="20"/>
                <w:szCs w:val="20"/>
              </w:rPr>
              <w:t xml:space="preserve">HCSB</w:t>
            </w:r>
          </w:p>
        </w:tc>
        <w:tc>
          <w:tcPr>
            <w:tcW w:type="dxa" w:w="2400"/>
            <w:tcBorders>
              <w:top w:val="single" w:color="CCCCCC" w:sz="1"/>
              <w:left w:val="single" w:color="CCCCCC" w:sz="1"/>
              <w:bottom w:val="single" w:color="CCCCCC" w:sz="1"/>
              <w:right w:val="single" w:color="CCCCCC" w:sz="1"/>
            </w:tcBorders>
            <w:shd w:fill="EBF3FA" w:val="clear"/>
            <w:tcMar>
              <w:top w:type="dxa" w:w="70"/>
              <w:left w:type="dxa" w:w="120"/>
              <w:bottom w:type="dxa" w:w="70"/>
              <w:right w:type="dxa" w:w="100"/>
            </w:tcMar>
            <w:vAlign w:val="top"/>
          </w:tcPr>
          <w:p>
            <w:pPr>
              <w:spacing w:after="0"/>
            </w:pPr>
            <w:r>
              <w:rPr>
                <w:rFonts w:ascii="Arial" w:cs="Arial" w:eastAsia="Arial" w:hAnsi="Arial"/>
                <w:color w:val="1A1A1A"/>
                <w:sz w:val="20"/>
                <w:szCs w:val="20"/>
              </w:rPr>
              <w:t xml:space="preserve">Heures Creuses Saison Basse</w:t>
            </w:r>
          </w:p>
        </w:tc>
        <w:tc>
          <w:tcPr>
            <w:tcW w:type="dxa" w:w="1800"/>
            <w:tcBorders>
              <w:top w:val="single" w:color="CCCCCC" w:sz="1"/>
              <w:left w:val="single" w:color="CCCCCC" w:sz="1"/>
              <w:bottom w:val="single" w:color="CCCCCC" w:sz="1"/>
              <w:right w:val="single" w:color="CCCCCC" w:sz="1"/>
            </w:tcBorders>
            <w:shd w:fill="EBF3FA" w:val="clear"/>
            <w:tcMar>
              <w:top w:type="dxa" w:w="70"/>
              <w:left w:type="dxa" w:w="120"/>
              <w:bottom w:type="dxa" w:w="70"/>
              <w:right w:type="dxa" w:w="100"/>
            </w:tcMar>
            <w:vAlign w:val="top"/>
          </w:tcPr>
          <w:p>
            <w:pPr>
              <w:spacing w:after="0"/>
            </w:pPr>
            <w:r>
              <w:rPr>
                <w:rFonts w:ascii="Arial" w:cs="Arial" w:eastAsia="Arial" w:hAnsi="Arial"/>
                <w:color w:val="1A1A1A"/>
                <w:sz w:val="20"/>
                <w:szCs w:val="20"/>
              </w:rPr>
              <w:t xml:space="preserve">Été (Avr-Oct)</w:t>
            </w:r>
          </w:p>
        </w:tc>
        <w:tc>
          <w:tcPr>
            <w:tcW w:type="dxa" w:w="2000"/>
            <w:tcBorders>
              <w:top w:val="single" w:color="CCCCCC" w:sz="1"/>
              <w:left w:val="single" w:color="CCCCCC" w:sz="1"/>
              <w:bottom w:val="single" w:color="CCCCCC" w:sz="1"/>
              <w:right w:val="single" w:color="CCCCCC" w:sz="1"/>
            </w:tcBorders>
            <w:shd w:fill="EBF3FA" w:val="clear"/>
            <w:tcMar>
              <w:top w:type="dxa" w:w="70"/>
              <w:left w:type="dxa" w:w="120"/>
              <w:bottom w:type="dxa" w:w="70"/>
              <w:right w:type="dxa" w:w="100"/>
            </w:tcMar>
            <w:vAlign w:val="top"/>
          </w:tcPr>
          <w:p>
            <w:pPr>
              <w:spacing w:after="0"/>
            </w:pPr>
            <w:r>
              <w:rPr>
                <w:rFonts w:ascii="Arial" w:cs="Arial" w:eastAsia="Arial" w:hAnsi="Arial"/>
                <w:color w:val="1A1A1A"/>
                <w:sz w:val="20"/>
                <w:szCs w:val="20"/>
              </w:rPr>
              <w:t xml:space="preserve">20h-8h + weekends</w:t>
            </w:r>
          </w:p>
        </w:tc>
        <w:tc>
          <w:tcPr>
            <w:tcW w:type="dxa" w:w="1800"/>
            <w:tcBorders>
              <w:top w:val="single" w:color="CCCCCC" w:sz="1"/>
              <w:left w:val="single" w:color="CCCCCC" w:sz="1"/>
              <w:bottom w:val="single" w:color="CCCCCC" w:sz="1"/>
              <w:right w:val="single" w:color="CCCCCC" w:sz="1"/>
            </w:tcBorders>
            <w:shd w:fill="EBF3FA" w:val="clear"/>
            <w:tcMar>
              <w:top w:type="dxa" w:w="70"/>
              <w:left w:type="dxa" w:w="120"/>
              <w:bottom w:type="dxa" w:w="70"/>
              <w:right w:type="dxa" w:w="100"/>
            </w:tcMar>
            <w:vAlign w:val="top"/>
          </w:tcPr>
          <w:p>
            <w:pPr>
              <w:spacing w:after="0"/>
            </w:pPr>
            <w:r>
              <w:rPr>
                <w:rFonts w:ascii="Arial" w:cs="Arial" w:eastAsia="Arial" w:hAnsi="Arial"/>
                <w:color w:val="1A1A1A"/>
                <w:sz w:val="20"/>
                <w:szCs w:val="20"/>
              </w:rPr>
              <w:t xml:space="preserve">3.570 €/MWh — le moins cher</w:t>
            </w:r>
          </w:p>
        </w:tc>
      </w:tr>
    </w:tbl>
    <w:p>
      <w:pPr>
        <w:spacing w:after="160"/>
      </w:pPr>
      <w:r>
        <w:rPr>
          <w:sz w:val="22"/>
          <w:szCs w:val="22"/>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80"/>
        </w:tblCellMar>
      </w:tblPr>
      <w:tblGrid>
        <w:gridCol w:w="9200"/>
      </w:tblGrid>
      <w:tr>
        <w:tc>
          <w:tcPr>
            <w:tcBorders>
              <w:top w:val="single" w:color="CCCCCC" w:sz="1"/>
              <w:left w:val="single" w:color="375623" w:sz="12"/>
              <w:bottom w:val="single" w:color="CCCCCC" w:sz="1"/>
              <w:right w:val="single" w:color="CCCCCC" w:sz="1"/>
            </w:tcBorders>
            <w:shd w:fill="E2EFDA" w:val="clear"/>
            <w:tcMar>
              <w:top w:type="dxa" w:w="140"/>
              <w:left w:type="dxa" w:w="200"/>
              <w:bottom w:type="dxa" w:w="140"/>
              <w:right w:type="dxa" w:w="140"/>
            </w:tcMar>
          </w:tcPr>
          <w:p>
            <w:pPr>
              <w:spacing w:after="0"/>
            </w:pPr>
            <w:r>
              <w:rPr>
                <w:rFonts w:ascii="Arial" w:cs="Arial" w:eastAsia="Arial" w:hAnsi="Arial"/>
                <w:b/>
                <w:bCs/>
                <w:color w:val="375623"/>
                <w:sz w:val="22"/>
                <w:szCs w:val="22"/>
              </w:rPr>
              <w:t xml:space="preserve"/>
            </w:r>
            <w:r>
              <w:rPr>
                <w:rFonts w:ascii="Arial" w:cs="Arial" w:eastAsia="Arial" w:hAnsi="Arial"/>
                <w:color w:val="1A1A1A"/>
                <w:sz w:val="21"/>
                <w:szCs w:val="21"/>
              </w:rPr>
              <w:t xml:space="preserve">📊  Impact concret sur le prix
En HTB2-MU (novembre 2024) : HPSH = 8.92 €/MWh contre HCSB = 3.57 €/MWh pour la seule composante TURPE énergie. Soit 2,5× plus cher en hiver le matin qu'en été la nuit. Ajoutez le prix spot EPEX (lui aussi plus élevé en hiver), et la différence totale peut atteindre 80-150 €/MWh entre les extrêmes. C'est ce gradient qui rend le PPA économiquement intéressant.</w:t>
            </w:r>
          </w:p>
        </w:tc>
      </w:tr>
    </w:tbl>
    <w:p>
      <w:pPr>
        <w:pStyle w:val="Heading1"/>
        <w:pBdr>
          <w:bottom w:val="single" w:color="2E75B6" w:sz="6" w:space="4"/>
        </w:pBdr>
        <w:spacing w:before="400" w:after="160"/>
      </w:pPr>
      <w:r>
        <w:rPr>
          <w:rFonts w:ascii="Arial" w:cs="Arial" w:eastAsia="Arial" w:hAnsi="Arial"/>
          <w:b/>
          <w:bCs/>
          <w:color w:val="1F3864"/>
          <w:sz w:val="36"/>
          <w:szCs w:val="36"/>
        </w:rPr>
        <w:t xml:space="preserve">5. Les versions tarifaires : CU, MU, LU</w:t>
      </w:r>
    </w:p>
    <w:p>
      <w:pPr>
        <w:pStyle w:val="Heading2"/>
        <w:spacing w:before="280" w:after="100"/>
      </w:pPr>
      <w:r>
        <w:rPr>
          <w:rFonts w:ascii="Arial" w:cs="Arial" w:eastAsia="Arial" w:hAnsi="Arial"/>
          <w:b/>
          <w:bCs/>
          <w:color w:val="2E75B6"/>
          <w:sz w:val="28"/>
          <w:szCs w:val="28"/>
        </w:rPr>
        <w:t xml:space="preserve">5.1 Pourquoi 3 versions ?</w:t>
      </w:r>
    </w:p>
    <w:p>
      <w:pPr>
        <w:spacing w:after="120"/>
      </w:pPr>
      <w:r>
        <w:rPr>
          <w:rFonts w:ascii="Arial" w:cs="Arial" w:eastAsia="Arial" w:hAnsi="Arial"/>
          <w:color w:val="1A1A1A"/>
          <w:sz w:val="22"/>
          <w:szCs w:val="22"/>
        </w:rPr>
        <w:t xml:space="preserve">Pour HTB2 et HTB1, RTE propose 3 versions tarifaires selon le profil de consommation de l'industriel. L'objectif est de permettre à chaque client de choisir la version qui minimise sa facture totale.</w:t>
      </w:r>
    </w:p>
    <w:tbl>
      <w:tblPr>
        <w:tblW w:type="dxa" w:w="920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1000"/>
        <w:gridCol w:w="2000"/>
        <w:gridCol w:w="2000"/>
        <w:gridCol w:w="4200"/>
      </w:tblGrid>
      <w:tr>
        <w:trPr>
          <w:tblHeader/>
        </w:trPr>
        <w:tc>
          <w:tcPr>
            <w:tcW w:type="dxa" w:w="1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00"/>
            </w:tcMar>
            <w:vAlign w:val="center"/>
          </w:tcPr>
          <w:p>
            <w:pPr>
              <w:spacing w:after="0"/>
            </w:pPr>
            <w:r>
              <w:rPr>
                <w:rFonts w:ascii="Arial" w:cs="Arial" w:eastAsia="Arial" w:hAnsi="Arial"/>
                <w:b/>
                <w:bCs/>
                <w:color w:val="FFFFFF"/>
                <w:sz w:val="20"/>
                <w:szCs w:val="20"/>
              </w:rPr>
              <w:t xml:space="preserve">Version</w:t>
            </w:r>
          </w:p>
        </w:tc>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00"/>
            </w:tcMar>
            <w:vAlign w:val="center"/>
          </w:tcPr>
          <w:p>
            <w:pPr>
              <w:spacing w:after="0"/>
            </w:pPr>
            <w:r>
              <w:rPr>
                <w:rFonts w:ascii="Arial" w:cs="Arial" w:eastAsia="Arial" w:hAnsi="Arial"/>
                <w:b/>
                <w:bCs/>
                <w:color w:val="FFFFFF"/>
                <w:sz w:val="20"/>
                <w:szCs w:val="20"/>
              </w:rPr>
              <w:t xml:space="preserve">Signification</w:t>
            </w:r>
          </w:p>
        </w:tc>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00"/>
            </w:tcMar>
            <w:vAlign w:val="center"/>
          </w:tcPr>
          <w:p>
            <w:pPr>
              <w:spacing w:after="0"/>
            </w:pPr>
            <w:r>
              <w:rPr>
                <w:rFonts w:ascii="Arial" w:cs="Arial" w:eastAsia="Arial" w:hAnsi="Arial"/>
                <w:b/>
                <w:bCs/>
                <w:color w:val="FFFFFF"/>
                <w:sz w:val="20"/>
                <w:szCs w:val="20"/>
              </w:rPr>
              <w:t xml:space="preserve">Profil type</w:t>
            </w:r>
          </w:p>
        </w:tc>
        <w:tc>
          <w:tcPr>
            <w:tcW w:type="dxa" w:w="4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00"/>
            </w:tcMar>
            <w:vAlign w:val="center"/>
          </w:tcPr>
          <w:p>
            <w:pPr>
              <w:spacing w:after="0"/>
            </w:pPr>
            <w:r>
              <w:rPr>
                <w:rFonts w:ascii="Arial" w:cs="Arial" w:eastAsia="Arial" w:hAnsi="Arial"/>
                <w:b/>
                <w:bCs/>
                <w:color w:val="FFFFFF"/>
                <w:sz w:val="20"/>
                <w:szCs w:val="20"/>
              </w:rPr>
              <w:t xml:space="preserve">Logique économique</w:t>
            </w:r>
          </w:p>
        </w:tc>
      </w:tr>
      <w:tr>
        <w:tc>
          <w:tcPr>
            <w:tcW w:type="dxa" w:w="1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pPr>
            <w:r>
              <w:rPr>
                <w:rFonts w:ascii="Arial" w:cs="Arial" w:eastAsia="Arial" w:hAnsi="Arial"/>
                <w:color w:val="1A1A1A"/>
                <w:sz w:val="20"/>
                <w:szCs w:val="20"/>
              </w:rPr>
              <w:t xml:space="preserve">CU</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pPr>
            <w:r>
              <w:rPr>
                <w:rFonts w:ascii="Arial" w:cs="Arial" w:eastAsia="Arial" w:hAnsi="Arial"/>
                <w:color w:val="1A1A1A"/>
                <w:sz w:val="20"/>
                <w:szCs w:val="20"/>
              </w:rPr>
              <w:t xml:space="preserve">Courte Utilisation</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pPr>
            <w:r>
              <w:rPr>
                <w:rFonts w:ascii="Arial" w:cs="Arial" w:eastAsia="Arial" w:hAnsi="Arial"/>
                <w:color w:val="1A1A1A"/>
                <w:sz w:val="20"/>
                <w:szCs w:val="20"/>
              </w:rPr>
              <w:t xml:space="preserve">Moins de ~3 000 h/an à pleine charge</w:t>
            </w:r>
          </w:p>
        </w:tc>
        <w:tc>
          <w:tcPr>
            <w:tcW w:type="dxa" w:w="4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pPr>
            <w:r>
              <w:rPr>
                <w:rFonts w:ascii="Arial" w:cs="Arial" w:eastAsia="Arial" w:hAnsi="Arial"/>
                <w:color w:val="1A1A1A"/>
                <w:sz w:val="20"/>
                <w:szCs w:val="20"/>
              </w:rPr>
              <w:t xml:space="preserve">Petite part fixe (b en €/kW/an), grande part variable (c en €/MWh). Adapté si consommation épisodique.</w:t>
            </w:r>
          </w:p>
        </w:tc>
      </w:tr>
      <w:tr>
        <w:tc>
          <w:tcPr>
            <w:tcW w:type="dxa" w:w="1000"/>
            <w:tcBorders>
              <w:top w:val="single" w:color="CCCCCC" w:sz="1"/>
              <w:left w:val="single" w:color="CCCCCC" w:sz="1"/>
              <w:bottom w:val="single" w:color="CCCCCC" w:sz="1"/>
              <w:right w:val="single" w:color="CCCCCC" w:sz="1"/>
            </w:tcBorders>
            <w:shd w:fill="EBF3FA" w:val="clear"/>
            <w:tcMar>
              <w:top w:type="dxa" w:w="70"/>
              <w:left w:type="dxa" w:w="120"/>
              <w:bottom w:type="dxa" w:w="70"/>
              <w:right w:type="dxa" w:w="100"/>
            </w:tcMar>
            <w:vAlign w:val="top"/>
          </w:tcPr>
          <w:p>
            <w:pPr>
              <w:spacing w:after="0"/>
            </w:pPr>
            <w:r>
              <w:rPr>
                <w:rFonts w:ascii="Arial" w:cs="Arial" w:eastAsia="Arial" w:hAnsi="Arial"/>
                <w:color w:val="1A1A1A"/>
                <w:sz w:val="20"/>
                <w:szCs w:val="20"/>
              </w:rPr>
              <w:t xml:space="preserve">MU</w:t>
            </w:r>
          </w:p>
        </w:tc>
        <w:tc>
          <w:tcPr>
            <w:tcW w:type="dxa" w:w="2000"/>
            <w:tcBorders>
              <w:top w:val="single" w:color="CCCCCC" w:sz="1"/>
              <w:left w:val="single" w:color="CCCCCC" w:sz="1"/>
              <w:bottom w:val="single" w:color="CCCCCC" w:sz="1"/>
              <w:right w:val="single" w:color="CCCCCC" w:sz="1"/>
            </w:tcBorders>
            <w:shd w:fill="EBF3FA" w:val="clear"/>
            <w:tcMar>
              <w:top w:type="dxa" w:w="70"/>
              <w:left w:type="dxa" w:w="120"/>
              <w:bottom w:type="dxa" w:w="70"/>
              <w:right w:type="dxa" w:w="100"/>
            </w:tcMar>
            <w:vAlign w:val="top"/>
          </w:tcPr>
          <w:p>
            <w:pPr>
              <w:spacing w:after="0"/>
            </w:pPr>
            <w:r>
              <w:rPr>
                <w:rFonts w:ascii="Arial" w:cs="Arial" w:eastAsia="Arial" w:hAnsi="Arial"/>
                <w:color w:val="1A1A1A"/>
                <w:sz w:val="20"/>
                <w:szCs w:val="20"/>
              </w:rPr>
              <w:t xml:space="preserve">Moyenne Utilisation</w:t>
            </w:r>
          </w:p>
        </w:tc>
        <w:tc>
          <w:tcPr>
            <w:tcW w:type="dxa" w:w="2000"/>
            <w:tcBorders>
              <w:top w:val="single" w:color="CCCCCC" w:sz="1"/>
              <w:left w:val="single" w:color="CCCCCC" w:sz="1"/>
              <w:bottom w:val="single" w:color="CCCCCC" w:sz="1"/>
              <w:right w:val="single" w:color="CCCCCC" w:sz="1"/>
            </w:tcBorders>
            <w:shd w:fill="EBF3FA" w:val="clear"/>
            <w:tcMar>
              <w:top w:type="dxa" w:w="70"/>
              <w:left w:type="dxa" w:w="120"/>
              <w:bottom w:type="dxa" w:w="70"/>
              <w:right w:type="dxa" w:w="100"/>
            </w:tcMar>
            <w:vAlign w:val="top"/>
          </w:tcPr>
          <w:p>
            <w:pPr>
              <w:spacing w:after="0"/>
            </w:pPr>
            <w:r>
              <w:rPr>
                <w:rFonts w:ascii="Arial" w:cs="Arial" w:eastAsia="Arial" w:hAnsi="Arial"/>
                <w:color w:val="1A1A1A"/>
                <w:sz w:val="20"/>
                <w:szCs w:val="20"/>
              </w:rPr>
              <w:t xml:space="preserve">3 000 à 5 000 h/an — industrie standard</w:t>
            </w:r>
          </w:p>
        </w:tc>
        <w:tc>
          <w:tcPr>
            <w:tcW w:type="dxa" w:w="4200"/>
            <w:tcBorders>
              <w:top w:val="single" w:color="CCCCCC" w:sz="1"/>
              <w:left w:val="single" w:color="CCCCCC" w:sz="1"/>
              <w:bottom w:val="single" w:color="CCCCCC" w:sz="1"/>
              <w:right w:val="single" w:color="CCCCCC" w:sz="1"/>
            </w:tcBorders>
            <w:shd w:fill="EBF3FA" w:val="clear"/>
            <w:tcMar>
              <w:top w:type="dxa" w:w="70"/>
              <w:left w:type="dxa" w:w="120"/>
              <w:bottom w:type="dxa" w:w="70"/>
              <w:right w:type="dxa" w:w="100"/>
            </w:tcMar>
            <w:vAlign w:val="top"/>
          </w:tcPr>
          <w:p>
            <w:pPr>
              <w:spacing w:after="0"/>
            </w:pPr>
            <w:r>
              <w:rPr>
                <w:rFonts w:ascii="Arial" w:cs="Arial" w:eastAsia="Arial" w:hAnsi="Arial"/>
                <w:color w:val="1A1A1A"/>
                <w:sz w:val="20"/>
                <w:szCs w:val="20"/>
              </w:rPr>
              <w:t xml:space="preserve">Équilibre entre fixe et variable. Référente recommandée pour la plupart des industriels. Valeur par défaut du modèle.</w:t>
            </w:r>
          </w:p>
        </w:tc>
      </w:tr>
      <w:tr>
        <w:tc>
          <w:tcPr>
            <w:tcW w:type="dxa" w:w="1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pPr>
            <w:r>
              <w:rPr>
                <w:rFonts w:ascii="Arial" w:cs="Arial" w:eastAsia="Arial" w:hAnsi="Arial"/>
                <w:color w:val="1A1A1A"/>
                <w:sz w:val="20"/>
                <w:szCs w:val="20"/>
              </w:rPr>
              <w:t xml:space="preserve">LU</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pPr>
            <w:r>
              <w:rPr>
                <w:rFonts w:ascii="Arial" w:cs="Arial" w:eastAsia="Arial" w:hAnsi="Arial"/>
                <w:color w:val="1A1A1A"/>
                <w:sz w:val="20"/>
                <w:szCs w:val="20"/>
              </w:rPr>
              <w:t xml:space="preserve">Longue Utilisation</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pPr>
            <w:r>
              <w:rPr>
                <w:rFonts w:ascii="Arial" w:cs="Arial" w:eastAsia="Arial" w:hAnsi="Arial"/>
                <w:color w:val="1A1A1A"/>
                <w:sz w:val="20"/>
                <w:szCs w:val="20"/>
              </w:rPr>
              <w:t xml:space="preserve">Plus de ~5 000 h/an — process continu 24/7</w:t>
            </w:r>
          </w:p>
        </w:tc>
        <w:tc>
          <w:tcPr>
            <w:tcW w:type="dxa" w:w="4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pPr>
            <w:r>
              <w:rPr>
                <w:rFonts w:ascii="Arial" w:cs="Arial" w:eastAsia="Arial" w:hAnsi="Arial"/>
                <w:color w:val="1A1A1A"/>
                <w:sz w:val="20"/>
                <w:szCs w:val="20"/>
              </w:rPr>
              <w:t xml:space="preserve">Grande part fixe, petite part variable. Optimal pour process très continus : aluminium, chlore, ciment, électrolyseur H2 modulable.</w:t>
            </w:r>
          </w:p>
        </w:tc>
      </w:tr>
    </w:tbl>
    <w:p>
      <w:pPr>
        <w:spacing w:after="160"/>
      </w:pPr>
      <w:r>
        <w:rPr>
          <w:sz w:val="22"/>
          <w:szCs w:val="22"/>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60"/>
        </w:tblCellMar>
      </w:tblPr>
      <w:tblGrid>
        <w:gridCol w:w="9200"/>
      </w:tblGrid>
      <w:tr>
        <w:tc>
          <w:tcPr>
            <w:tcBorders>
              <w:top w:val="single" w:color="CCCCCC" w:sz="1"/>
              <w:left w:val="single" w:color="1F3864" w:sz="12"/>
              <w:bottom w:val="single" w:color="CCCCCC" w:sz="1"/>
              <w:right w:val="single" w:color="CCCCCC" w:sz="1"/>
            </w:tcBorders>
            <w:shd w:fill="F4F4F4" w:val="clear"/>
            <w:tcMar>
              <w:top w:type="dxa" w:w="120"/>
              <w:left w:type="dxa" w:w="180"/>
              <w:bottom w:type="dxa" w:w="120"/>
              <w:right w:type="dxa" w:w="140"/>
            </w:tcMar>
          </w:tcPr>
          <w:p>
            <w:pPr>
              <w:spacing w:after="0"/>
            </w:pPr>
            <w:r>
              <w:rPr>
                <w:rFonts w:ascii="Arial" w:cs="Arial" w:eastAsia="Arial" w:hAnsi="Arial"/>
                <w:b/>
                <w:bCs/>
                <w:color w:val="1F3864"/>
                <w:sz w:val="22"/>
                <w:szCs w:val="22"/>
              </w:rPr>
              <w:t xml:space="preserve">💡  </w:t>
            </w:r>
            <w:r>
              <w:rPr>
                <w:rFonts w:ascii="Arial" w:cs="Arial" w:eastAsia="Arial" w:hAnsi="Arial"/>
                <w:color w:val="1A1A1A"/>
                <w:sz w:val="21"/>
                <w:szCs w:val="21"/>
              </w:rPr>
              <w:t xml:space="preserve">Comment choisir ? Process continu 24h/7j → LU. Trois postes / 5 jours semaine → MU. Équipement intermittent → CU. En cas de doute, MU est la valeur par défaut du modèle. Les scénarios ArcelorMittal MU et LU permettent précisément de mesurer la sensibilité à ce choix.</w:t>
            </w:r>
          </w:p>
        </w:tc>
      </w:tr>
    </w:tbl>
    <w:p>
      <w:r>
        <w:br w:type="page"/>
      </w:r>
    </w:p>
    <w:p>
      <w:pPr>
        <w:pStyle w:val="Heading1"/>
        <w:pBdr>
          <w:bottom w:val="single" w:color="2E75B6" w:sz="6" w:space="4"/>
        </w:pBdr>
        <w:spacing w:before="400" w:after="160"/>
      </w:pPr>
      <w:r>
        <w:rPr>
          <w:rFonts w:ascii="Arial" w:cs="Arial" w:eastAsia="Arial" w:hAnsi="Arial"/>
          <w:b/>
          <w:bCs/>
          <w:color w:val="1F3864"/>
          <w:sz w:val="36"/>
          <w:szCs w:val="36"/>
        </w:rPr>
        <w:t xml:space="preserve">6. D'où viennent les chiffres ?</w:t>
      </w:r>
    </w:p>
    <w:p>
      <w:pPr>
        <w:pStyle w:val="Heading2"/>
        <w:spacing w:before="280" w:after="100"/>
      </w:pPr>
      <w:r>
        <w:rPr>
          <w:rFonts w:ascii="Arial" w:cs="Arial" w:eastAsia="Arial" w:hAnsi="Arial"/>
          <w:b/>
          <w:bCs/>
          <w:color w:val="2E75B6"/>
          <w:sz w:val="28"/>
          <w:szCs w:val="28"/>
        </w:rPr>
        <w:t xml:space="preserve">6.1 Source n°1 : fiches tarifaires officielles RTE</w:t>
      </w:r>
    </w:p>
    <w:p>
      <w:pPr>
        <w:spacing w:after="120"/>
      </w:pPr>
      <w:r>
        <w:rPr>
          <w:rFonts w:ascii="Arial" w:cs="Arial" w:eastAsia="Arial" w:hAnsi="Arial"/>
          <w:color w:val="1A1A1A"/>
          <w:sz w:val="22"/>
          <w:szCs w:val="22"/>
        </w:rPr>
        <w:t xml:space="preserve">RTE publie des fiches tarifaires PDF officielles pour chaque domaine de tension. Ces documents sont publics, gratuits, téléchargeables sans compte sur services-rte.com.</w:t>
      </w:r>
    </w:p>
    <w:tbl>
      <w:tblPr>
        <w:tblW w:type="dxa" w:w="920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2000"/>
        <w:gridCol w:w="7200"/>
      </w:tblGrid>
      <w:tr>
        <w:trPr>
          <w:tblHeader/>
        </w:trPr>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00"/>
            </w:tcMar>
            <w:vAlign w:val="center"/>
          </w:tcPr>
          <w:p>
            <w:pPr>
              <w:spacing w:after="0"/>
            </w:pPr>
            <w:r>
              <w:rPr>
                <w:rFonts w:ascii="Arial" w:cs="Arial" w:eastAsia="Arial" w:hAnsi="Arial"/>
                <w:b/>
                <w:bCs/>
                <w:color w:val="FFFFFF"/>
                <w:sz w:val="20"/>
                <w:szCs w:val="20"/>
              </w:rPr>
              <w:t xml:space="preserve">Fiche</w:t>
            </w:r>
          </w:p>
        </w:tc>
        <w:tc>
          <w:tcPr>
            <w:tcW w:type="dxa" w:w="7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00"/>
            </w:tcMar>
            <w:vAlign w:val="center"/>
          </w:tcPr>
          <w:p>
            <w:pPr>
              <w:spacing w:after="0"/>
            </w:pPr>
            <w:r>
              <w:rPr>
                <w:rFonts w:ascii="Arial" w:cs="Arial" w:eastAsia="Arial" w:hAnsi="Arial"/>
                <w:b/>
                <w:bCs/>
                <w:color w:val="FFFFFF"/>
                <w:sz w:val="20"/>
                <w:szCs w:val="20"/>
              </w:rPr>
              <w:t xml:space="preserve">Comment vérifier vous-même</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pPr>
            <w:r>
              <w:rPr>
                <w:rFonts w:ascii="Arial" w:cs="Arial" w:eastAsia="Arial" w:hAnsi="Arial"/>
                <w:color w:val="1A1A1A"/>
                <w:sz w:val="20"/>
                <w:szCs w:val="20"/>
              </w:rPr>
              <w:t xml:space="preserve">HTB3</w:t>
            </w:r>
          </w:p>
        </w:tc>
        <w:tc>
          <w:tcPr>
            <w:tcW w:type="dxa" w:w="7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pPr>
            <w:r>
              <w:rPr>
                <w:rFonts w:ascii="Arial" w:cs="Arial" w:eastAsia="Arial" w:hAnsi="Arial"/>
                <w:color w:val="1A1A1A"/>
                <w:sz w:val="20"/>
                <w:szCs w:val="20"/>
              </w:rPr>
              <w:t xml:space="preserve">services-rte.com &gt; Bibliothèque documentaire &gt; taper 'Fiches Tarifaires TURPE 6 HTB3' &gt; télécharger le PDF</w:t>
            </w:r>
          </w:p>
        </w:tc>
      </w:tr>
      <w:tr>
        <w:tc>
          <w:tcPr>
            <w:tcW w:type="dxa" w:w="2000"/>
            <w:tcBorders>
              <w:top w:val="single" w:color="CCCCCC" w:sz="1"/>
              <w:left w:val="single" w:color="CCCCCC" w:sz="1"/>
              <w:bottom w:val="single" w:color="CCCCCC" w:sz="1"/>
              <w:right w:val="single" w:color="CCCCCC" w:sz="1"/>
            </w:tcBorders>
            <w:shd w:fill="EBF3FA" w:val="clear"/>
            <w:tcMar>
              <w:top w:type="dxa" w:w="70"/>
              <w:left w:type="dxa" w:w="120"/>
              <w:bottom w:type="dxa" w:w="70"/>
              <w:right w:type="dxa" w:w="100"/>
            </w:tcMar>
            <w:vAlign w:val="top"/>
          </w:tcPr>
          <w:p>
            <w:pPr>
              <w:spacing w:after="0"/>
            </w:pPr>
            <w:r>
              <w:rPr>
                <w:rFonts w:ascii="Arial" w:cs="Arial" w:eastAsia="Arial" w:hAnsi="Arial"/>
                <w:color w:val="1A1A1A"/>
                <w:sz w:val="20"/>
                <w:szCs w:val="20"/>
              </w:rPr>
              <w:t xml:space="preserve">HTB2</w:t>
            </w:r>
          </w:p>
        </w:tc>
        <w:tc>
          <w:tcPr>
            <w:tcW w:type="dxa" w:w="7200"/>
            <w:tcBorders>
              <w:top w:val="single" w:color="CCCCCC" w:sz="1"/>
              <w:left w:val="single" w:color="CCCCCC" w:sz="1"/>
              <w:bottom w:val="single" w:color="CCCCCC" w:sz="1"/>
              <w:right w:val="single" w:color="CCCCCC" w:sz="1"/>
            </w:tcBorders>
            <w:shd w:fill="EBF3FA" w:val="clear"/>
            <w:tcMar>
              <w:top w:type="dxa" w:w="70"/>
              <w:left w:type="dxa" w:w="120"/>
              <w:bottom w:type="dxa" w:w="70"/>
              <w:right w:type="dxa" w:w="100"/>
            </w:tcMar>
            <w:vAlign w:val="top"/>
          </w:tcPr>
          <w:p>
            <w:pPr>
              <w:spacing w:after="0"/>
            </w:pPr>
            <w:r>
              <w:rPr>
                <w:rFonts w:ascii="Arial" w:cs="Arial" w:eastAsia="Arial" w:hAnsi="Arial"/>
                <w:color w:val="1A1A1A"/>
                <w:sz w:val="20"/>
                <w:szCs w:val="20"/>
              </w:rPr>
              <w:t xml:space="preserve">Même chemin, taper 'Fiches Tarifaires TURPE 6 HTB2' — vous y trouverez les tableaux CU/MU/LU avec les valeurs b et c</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pPr>
            <w:r>
              <w:rPr>
                <w:rFonts w:ascii="Arial" w:cs="Arial" w:eastAsia="Arial" w:hAnsi="Arial"/>
                <w:color w:val="1A1A1A"/>
                <w:sz w:val="20"/>
                <w:szCs w:val="20"/>
              </w:rPr>
              <w:t xml:space="preserve">HTB1</w:t>
            </w:r>
          </w:p>
        </w:tc>
        <w:tc>
          <w:tcPr>
            <w:tcW w:type="dxa" w:w="7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pPr>
            <w:r>
              <w:rPr>
                <w:rFonts w:ascii="Arial" w:cs="Arial" w:eastAsia="Arial" w:hAnsi="Arial"/>
                <w:color w:val="1A1A1A"/>
                <w:sz w:val="20"/>
                <w:szCs w:val="20"/>
              </w:rPr>
              <w:t xml:space="preserve">Même chemin, taper 'Fiches Tarifaires TURPE 6 HTB1' — structure identique à HTB2</w:t>
            </w:r>
          </w:p>
        </w:tc>
      </w:tr>
    </w:tbl>
    <w:p>
      <w:pPr>
        <w:pStyle w:val="Heading2"/>
        <w:spacing w:before="280" w:after="100"/>
      </w:pPr>
      <w:r>
        <w:rPr>
          <w:rFonts w:ascii="Arial" w:cs="Arial" w:eastAsia="Arial" w:hAnsi="Arial"/>
          <w:b/>
          <w:bCs/>
          <w:color w:val="2E75B6"/>
          <w:sz w:val="28"/>
          <w:szCs w:val="28"/>
        </w:rPr>
        <w:t xml:space="preserve">6.2 Source n°2 : délibération CRE 2024 (mise à jour +4,99%)</w:t>
      </w:r>
    </w:p>
    <w:p>
      <w:pPr>
        <w:spacing w:after="120"/>
      </w:pPr>
      <w:r>
        <w:rPr>
          <w:rFonts w:ascii="Arial" w:cs="Arial" w:eastAsia="Arial" w:hAnsi="Arial"/>
          <w:color w:val="1A1A1A"/>
          <w:sz w:val="22"/>
          <w:szCs w:val="22"/>
        </w:rPr>
        <w:t xml:space="preserve">Le TURPE est révisé chaque 1er août. En 2024, la délibération CRE n°2024-121 du 26 juin 2024 a fixé une hausse de +4,99%, entrée en vigueur le 1er novembre 2024. Ce coefficient de +4,99% est la somme :</w:t>
      </w:r>
    </w:p>
    <w:p>
      <w:pPr>
        <w:pStyle w:val="ListParagraph"/>
        <w:numPr>
          <w:ilvl w:val="0"/>
          <w:numId w:val="2"/>
        </w:numPr>
        <w:spacing w:after="80"/>
      </w:pPr>
      <w:r>
        <w:rPr>
          <w:rFonts w:ascii="Arial" w:cs="Arial" w:eastAsia="Arial" w:hAnsi="Arial"/>
          <w:color w:val="1A1A1A"/>
          <w:sz w:val="22"/>
          <w:szCs w:val="22"/>
        </w:rPr>
        <w:t xml:space="preserve">Inflation 2024 : +2,5% (indice des prix à la consommation hors tabac)</w:t>
      </w:r>
    </w:p>
    <w:p>
      <w:pPr>
        <w:pStyle w:val="ListParagraph"/>
        <w:numPr>
          <w:ilvl w:val="0"/>
          <w:numId w:val="2"/>
        </w:numPr>
        <w:spacing w:after="80"/>
      </w:pPr>
      <w:r>
        <w:rPr>
          <w:rFonts w:ascii="Arial" w:cs="Arial" w:eastAsia="Arial" w:hAnsi="Arial"/>
          <w:color w:val="1A1A1A"/>
          <w:sz w:val="22"/>
          <w:szCs w:val="22"/>
        </w:rPr>
        <w:t xml:space="preserve">Coefficient d'évolution annuel fixe : +0,49% (prévu dans la délibération initiale TURPE 6)</w:t>
      </w:r>
    </w:p>
    <w:p>
      <w:pPr>
        <w:pStyle w:val="ListParagraph"/>
        <w:numPr>
          <w:ilvl w:val="0"/>
          <w:numId w:val="2"/>
        </w:numPr>
        <w:spacing w:after="80"/>
      </w:pPr>
      <w:r>
        <w:rPr>
          <w:rFonts w:ascii="Arial" w:cs="Arial" w:eastAsia="Arial" w:hAnsi="Arial"/>
          <w:color w:val="1A1A1A"/>
          <w:sz w:val="22"/>
          <w:szCs w:val="22"/>
        </w:rPr>
        <w:t xml:space="preserve">Apurement du solde CRCP : +2,00% (compensation des écarts recettes/dépenses RTE en 2023)</w:t>
      </w:r>
    </w:p>
    <w:p>
      <w:pPr>
        <w:spacing w:after="80"/>
      </w:pPr>
      <w:r>
        <w:rPr>
          <w:sz w:val="22"/>
          <w:szCs w:val="22"/>
        </w:rPr>
        <w:t xml:space="preserve"/>
      </w:r>
    </w:p>
    <w:p>
      <w:pPr>
        <w:spacing w:after="120"/>
      </w:pPr>
      <w:r>
        <w:rPr>
          <w:rFonts w:ascii="Arial" w:cs="Arial" w:eastAsia="Arial" w:hAnsi="Arial"/>
          <w:color w:val="1A1A1A"/>
          <w:sz w:val="22"/>
          <w:szCs w:val="22"/>
        </w:rPr>
        <w:t xml:space="preserve">URL de vérification : cre.fr &gt; Délibérations &gt; chercher '2024-121' et '2024-158'.</w:t>
      </w:r>
    </w:p>
    <w:p>
      <w:pPr>
        <w:pStyle w:val="Heading2"/>
        <w:spacing w:before="280" w:after="100"/>
      </w:pPr>
      <w:r>
        <w:rPr>
          <w:rFonts w:ascii="Arial" w:cs="Arial" w:eastAsia="Arial" w:hAnsi="Arial"/>
          <w:b/>
          <w:bCs/>
          <w:color w:val="2E75B6"/>
          <w:sz w:val="28"/>
          <w:szCs w:val="28"/>
        </w:rPr>
        <w:t xml:space="preserve">6.3 Méthode de calcul appliquée</w:t>
      </w:r>
    </w:p>
    <w:tbl>
      <w:tblPr>
        <w:tblW w:type="dxa" w:w="920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80"/>
        </w:tblCellMar>
      </w:tblPr>
      <w:tblGrid>
        <w:gridCol w:w="9200"/>
      </w:tblGrid>
      <w:tr>
        <w:tc>
          <w:tcPr>
            <w:tcBorders>
              <w:top w:val="single" w:color="CCCCCC" w:sz="1"/>
              <w:left w:val="single" w:color="1F3864" w:sz="12"/>
              <w:bottom w:val="single" w:color="CCCCCC" w:sz="1"/>
              <w:right w:val="single" w:color="CCCCCC" w:sz="1"/>
            </w:tcBorders>
            <w:shd w:fill="F4F4F4" w:val="clear"/>
            <w:tcMar>
              <w:top w:type="dxa" w:w="140"/>
              <w:left w:type="dxa" w:w="200"/>
              <w:bottom w:type="dxa" w:w="140"/>
              <w:right w:type="dxa" w:w="140"/>
            </w:tcMar>
          </w:tcPr>
          <w:p>
            <w:pPr>
              <w:spacing w:after="0"/>
            </w:pPr>
            <w:r>
              <w:rPr>
                <w:rFonts w:ascii="Arial" w:cs="Arial" w:eastAsia="Arial" w:hAnsi="Arial"/>
                <w:b/>
                <w:bCs/>
                <w:color w:val="1F3864"/>
                <w:sz w:val="22"/>
                <w:szCs w:val="22"/>
              </w:rPr>
              <w:t xml:space="preserve"/>
            </w:r>
            <w:r>
              <w:rPr>
                <w:rFonts w:ascii="Arial" w:cs="Arial" w:eastAsia="Arial" w:hAnsi="Arial"/>
                <w:color w:val="1A1A1A"/>
                <w:sz w:val="21"/>
                <w:szCs w:val="21"/>
              </w:rPr>
              <w:t xml:space="preserve">Valeur novembre 2024 = Valeur RTE 2021 × 1,0499
Exemple : c-HPSH HTB2-MU 2021 = 0,85 c€/kWh → 0,85 × 1,0499 = 0,8924 c€/kWh = 8,924 €/MWh en 2024</w:t>
            </w:r>
          </w:p>
        </w:tc>
      </w:tr>
    </w:tbl>
    <w:tbl>
      <w:tblPr>
        <w:tblW w:type="dxa" w:w="920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80"/>
        </w:tblCellMar>
      </w:tblPr>
      <w:tblGrid>
        <w:gridCol w:w="9200"/>
      </w:tblGrid>
      <w:tr>
        <w:tc>
          <w:tcPr>
            <w:tcBorders>
              <w:top w:val="single" w:color="CCCCCC" w:sz="1"/>
              <w:left w:val="single" w:color="C55A11" w:sz="12"/>
              <w:bottom w:val="single" w:color="CCCCCC" w:sz="1"/>
              <w:right w:val="single" w:color="CCCCCC" w:sz="1"/>
            </w:tcBorders>
            <w:shd w:fill="FCE4D6" w:val="clear"/>
            <w:tcMar>
              <w:top w:type="dxa" w:w="140"/>
              <w:left w:type="dxa" w:w="200"/>
              <w:bottom w:type="dxa" w:w="140"/>
              <w:right w:type="dxa" w:w="140"/>
            </w:tcMar>
          </w:tcPr>
          <w:p>
            <w:pPr>
              <w:spacing w:after="0"/>
            </w:pPr>
            <w:r>
              <w:rPr>
                <w:rFonts w:ascii="Arial" w:cs="Arial" w:eastAsia="Arial" w:hAnsi="Arial"/>
                <w:b/>
                <w:bCs/>
                <w:color w:val="C55A11"/>
                <w:sz w:val="22"/>
                <w:szCs w:val="22"/>
              </w:rPr>
              <w:t xml:space="preserve"/>
            </w:r>
            <w:r>
              <w:rPr>
                <w:rFonts w:ascii="Arial" w:cs="Arial" w:eastAsia="Arial" w:hAnsi="Arial"/>
                <w:color w:val="1A1A1A"/>
                <w:sz w:val="21"/>
                <w:szCs w:val="21"/>
              </w:rPr>
              <w:t xml:space="preserve">⚠️  Mise à jour annuelle obligatoire
Le TURPE est révisé chaque 1er août. À chaque révision, RTE publie de nouvelles fiches tarifaires sur services-rte.com. Mettre à jour TURPE_france.xlsx avant chaque nouveau projet client. Soit en lisant les nouvelles fiches, soit en appliquant le nouveau coefficient Z annoncé par la CRE.</w:t>
            </w:r>
          </w:p>
        </w:tc>
      </w:tr>
    </w:tbl>
    <w:p>
      <w:pPr>
        <w:pStyle w:val="Heading1"/>
        <w:pBdr>
          <w:bottom w:val="single" w:color="2E75B6" w:sz="6" w:space="4"/>
        </w:pBdr>
        <w:spacing w:before="400" w:after="160"/>
      </w:pPr>
      <w:r>
        <w:rPr>
          <w:rFonts w:ascii="Arial" w:cs="Arial" w:eastAsia="Arial" w:hAnsi="Arial"/>
          <w:b/>
          <w:bCs/>
          <w:color w:val="1F3864"/>
          <w:sz w:val="36"/>
          <w:szCs w:val="36"/>
        </w:rPr>
        <w:t xml:space="preserve">7. Guide de lecture onglet par onglet</w:t>
      </w:r>
    </w:p>
    <w:p>
      <w:pPr>
        <w:pStyle w:val="Heading2"/>
        <w:spacing w:before="280" w:after="100"/>
      </w:pPr>
      <w:r>
        <w:rPr>
          <w:rFonts w:ascii="Arial" w:cs="Arial" w:eastAsia="Arial" w:hAnsi="Arial"/>
          <w:b/>
          <w:bCs/>
          <w:color w:val="2E75B6"/>
          <w:sz w:val="28"/>
          <w:szCs w:val="28"/>
        </w:rPr>
        <w:t xml:space="preserve">Onglet README</w:t>
      </w:r>
    </w:p>
    <w:p>
      <w:pPr>
        <w:spacing w:after="120"/>
      </w:pPr>
      <w:r>
        <w:rPr>
          <w:rFonts w:ascii="Arial" w:cs="Arial" w:eastAsia="Arial" w:hAnsi="Arial"/>
          <w:color w:val="1A1A1A"/>
          <w:sz w:val="22"/>
          <w:szCs w:val="22"/>
        </w:rPr>
        <w:t xml:space="preserve">La page d'accueil du fichier. Contient toutes les sources, les URLs de vérification, la méthode de calcul et les avertissements. Lire en priorité.</w:t>
      </w:r>
    </w:p>
    <w:p>
      <w:pPr>
        <w:pStyle w:val="Heading2"/>
        <w:spacing w:before="280" w:after="100"/>
      </w:pPr>
      <w:r>
        <w:rPr>
          <w:rFonts w:ascii="Arial" w:cs="Arial" w:eastAsia="Arial" w:hAnsi="Arial"/>
          <w:b/>
          <w:bCs/>
          <w:color w:val="2E75B6"/>
          <w:sz w:val="28"/>
          <w:szCs w:val="28"/>
        </w:rPr>
        <w:t xml:space="preserve">Onglet timezone</w:t>
      </w:r>
    </w:p>
    <w:p>
      <w:pPr>
        <w:spacing w:after="120"/>
      </w:pPr>
      <w:r>
        <w:rPr>
          <w:rFonts w:ascii="Arial" w:cs="Arial" w:eastAsia="Arial" w:hAnsi="Arial"/>
          <w:color w:val="1A1A1A"/>
          <w:sz w:val="22"/>
          <w:szCs w:val="22"/>
        </w:rPr>
        <w:t xml:space="preserve">Tableau qui fait correspondre chaque heure (0h à 23h) à une classe HP ou HC, pour chaque mois de l'année. FranceGridUtils.py lit ce tableau pour savoir, pour une heure donnée, si c'est des heures pleines ou creuses.</w:t>
      </w:r>
    </w:p>
    <w:p>
      <w:pPr>
        <w:spacing w:after="120"/>
      </w:pPr>
      <w:r>
        <w:rPr>
          <w:rFonts w:ascii="Arial" w:cs="Arial" w:eastAsia="Arial" w:hAnsi="Arial"/>
          <w:color w:val="1A1A1A"/>
          <w:sz w:val="22"/>
          <w:szCs w:val="22"/>
        </w:rPr>
        <w:t xml:space="preserve">Règle : HP = 8h à 20h en semaine, HC = tout le reste (nuits + weekends). Identique pour tous les mois.</w:t>
      </w:r>
    </w:p>
    <w:p>
      <w:pPr>
        <w:pStyle w:val="Heading2"/>
        <w:spacing w:before="280" w:after="100"/>
      </w:pPr>
      <w:r>
        <w:rPr>
          <w:rFonts w:ascii="Arial" w:cs="Arial" w:eastAsia="Arial" w:hAnsi="Arial"/>
          <w:b/>
          <w:bCs/>
          <w:color w:val="2E75B6"/>
          <w:sz w:val="28"/>
          <w:szCs w:val="28"/>
        </w:rPr>
        <w:t xml:space="preserve">Onglet season</w:t>
      </w:r>
    </w:p>
    <w:p>
      <w:pPr>
        <w:spacing w:after="120"/>
      </w:pPr>
      <w:r>
        <w:rPr>
          <w:rFonts w:ascii="Arial" w:cs="Arial" w:eastAsia="Arial" w:hAnsi="Arial"/>
          <w:color w:val="1A1A1A"/>
          <w:sz w:val="22"/>
          <w:szCs w:val="22"/>
        </w:rPr>
        <w:t xml:space="preserve">Tableau qui fait correspondre chaque mois à une saison (Hiver ou Été). Combiné avec timezone, le modèle reconstruit la classe temporelle complète : HP + Hiver = HPSH, HC + Été = HCSB, etc.</w:t>
      </w:r>
    </w:p>
    <w:p>
      <w:pPr>
        <w:spacing w:after="80"/>
      </w:pPr>
      <w:r>
        <w:rPr>
          <w:rFonts w:ascii="Arial" w:cs="Arial" w:eastAsia="Arial" w:hAnsi="Arial"/>
          <w:color w:val="555555"/>
          <w:sz w:val="19"/>
          <w:szCs w:val="19"/>
        </w:rPr>
        <w:t xml:space="preserve">Note : Le TURPE 6 distingue en réalité 3 saisons (Hiver, Demi-saison avr+oct, Été). Le modèle simplifie à 2 saisons pour rester compatible avec l'architecture du code. Pour une précision maximale, on pourrait ajouter une colonne 'Demi-saison' et adapter FranceGridUtils.py.</w:t>
      </w:r>
    </w:p>
    <w:p>
      <w:pPr>
        <w:pStyle w:val="Heading2"/>
        <w:spacing w:before="280" w:after="100"/>
      </w:pPr>
      <w:r>
        <w:rPr>
          <w:rFonts w:ascii="Arial" w:cs="Arial" w:eastAsia="Arial" w:hAnsi="Arial"/>
          <w:b/>
          <w:bCs/>
          <w:color w:val="2E75B6"/>
          <w:sz w:val="28"/>
          <w:szCs w:val="28"/>
        </w:rPr>
        <w:t xml:space="preserve">Onglet contract</w:t>
      </w:r>
    </w:p>
    <w:p>
      <w:pPr>
        <w:spacing w:after="120"/>
      </w:pPr>
      <w:r>
        <w:rPr>
          <w:rFonts w:ascii="Arial" w:cs="Arial" w:eastAsia="Arial" w:hAnsi="Arial"/>
          <w:color w:val="1A1A1A"/>
          <w:sz w:val="22"/>
          <w:szCs w:val="22"/>
        </w:rPr>
        <w:t xml:space="preserve">Contient les composantes fixes annuelles : composante de gestion (CG en €/an, identique pour tous) et composante de puissance moyenne (CS-b en €/kW/an, valeur MU indicative). Ces valeurs alimentent le calcul du coût fixe annuel du raccordement réseau.</w:t>
      </w:r>
    </w:p>
    <w:p>
      <w:pPr>
        <w:pStyle w:val="Heading2"/>
        <w:spacing w:before="280" w:after="100"/>
      </w:pPr>
      <w:r>
        <w:rPr>
          <w:rFonts w:ascii="Arial" w:cs="Arial" w:eastAsia="Arial" w:hAnsi="Arial"/>
          <w:b/>
          <w:bCs/>
          <w:color w:val="2E75B6"/>
          <w:sz w:val="28"/>
          <w:szCs w:val="28"/>
        </w:rPr>
        <w:t xml:space="preserve">Onglet HTB3</w:t>
      </w:r>
    </w:p>
    <w:p>
      <w:pPr>
        <w:spacing w:after="120"/>
      </w:pPr>
      <w:r>
        <w:rPr>
          <w:rFonts w:ascii="Arial" w:cs="Arial" w:eastAsia="Arial" w:hAnsi="Arial"/>
          <w:color w:val="1A1A1A"/>
          <w:sz w:val="22"/>
          <w:szCs w:val="22"/>
        </w:rPr>
        <w:t xml:space="preserve">Tarif unique. Une seule valeur à retenir : 3,465 €/MWh (novembre 2024). Le tableau de compatibilité répète cette valeur pour HP/HC et Hiver/Été — tous les chiffres sont identiques car HTB3 n'a pas de différentiation temporelle.</w:t>
      </w:r>
    </w:p>
    <w:p>
      <w:pPr>
        <w:pStyle w:val="Heading2"/>
        <w:spacing w:before="280" w:after="100"/>
      </w:pPr>
      <w:r>
        <w:rPr>
          <w:rFonts w:ascii="Arial" w:cs="Arial" w:eastAsia="Arial" w:hAnsi="Arial"/>
          <w:b/>
          <w:bCs/>
          <w:color w:val="2E75B6"/>
          <w:sz w:val="28"/>
          <w:szCs w:val="28"/>
        </w:rPr>
        <w:t xml:space="preserve">Onglets HTB2 et HTB1</w:t>
      </w:r>
    </w:p>
    <w:p>
      <w:pPr>
        <w:spacing w:after="120"/>
      </w:pPr>
      <w:r>
        <w:rPr>
          <w:rFonts w:ascii="Arial" w:cs="Arial" w:eastAsia="Arial" w:hAnsi="Arial"/>
          <w:color w:val="1A1A1A"/>
          <w:sz w:val="22"/>
          <w:szCs w:val="22"/>
        </w:rPr>
        <w:t xml:space="preserve">Les onglets les plus riches. Chaque onglet contient deux zones :</w:t>
      </w:r>
    </w:p>
    <w:p>
      <w:pPr>
        <w:pStyle w:val="ListParagraph"/>
        <w:numPr>
          <w:ilvl w:val="0"/>
          <w:numId w:val="2"/>
        </w:numPr>
        <w:spacing w:after="80"/>
      </w:pPr>
      <w:r>
        <w:rPr>
          <w:rFonts w:ascii="Arial" w:cs="Arial" w:eastAsia="Arial" w:hAnsi="Arial"/>
          <w:color w:val="1A1A1A"/>
          <w:sz w:val="22"/>
          <w:szCs w:val="22"/>
        </w:rPr>
        <w:t xml:space="preserve">En haut : tableau complet avec les 3 versions (CU, MU, LU) × 5 classes temporelles, en base 2021 et en novembre 2024, pour les deux composantes b (€/kW/an) et c (c€/kWh).</w:t>
      </w:r>
    </w:p>
    <w:p>
      <w:pPr>
        <w:pStyle w:val="ListParagraph"/>
        <w:numPr>
          <w:ilvl w:val="0"/>
          <w:numId w:val="2"/>
        </w:numPr>
        <w:spacing w:after="80"/>
      </w:pPr>
      <w:r>
        <w:rPr>
          <w:rFonts w:ascii="Arial" w:cs="Arial" w:eastAsia="Arial" w:hAnsi="Arial"/>
          <w:color w:val="1A1A1A"/>
          <w:sz w:val="22"/>
          <w:szCs w:val="22"/>
        </w:rPr>
        <w:t xml:space="preserve">En bas : format simplifié pour FranceGridUtils.py (Hiver/Été × HP/HC), utilisant la version MU comme référence. C'est ce tableau que le modèle lit directement. Les valeurs en bleu sont les inputs actifs.</w:t>
      </w:r>
    </w:p>
    <w:p>
      <w:r>
        <w:br w:type="page"/>
      </w:r>
    </w:p>
    <w:p>
      <w:pPr>
        <w:pStyle w:val="Heading1"/>
        <w:pBdr>
          <w:bottom w:val="single" w:color="2E75B6" w:sz="6" w:space="4"/>
        </w:pBdr>
        <w:spacing w:before="400" w:after="160"/>
      </w:pPr>
      <w:r>
        <w:rPr>
          <w:rFonts w:ascii="Arial" w:cs="Arial" w:eastAsia="Arial" w:hAnsi="Arial"/>
          <w:b/>
          <w:bCs/>
          <w:color w:val="1F3864"/>
          <w:sz w:val="36"/>
          <w:szCs w:val="36"/>
        </w:rPr>
        <w:t xml:space="preserve">8. Comment le modèle utilise ces données</w:t>
      </w:r>
    </w:p>
    <w:p>
      <w:pPr>
        <w:pStyle w:val="Heading2"/>
        <w:spacing w:before="280" w:after="100"/>
      </w:pPr>
      <w:r>
        <w:rPr>
          <w:rFonts w:ascii="Arial" w:cs="Arial" w:eastAsia="Arial" w:hAnsi="Arial"/>
          <w:b/>
          <w:bCs/>
          <w:color w:val="2E75B6"/>
          <w:sz w:val="28"/>
          <w:szCs w:val="28"/>
        </w:rPr>
        <w:t xml:space="preserve">8.1 Le rôle de FranceGridUtils.py</w:t>
      </w:r>
    </w:p>
    <w:p>
      <w:pPr>
        <w:spacing w:after="120"/>
      </w:pPr>
      <w:r>
        <w:rPr>
          <w:rFonts w:ascii="Arial" w:cs="Arial" w:eastAsia="Arial" w:hAnsi="Arial"/>
          <w:color w:val="1A1A1A"/>
          <w:sz w:val="22"/>
          <w:szCs w:val="22"/>
        </w:rPr>
        <w:t xml:space="preserve">Le fichier TURPE_france.xlsx est lu par la fonction process_france_grid_data() dans FranceGridUtils.py. Cette fonction lit les onglets timezone, season, et HTB2 (ou HTB3 ou HTB1 selon le choix client) pour construire, heure par heure sur toute l'année, le coût complet de l'électricité réseau.</w:t>
      </w:r>
    </w:p>
    <w:p>
      <w:pPr>
        <w:spacing w:after="80"/>
      </w:pPr>
      <w:r>
        <w:rPr>
          <w:rFonts w:ascii="Arial" w:cs="Arial" w:eastAsia="Arial" w:hAnsi="Arial"/>
          <w:color w:val="555555"/>
          <w:sz w:val="19"/>
          <w:szCs w:val="19"/>
        </w:rPr>
        <w:t xml:space="preserve">Note v3 : ce fichier s'appelait KEPCOutils.py dans la version coréenne originale (KEPCO = opérateur réseau coréen). En France, l'équivalent est FranceGridUtils.py. La logique est identique, seules les données ont changé.</w:t>
      </w:r>
    </w:p>
    <w:p>
      <w:pPr>
        <w:pStyle w:val="Heading2"/>
        <w:spacing w:before="280" w:after="100"/>
      </w:pPr>
      <w:r>
        <w:rPr>
          <w:rFonts w:ascii="Arial" w:cs="Arial" w:eastAsia="Arial" w:hAnsi="Arial"/>
          <w:b/>
          <w:bCs/>
          <w:color w:val="2E75B6"/>
          <w:sz w:val="28"/>
          <w:szCs w:val="28"/>
        </w:rPr>
        <w:t xml:space="preserve">8.2 La formule du coût horaire</w:t>
      </w:r>
    </w:p>
    <w:tbl>
      <w:tblPr>
        <w:tblW w:type="dxa" w:w="920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80"/>
        </w:tblCellMar>
      </w:tblPr>
      <w:tblGrid>
        <w:gridCol w:w="9200"/>
      </w:tblGrid>
      <w:tr>
        <w:tc>
          <w:tcPr>
            <w:tcBorders>
              <w:top w:val="single" w:color="CCCCCC" w:sz="1"/>
              <w:left w:val="single" w:color="1F3864" w:sz="12"/>
              <w:bottom w:val="single" w:color="CCCCCC" w:sz="1"/>
              <w:right w:val="single" w:color="CCCCCC" w:sz="1"/>
            </w:tcBorders>
            <w:shd w:fill="F4F4F4" w:val="clear"/>
            <w:tcMar>
              <w:top w:type="dxa" w:w="140"/>
              <w:left w:type="dxa" w:w="200"/>
              <w:bottom w:type="dxa" w:w="140"/>
              <w:right w:type="dxa" w:w="140"/>
            </w:tcMar>
          </w:tcPr>
          <w:p>
            <w:pPr>
              <w:spacing w:after="0"/>
            </w:pPr>
            <w:r>
              <w:rPr>
                <w:rFonts w:ascii="Arial" w:cs="Arial" w:eastAsia="Arial" w:hAnsi="Arial"/>
                <w:b/>
                <w:bCs/>
                <w:color w:val="1F3864"/>
                <w:sz w:val="22"/>
                <w:szCs w:val="22"/>
              </w:rPr>
              <w:t xml:space="preserve"/>
            </w:r>
            <w:r>
              <w:rPr>
                <w:rFonts w:ascii="Arial" w:cs="Arial" w:eastAsia="Arial" w:hAnsi="Arial"/>
                <w:color w:val="1A1A1A"/>
                <w:sz w:val="21"/>
                <w:szCs w:val="21"/>
              </w:rPr>
              <w:t xml:space="preserve">Coût réseau(heure t) = Prix EPEX Spot(t) + TURPE énergie(t) + TICFE + CTA
Où TURPE énergie(t) = valeur lue dans l'onglet HTB correspondant selon [saison(t), HP_ou_HC(t)]</w:t>
            </w:r>
          </w:p>
        </w:tc>
      </w:tr>
    </w:tbl>
    <w:p>
      <w:pPr>
        <w:pStyle w:val="Heading2"/>
        <w:spacing w:before="280" w:after="100"/>
      </w:pPr>
      <w:r>
        <w:rPr>
          <w:rFonts w:ascii="Arial" w:cs="Arial" w:eastAsia="Arial" w:hAnsi="Arial"/>
          <w:b/>
          <w:bCs/>
          <w:color w:val="2E75B6"/>
          <w:sz w:val="28"/>
          <w:szCs w:val="28"/>
        </w:rPr>
        <w:t xml:space="preserve">8.3 Rôle dans la décision PPA</w:t>
      </w:r>
    </w:p>
    <w:p>
      <w:pPr>
        <w:spacing w:after="120"/>
      </w:pPr>
      <w:r>
        <w:rPr>
          <w:rFonts w:ascii="Arial" w:cs="Arial" w:eastAsia="Arial" w:hAnsi="Arial"/>
          <w:color w:val="1A1A1A"/>
          <w:sz w:val="22"/>
          <w:szCs w:val="22"/>
        </w:rPr>
        <w:t xml:space="preserve">Ce coût réseau horaire est comparé au LCOE (Levelized Cost of Energy) du PPA renouvelable. Quand le coût réseau est élevé (HPSH en hiver, vers 80-120 €/MWh tout compris), acheter via PPA est très avantageux. La nuit en été (HCSB, autour de 40-60 €/MWh), l'avantage PPA est moindre.</w:t>
      </w:r>
    </w:p>
    <w:p>
      <w:pPr>
        <w:spacing w:after="120"/>
      </w:pPr>
      <w:r>
        <w:rPr>
          <w:rFonts w:ascii="Arial" w:cs="Arial" w:eastAsia="Arial" w:hAnsi="Arial"/>
          <w:color w:val="1A1A1A"/>
          <w:sz w:val="22"/>
          <w:szCs w:val="22"/>
        </w:rPr>
        <w:t xml:space="preserve">C'est exactement pourquoi la différentiation temporelle du TURPE est si importante : elle fait varier l'attractivité économique du PPA selon les heures, ce qui influence directement le mix optimal calculé par optimize_ppa_mix() dans ppamodule.py.</w:t>
      </w:r>
    </w:p>
    <w:p>
      <w:pPr>
        <w:spacing w:after="160"/>
      </w:pPr>
      <w:r>
        <w:rPr>
          <w:sz w:val="22"/>
          <w:szCs w:val="22"/>
        </w:rPr>
        <w:t xml:space="preserve"/>
      </w:r>
    </w:p>
    <w:p>
      <w:pPr>
        <w:pStyle w:val="Heading1"/>
        <w:pBdr>
          <w:bottom w:val="single" w:color="2E75B6" w:sz="6" w:space="4"/>
        </w:pBdr>
        <w:spacing w:before="400" w:after="160"/>
      </w:pPr>
      <w:r>
        <w:rPr>
          <w:rFonts w:ascii="Arial" w:cs="Arial" w:eastAsia="Arial" w:hAnsi="Arial"/>
          <w:b/>
          <w:bCs/>
          <w:color w:val="1F3864"/>
          <w:sz w:val="36"/>
          <w:szCs w:val="36"/>
        </w:rPr>
        <w:t xml:space="preserve">Récapitulatif — Les 10 points essentiels</w:t>
      </w:r>
    </w:p>
    <w:tbl>
      <w:tblPr>
        <w:tblW w:type="dxa" w:w="920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800"/>
        <w:gridCol w:w="8400"/>
      </w:tblGrid>
      <w:tr>
        <w:trPr>
          <w:tblHeader/>
        </w:trPr>
        <w:tc>
          <w:tcPr>
            <w:tcW w:type="dxa" w:w="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00"/>
            </w:tcMar>
            <w:vAlign w:val="center"/>
          </w:tcPr>
          <w:p>
            <w:pPr>
              <w:spacing w:after="0"/>
            </w:pPr>
            <w:r>
              <w:rPr>
                <w:rFonts w:ascii="Arial" w:cs="Arial" w:eastAsia="Arial" w:hAnsi="Arial"/>
                <w:b/>
                <w:bCs/>
                <w:color w:val="FFFFFF"/>
                <w:sz w:val="20"/>
                <w:szCs w:val="20"/>
              </w:rPr>
              <w:t xml:space="preserve">N°</w:t>
            </w:r>
          </w:p>
        </w:tc>
        <w:tc>
          <w:tcPr>
            <w:tcW w:type="dxa" w:w="8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00"/>
            </w:tcMar>
            <w:vAlign w:val="center"/>
          </w:tcPr>
          <w:p>
            <w:pPr>
              <w:spacing w:after="0"/>
            </w:pPr>
            <w:r>
              <w:rPr>
                <w:rFonts w:ascii="Arial" w:cs="Arial" w:eastAsia="Arial" w:hAnsi="Arial"/>
                <w:b/>
                <w:bCs/>
                <w:color w:val="FFFFFF"/>
                <w:sz w:val="20"/>
                <w:szCs w:val="20"/>
              </w:rPr>
              <w:t xml:space="preserve">Point clé</w:t>
            </w:r>
          </w:p>
        </w:tc>
      </w:tr>
      <w:tr>
        <w:tc>
          <w:tcPr>
            <w:tcW w:type="dxa" w:w="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pPr>
            <w:r>
              <w:rPr>
                <w:rFonts w:ascii="Arial" w:cs="Arial" w:eastAsia="Arial" w:hAnsi="Arial"/>
                <w:color w:val="1A1A1A"/>
                <w:sz w:val="20"/>
                <w:szCs w:val="20"/>
              </w:rPr>
              <w:t xml:space="preserve">1</w:t>
            </w:r>
          </w:p>
        </w:tc>
        <w:tc>
          <w:tcPr>
            <w:tcW w:type="dxa" w:w="8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pPr>
            <w:r>
              <w:rPr>
                <w:rFonts w:ascii="Arial" w:cs="Arial" w:eastAsia="Arial" w:hAnsi="Arial"/>
                <w:color w:val="1A1A1A"/>
                <w:sz w:val="20"/>
                <w:szCs w:val="20"/>
              </w:rPr>
              <w:t xml:space="preserve">Le TURPE est le coût d'utilisation du réseau électrique, fixé par la CRE et perçu par RTE. Il ne dépend pas du prix du marché.</w:t>
            </w:r>
          </w:p>
        </w:tc>
      </w:tr>
      <w:tr>
        <w:tc>
          <w:tcPr>
            <w:tcW w:type="dxa" w:w="800"/>
            <w:tcBorders>
              <w:top w:val="single" w:color="CCCCCC" w:sz="1"/>
              <w:left w:val="single" w:color="CCCCCC" w:sz="1"/>
              <w:bottom w:val="single" w:color="CCCCCC" w:sz="1"/>
              <w:right w:val="single" w:color="CCCCCC" w:sz="1"/>
            </w:tcBorders>
            <w:shd w:fill="EBF3FA" w:val="clear"/>
            <w:tcMar>
              <w:top w:type="dxa" w:w="70"/>
              <w:left w:type="dxa" w:w="120"/>
              <w:bottom w:type="dxa" w:w="70"/>
              <w:right w:type="dxa" w:w="100"/>
            </w:tcMar>
            <w:vAlign w:val="top"/>
          </w:tcPr>
          <w:p>
            <w:pPr>
              <w:spacing w:after="0"/>
            </w:pPr>
            <w:r>
              <w:rPr>
                <w:rFonts w:ascii="Arial" w:cs="Arial" w:eastAsia="Arial" w:hAnsi="Arial"/>
                <w:color w:val="1A1A1A"/>
                <w:sz w:val="20"/>
                <w:szCs w:val="20"/>
              </w:rPr>
              <w:t xml:space="preserve">2</w:t>
            </w:r>
          </w:p>
        </w:tc>
        <w:tc>
          <w:tcPr>
            <w:tcW w:type="dxa" w:w="8400"/>
            <w:tcBorders>
              <w:top w:val="single" w:color="CCCCCC" w:sz="1"/>
              <w:left w:val="single" w:color="CCCCCC" w:sz="1"/>
              <w:bottom w:val="single" w:color="CCCCCC" w:sz="1"/>
              <w:right w:val="single" w:color="CCCCCC" w:sz="1"/>
            </w:tcBorders>
            <w:shd w:fill="EBF3FA" w:val="clear"/>
            <w:tcMar>
              <w:top w:type="dxa" w:w="70"/>
              <w:left w:type="dxa" w:w="120"/>
              <w:bottom w:type="dxa" w:w="70"/>
              <w:right w:type="dxa" w:w="100"/>
            </w:tcMar>
            <w:vAlign w:val="top"/>
          </w:tcPr>
          <w:p>
            <w:pPr>
              <w:spacing w:after="0"/>
            </w:pPr>
            <w:r>
              <w:rPr>
                <w:rFonts w:ascii="Arial" w:cs="Arial" w:eastAsia="Arial" w:hAnsi="Arial"/>
                <w:color w:val="1A1A1A"/>
                <w:sz w:val="20"/>
                <w:szCs w:val="20"/>
              </w:rPr>
              <w:t xml:space="preserve">HTB3 (63 kV) = tarif unique 3,465 €/MWh. HTB2 (225 kV) et HTB1 (400 kV) = tarif binomial avec 4 classes temporelles.</w:t>
            </w:r>
          </w:p>
        </w:tc>
      </w:tr>
      <w:tr>
        <w:tc>
          <w:tcPr>
            <w:tcW w:type="dxa" w:w="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pPr>
            <w:r>
              <w:rPr>
                <w:rFonts w:ascii="Arial" w:cs="Arial" w:eastAsia="Arial" w:hAnsi="Arial"/>
                <w:color w:val="1A1A1A"/>
                <w:sz w:val="20"/>
                <w:szCs w:val="20"/>
              </w:rPr>
              <w:t xml:space="preserve">3</w:t>
            </w:r>
          </w:p>
        </w:tc>
        <w:tc>
          <w:tcPr>
            <w:tcW w:type="dxa" w:w="8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pPr>
            <w:r>
              <w:rPr>
                <w:rFonts w:ascii="Arial" w:cs="Arial" w:eastAsia="Arial" w:hAnsi="Arial"/>
                <w:color w:val="1A1A1A"/>
                <w:sz w:val="20"/>
                <w:szCs w:val="20"/>
              </w:rPr>
              <w:t xml:space="preserve">Les 4 classes : HPSH, HCSH, HPSB, HCSB — de la plus chère (hiver en journée) à la moins chère (été la nuit).</w:t>
            </w:r>
          </w:p>
        </w:tc>
      </w:tr>
      <w:tr>
        <w:tc>
          <w:tcPr>
            <w:tcW w:type="dxa" w:w="800"/>
            <w:tcBorders>
              <w:top w:val="single" w:color="CCCCCC" w:sz="1"/>
              <w:left w:val="single" w:color="CCCCCC" w:sz="1"/>
              <w:bottom w:val="single" w:color="CCCCCC" w:sz="1"/>
              <w:right w:val="single" w:color="CCCCCC" w:sz="1"/>
            </w:tcBorders>
            <w:shd w:fill="EBF3FA" w:val="clear"/>
            <w:tcMar>
              <w:top w:type="dxa" w:w="70"/>
              <w:left w:type="dxa" w:w="120"/>
              <w:bottom w:type="dxa" w:w="70"/>
              <w:right w:type="dxa" w:w="100"/>
            </w:tcMar>
            <w:vAlign w:val="top"/>
          </w:tcPr>
          <w:p>
            <w:pPr>
              <w:spacing w:after="0"/>
            </w:pPr>
            <w:r>
              <w:rPr>
                <w:rFonts w:ascii="Arial" w:cs="Arial" w:eastAsia="Arial" w:hAnsi="Arial"/>
                <w:color w:val="1A1A1A"/>
                <w:sz w:val="20"/>
                <w:szCs w:val="20"/>
              </w:rPr>
              <w:t xml:space="preserve">4</w:t>
            </w:r>
          </w:p>
        </w:tc>
        <w:tc>
          <w:tcPr>
            <w:tcW w:type="dxa" w:w="8400"/>
            <w:tcBorders>
              <w:top w:val="single" w:color="CCCCCC" w:sz="1"/>
              <w:left w:val="single" w:color="CCCCCC" w:sz="1"/>
              <w:bottom w:val="single" w:color="CCCCCC" w:sz="1"/>
              <w:right w:val="single" w:color="CCCCCC" w:sz="1"/>
            </w:tcBorders>
            <w:shd w:fill="EBF3FA" w:val="clear"/>
            <w:tcMar>
              <w:top w:type="dxa" w:w="70"/>
              <w:left w:type="dxa" w:w="120"/>
              <w:bottom w:type="dxa" w:w="70"/>
              <w:right w:type="dxa" w:w="100"/>
            </w:tcMar>
            <w:vAlign w:val="top"/>
          </w:tcPr>
          <w:p>
            <w:pPr>
              <w:spacing w:after="0"/>
            </w:pPr>
            <w:r>
              <w:rPr>
                <w:rFonts w:ascii="Arial" w:cs="Arial" w:eastAsia="Arial" w:hAnsi="Arial"/>
                <w:color w:val="1A1A1A"/>
                <w:sz w:val="20"/>
                <w:szCs w:val="20"/>
              </w:rPr>
              <w:t xml:space="preserve">HPSH = Heures Pleines Saison Haute = hiver en semaine 8h-20h. HCSB = Heures Creuses Saison Basse = été la nuit/weekend.</w:t>
            </w:r>
          </w:p>
        </w:tc>
      </w:tr>
      <w:tr>
        <w:tc>
          <w:tcPr>
            <w:tcW w:type="dxa" w:w="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pPr>
            <w:r>
              <w:rPr>
                <w:rFonts w:ascii="Arial" w:cs="Arial" w:eastAsia="Arial" w:hAnsi="Arial"/>
                <w:color w:val="1A1A1A"/>
                <w:sz w:val="20"/>
                <w:szCs w:val="20"/>
              </w:rPr>
              <w:t xml:space="preserve">5</w:t>
            </w:r>
          </w:p>
        </w:tc>
        <w:tc>
          <w:tcPr>
            <w:tcW w:type="dxa" w:w="8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pPr>
            <w:r>
              <w:rPr>
                <w:rFonts w:ascii="Arial" w:cs="Arial" w:eastAsia="Arial" w:hAnsi="Arial"/>
                <w:color w:val="1A1A1A"/>
                <w:sz w:val="20"/>
                <w:szCs w:val="20"/>
              </w:rPr>
              <w:t xml:space="preserve">3 versions : CU (courte utilisation &lt; 3 000 h), MU (standard industriel 3 000-5 000 h), LU (process continu &gt; 5 000 h).</w:t>
            </w:r>
          </w:p>
        </w:tc>
      </w:tr>
      <w:tr>
        <w:tc>
          <w:tcPr>
            <w:tcW w:type="dxa" w:w="800"/>
            <w:tcBorders>
              <w:top w:val="single" w:color="CCCCCC" w:sz="1"/>
              <w:left w:val="single" w:color="CCCCCC" w:sz="1"/>
              <w:bottom w:val="single" w:color="CCCCCC" w:sz="1"/>
              <w:right w:val="single" w:color="CCCCCC" w:sz="1"/>
            </w:tcBorders>
            <w:shd w:fill="EBF3FA" w:val="clear"/>
            <w:tcMar>
              <w:top w:type="dxa" w:w="70"/>
              <w:left w:type="dxa" w:w="120"/>
              <w:bottom w:type="dxa" w:w="70"/>
              <w:right w:type="dxa" w:w="100"/>
            </w:tcMar>
            <w:vAlign w:val="top"/>
          </w:tcPr>
          <w:p>
            <w:pPr>
              <w:spacing w:after="0"/>
            </w:pPr>
            <w:r>
              <w:rPr>
                <w:rFonts w:ascii="Arial" w:cs="Arial" w:eastAsia="Arial" w:hAnsi="Arial"/>
                <w:color w:val="1A1A1A"/>
                <w:sz w:val="20"/>
                <w:szCs w:val="20"/>
              </w:rPr>
              <w:t xml:space="preserve">6</w:t>
            </w:r>
          </w:p>
        </w:tc>
        <w:tc>
          <w:tcPr>
            <w:tcW w:type="dxa" w:w="8400"/>
            <w:tcBorders>
              <w:top w:val="single" w:color="CCCCCC" w:sz="1"/>
              <w:left w:val="single" w:color="CCCCCC" w:sz="1"/>
              <w:bottom w:val="single" w:color="CCCCCC" w:sz="1"/>
              <w:right w:val="single" w:color="CCCCCC" w:sz="1"/>
            </w:tcBorders>
            <w:shd w:fill="EBF3FA" w:val="clear"/>
            <w:tcMar>
              <w:top w:type="dxa" w:w="70"/>
              <w:left w:type="dxa" w:w="120"/>
              <w:bottom w:type="dxa" w:w="70"/>
              <w:right w:type="dxa" w:w="100"/>
            </w:tcMar>
            <w:vAlign w:val="top"/>
          </w:tcPr>
          <w:p>
            <w:pPr>
              <w:spacing w:after="0"/>
            </w:pPr>
            <w:r>
              <w:rPr>
                <w:rFonts w:ascii="Arial" w:cs="Arial" w:eastAsia="Arial" w:hAnsi="Arial"/>
                <w:color w:val="1A1A1A"/>
                <w:sz w:val="20"/>
                <w:szCs w:val="20"/>
              </w:rPr>
              <w:t xml:space="preserve">Les chiffres 2021 viennent des fiches tarifaires PDF officielles RTE, téléchargeables sur services-rte.com.</w:t>
            </w:r>
          </w:p>
        </w:tc>
      </w:tr>
      <w:tr>
        <w:tc>
          <w:tcPr>
            <w:tcW w:type="dxa" w:w="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pPr>
            <w:r>
              <w:rPr>
                <w:rFonts w:ascii="Arial" w:cs="Arial" w:eastAsia="Arial" w:hAnsi="Arial"/>
                <w:color w:val="1A1A1A"/>
                <w:sz w:val="20"/>
                <w:szCs w:val="20"/>
              </w:rPr>
              <w:t xml:space="preserve">7</w:t>
            </w:r>
          </w:p>
        </w:tc>
        <w:tc>
          <w:tcPr>
            <w:tcW w:type="dxa" w:w="8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pPr>
            <w:r>
              <w:rPr>
                <w:rFonts w:ascii="Arial" w:cs="Arial" w:eastAsia="Arial" w:hAnsi="Arial"/>
                <w:color w:val="1A1A1A"/>
                <w:sz w:val="20"/>
                <w:szCs w:val="20"/>
              </w:rPr>
              <w:t xml:space="preserve">Les chiffres novembre 2024 = valeurs 2021 × 1,0499 (hausse +4,99% délibération CRE 2024-121 + 2024-158).</w:t>
            </w:r>
          </w:p>
        </w:tc>
      </w:tr>
      <w:tr>
        <w:tc>
          <w:tcPr>
            <w:tcW w:type="dxa" w:w="800"/>
            <w:tcBorders>
              <w:top w:val="single" w:color="CCCCCC" w:sz="1"/>
              <w:left w:val="single" w:color="CCCCCC" w:sz="1"/>
              <w:bottom w:val="single" w:color="CCCCCC" w:sz="1"/>
              <w:right w:val="single" w:color="CCCCCC" w:sz="1"/>
            </w:tcBorders>
            <w:shd w:fill="EBF3FA" w:val="clear"/>
            <w:tcMar>
              <w:top w:type="dxa" w:w="70"/>
              <w:left w:type="dxa" w:w="120"/>
              <w:bottom w:type="dxa" w:w="70"/>
              <w:right w:type="dxa" w:w="100"/>
            </w:tcMar>
            <w:vAlign w:val="top"/>
          </w:tcPr>
          <w:p>
            <w:pPr>
              <w:spacing w:after="0"/>
            </w:pPr>
            <w:r>
              <w:rPr>
                <w:rFonts w:ascii="Arial" w:cs="Arial" w:eastAsia="Arial" w:hAnsi="Arial"/>
                <w:color w:val="1A1A1A"/>
                <w:sz w:val="20"/>
                <w:szCs w:val="20"/>
              </w:rPr>
              <w:t xml:space="preserve">8</w:t>
            </w:r>
          </w:p>
        </w:tc>
        <w:tc>
          <w:tcPr>
            <w:tcW w:type="dxa" w:w="8400"/>
            <w:tcBorders>
              <w:top w:val="single" w:color="CCCCCC" w:sz="1"/>
              <w:left w:val="single" w:color="CCCCCC" w:sz="1"/>
              <w:bottom w:val="single" w:color="CCCCCC" w:sz="1"/>
              <w:right w:val="single" w:color="CCCCCC" w:sz="1"/>
            </w:tcBorders>
            <w:shd w:fill="EBF3FA" w:val="clear"/>
            <w:tcMar>
              <w:top w:type="dxa" w:w="70"/>
              <w:left w:type="dxa" w:w="120"/>
              <w:bottom w:type="dxa" w:w="70"/>
              <w:right w:type="dxa" w:w="100"/>
            </w:tcMar>
            <w:vAlign w:val="top"/>
          </w:tcPr>
          <w:p>
            <w:pPr>
              <w:spacing w:after="0"/>
            </w:pPr>
            <w:r>
              <w:rPr>
                <w:rFonts w:ascii="Arial" w:cs="Arial" w:eastAsia="Arial" w:hAnsi="Arial"/>
                <w:color w:val="1A1A1A"/>
                <w:sz w:val="20"/>
                <w:szCs w:val="20"/>
              </w:rPr>
              <w:t xml:space="preserve">Le fichier s'appelait KEPCO car le modèle vient de Corée. En France, FranceGridUtils.py remplace KEPCOutils.py — même structure, chiffres français.</w:t>
            </w:r>
          </w:p>
        </w:tc>
      </w:tr>
      <w:tr>
        <w:tc>
          <w:tcPr>
            <w:tcW w:type="dxa" w:w="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pPr>
            <w:r>
              <w:rPr>
                <w:rFonts w:ascii="Arial" w:cs="Arial" w:eastAsia="Arial" w:hAnsi="Arial"/>
                <w:color w:val="1A1A1A"/>
                <w:sz w:val="20"/>
                <w:szCs w:val="20"/>
              </w:rPr>
              <w:t xml:space="preserve">9</w:t>
            </w:r>
          </w:p>
        </w:tc>
        <w:tc>
          <w:tcPr>
            <w:tcW w:type="dxa" w:w="8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pPr>
            <w:r>
              <w:rPr>
                <w:rFonts w:ascii="Arial" w:cs="Arial" w:eastAsia="Arial" w:hAnsi="Arial"/>
                <w:color w:val="1A1A1A"/>
                <w:sz w:val="20"/>
                <w:szCs w:val="20"/>
              </w:rPr>
              <w:t xml:space="preserve">FranceGridUtils.py lit timezone + season pour savoir quelle classe temporelle appliquer à chaque heure, puis lit la valeur c (€/MWh) dans l'onglet HTB choisi.</w:t>
            </w:r>
          </w:p>
        </w:tc>
      </w:tr>
      <w:tr>
        <w:tc>
          <w:tcPr>
            <w:tcW w:type="dxa" w:w="800"/>
            <w:tcBorders>
              <w:top w:val="single" w:color="CCCCCC" w:sz="1"/>
              <w:left w:val="single" w:color="CCCCCC" w:sz="1"/>
              <w:bottom w:val="single" w:color="CCCCCC" w:sz="1"/>
              <w:right w:val="single" w:color="CCCCCC" w:sz="1"/>
            </w:tcBorders>
            <w:shd w:fill="EBF3FA" w:val="clear"/>
            <w:tcMar>
              <w:top w:type="dxa" w:w="70"/>
              <w:left w:type="dxa" w:w="120"/>
              <w:bottom w:type="dxa" w:w="70"/>
              <w:right w:type="dxa" w:w="100"/>
            </w:tcMar>
            <w:vAlign w:val="top"/>
          </w:tcPr>
          <w:p>
            <w:pPr>
              <w:spacing w:after="0"/>
            </w:pPr>
            <w:r>
              <w:rPr>
                <w:rFonts w:ascii="Arial" w:cs="Arial" w:eastAsia="Arial" w:hAnsi="Arial"/>
                <w:color w:val="1A1A1A"/>
                <w:sz w:val="20"/>
                <w:szCs w:val="20"/>
              </w:rPr>
              <w:t xml:space="preserve">10</w:t>
            </w:r>
          </w:p>
        </w:tc>
        <w:tc>
          <w:tcPr>
            <w:tcW w:type="dxa" w:w="8400"/>
            <w:tcBorders>
              <w:top w:val="single" w:color="CCCCCC" w:sz="1"/>
              <w:left w:val="single" w:color="CCCCCC" w:sz="1"/>
              <w:bottom w:val="single" w:color="CCCCCC" w:sz="1"/>
              <w:right w:val="single" w:color="CCCCCC" w:sz="1"/>
            </w:tcBorders>
            <w:shd w:fill="EBF3FA" w:val="clear"/>
            <w:tcMar>
              <w:top w:type="dxa" w:w="70"/>
              <w:left w:type="dxa" w:w="120"/>
              <w:bottom w:type="dxa" w:w="70"/>
              <w:right w:type="dxa" w:w="100"/>
            </w:tcMar>
            <w:vAlign w:val="top"/>
          </w:tcPr>
          <w:p>
            <w:pPr>
              <w:spacing w:after="0"/>
            </w:pPr>
            <w:r>
              <w:rPr>
                <w:rFonts w:ascii="Arial" w:cs="Arial" w:eastAsia="Arial" w:hAnsi="Arial"/>
                <w:color w:val="1A1A1A"/>
                <w:sz w:val="20"/>
                <w:szCs w:val="20"/>
              </w:rPr>
              <w:t xml:space="preserve">Le TURPE est mis à jour chaque 1er août. Vérifier les nouvelles fiches RTE et mettre à jour le fichier chaque année avant un nouveau projet.</w:t>
            </w:r>
          </w:p>
        </w:tc>
      </w:tr>
    </w:tbl>
    <w:p>
      <w:pPr>
        <w:spacing w:after="400"/>
      </w:pPr>
      <w:r>
        <w:rPr>
          <w:sz w:val="22"/>
          <w:szCs w:val="22"/>
        </w:rPr>
        <w:t xml:space="preserve"/>
      </w:r>
    </w:p>
    <w:p>
      <w:pPr>
        <w:pStyle w:val="Heading2"/>
        <w:spacing w:before="280" w:after="100"/>
      </w:pPr>
      <w:r>
        <w:rPr>
          <w:rFonts w:ascii="Arial" w:cs="Arial" w:eastAsia="Arial" w:hAnsi="Arial"/>
          <w:b/>
          <w:bCs/>
          <w:color w:val="2E75B6"/>
          <w:sz w:val="28"/>
          <w:szCs w:val="28"/>
        </w:rPr>
        <w:t xml:space="preserve">Sources officielles à bookmarker</w:t>
      </w:r>
    </w:p>
    <w:tbl>
      <w:tblPr>
        <w:tblW w:type="dxa" w:w="920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3200"/>
        <w:gridCol w:w="6000"/>
      </w:tblGrid>
      <w:tr>
        <w:trPr>
          <w:tblHeader/>
        </w:trPr>
        <w:tc>
          <w:tcPr>
            <w:tcW w:type="dxa" w:w="3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00"/>
            </w:tcMar>
            <w:vAlign w:val="center"/>
          </w:tcPr>
          <w:p>
            <w:pPr>
              <w:spacing w:after="0"/>
            </w:pPr>
            <w:r>
              <w:rPr>
                <w:rFonts w:ascii="Arial" w:cs="Arial" w:eastAsia="Arial" w:hAnsi="Arial"/>
                <w:b/>
                <w:bCs/>
                <w:color w:val="FFFFFF"/>
                <w:sz w:val="20"/>
                <w:szCs w:val="20"/>
              </w:rPr>
              <w:t xml:space="preserve">Source</w:t>
            </w:r>
          </w:p>
        </w:tc>
        <w:tc>
          <w:tcPr>
            <w:tcW w:type="dxa" w:w="6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00"/>
            </w:tcMar>
            <w:vAlign w:val="center"/>
          </w:tcPr>
          <w:p>
            <w:pPr>
              <w:spacing w:after="0"/>
            </w:pPr>
            <w:r>
              <w:rPr>
                <w:rFonts w:ascii="Arial" w:cs="Arial" w:eastAsia="Arial" w:hAnsi="Arial"/>
                <w:b/>
                <w:bCs/>
                <w:color w:val="FFFFFF"/>
                <w:sz w:val="20"/>
                <w:szCs w:val="20"/>
              </w:rPr>
              <w:t xml:space="preserve">URL</w:t>
            </w:r>
          </w:p>
        </w:tc>
      </w:tr>
      <w:tr>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pPr>
            <w:r>
              <w:rPr>
                <w:rFonts w:ascii="Arial" w:cs="Arial" w:eastAsia="Arial" w:hAnsi="Arial"/>
                <w:color w:val="1A1A1A"/>
                <w:sz w:val="20"/>
                <w:szCs w:val="20"/>
              </w:rPr>
              <w:t xml:space="preserve">Fiches tarifaires RTE 2021 (base des chiffres)</w:t>
            </w:r>
          </w:p>
        </w:tc>
        <w:tc>
          <w:tcPr>
            <w:tcW w:type="dxa" w:w="6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pPr>
            <w:r>
              <w:rPr>
                <w:rFonts w:ascii="Arial" w:cs="Arial" w:eastAsia="Arial" w:hAnsi="Arial"/>
                <w:color w:val="1A1A1A"/>
                <w:sz w:val="20"/>
                <w:szCs w:val="20"/>
              </w:rPr>
              <w:t xml:space="preserve">services-rte.com &gt; Bibliothèque documentaire &gt; 'Fiches Tarifaires TURPE 6'</w:t>
            </w:r>
          </w:p>
        </w:tc>
      </w:tr>
      <w:tr>
        <w:tc>
          <w:tcPr>
            <w:tcW w:type="dxa" w:w="3200"/>
            <w:tcBorders>
              <w:top w:val="single" w:color="CCCCCC" w:sz="1"/>
              <w:left w:val="single" w:color="CCCCCC" w:sz="1"/>
              <w:bottom w:val="single" w:color="CCCCCC" w:sz="1"/>
              <w:right w:val="single" w:color="CCCCCC" w:sz="1"/>
            </w:tcBorders>
            <w:shd w:fill="EBF3FA" w:val="clear"/>
            <w:tcMar>
              <w:top w:type="dxa" w:w="70"/>
              <w:left w:type="dxa" w:w="120"/>
              <w:bottom w:type="dxa" w:w="70"/>
              <w:right w:type="dxa" w:w="100"/>
            </w:tcMar>
            <w:vAlign w:val="top"/>
          </w:tcPr>
          <w:p>
            <w:pPr>
              <w:spacing w:after="0"/>
            </w:pPr>
            <w:r>
              <w:rPr>
                <w:rFonts w:ascii="Arial" w:cs="Arial" w:eastAsia="Arial" w:hAnsi="Arial"/>
                <w:color w:val="1A1A1A"/>
                <w:sz w:val="20"/>
                <w:szCs w:val="20"/>
              </w:rPr>
              <w:t xml:space="preserve">Délibération CRE mise à jour 2024</w:t>
            </w:r>
          </w:p>
        </w:tc>
        <w:tc>
          <w:tcPr>
            <w:tcW w:type="dxa" w:w="6000"/>
            <w:tcBorders>
              <w:top w:val="single" w:color="CCCCCC" w:sz="1"/>
              <w:left w:val="single" w:color="CCCCCC" w:sz="1"/>
              <w:bottom w:val="single" w:color="CCCCCC" w:sz="1"/>
              <w:right w:val="single" w:color="CCCCCC" w:sz="1"/>
            </w:tcBorders>
            <w:shd w:fill="EBF3FA" w:val="clear"/>
            <w:tcMar>
              <w:top w:type="dxa" w:w="70"/>
              <w:left w:type="dxa" w:w="120"/>
              <w:bottom w:type="dxa" w:w="70"/>
              <w:right w:type="dxa" w:w="100"/>
            </w:tcMar>
            <w:vAlign w:val="top"/>
          </w:tcPr>
          <w:p>
            <w:pPr>
              <w:spacing w:after="0"/>
            </w:pPr>
            <w:r>
              <w:rPr>
                <w:rFonts w:ascii="Arial" w:cs="Arial" w:eastAsia="Arial" w:hAnsi="Arial"/>
                <w:color w:val="1A1A1A"/>
                <w:sz w:val="20"/>
                <w:szCs w:val="20"/>
              </w:rPr>
              <w:t xml:space="preserve">cre.fr &gt; Délibérations &gt; n°2024-121 (26 juin 2024) + n°2024-158 (10 sept 2024)</w:t>
            </w:r>
          </w:p>
        </w:tc>
      </w:tr>
      <w:tr>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pPr>
            <w:r>
              <w:rPr>
                <w:rFonts w:ascii="Arial" w:cs="Arial" w:eastAsia="Arial" w:hAnsi="Arial"/>
                <w:color w:val="1A1A1A"/>
                <w:sz w:val="20"/>
                <w:szCs w:val="20"/>
              </w:rPr>
              <w:t xml:space="preserve">Calculatrice TURPE interactive</w:t>
            </w:r>
          </w:p>
        </w:tc>
        <w:tc>
          <w:tcPr>
            <w:tcW w:type="dxa" w:w="6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pPr>
            <w:r>
              <w:rPr>
                <w:rFonts w:ascii="Arial" w:cs="Arial" w:eastAsia="Arial" w:hAnsi="Arial"/>
                <w:color w:val="1A1A1A"/>
                <w:sz w:val="20"/>
                <w:szCs w:val="20"/>
              </w:rPr>
              <w:t xml:space="preserve">cre.fr &gt; Électricité &gt; Réseaux &gt; Tarifs d'accès &gt; Outils de calcul</w:t>
            </w:r>
          </w:p>
        </w:tc>
      </w:tr>
      <w:tr>
        <w:tc>
          <w:tcPr>
            <w:tcW w:type="dxa" w:w="3200"/>
            <w:tcBorders>
              <w:top w:val="single" w:color="CCCCCC" w:sz="1"/>
              <w:left w:val="single" w:color="CCCCCC" w:sz="1"/>
              <w:bottom w:val="single" w:color="CCCCCC" w:sz="1"/>
              <w:right w:val="single" w:color="CCCCCC" w:sz="1"/>
            </w:tcBorders>
            <w:shd w:fill="EBF3FA" w:val="clear"/>
            <w:tcMar>
              <w:top w:type="dxa" w:w="70"/>
              <w:left w:type="dxa" w:w="120"/>
              <w:bottom w:type="dxa" w:w="70"/>
              <w:right w:type="dxa" w:w="100"/>
            </w:tcMar>
            <w:vAlign w:val="top"/>
          </w:tcPr>
          <w:p>
            <w:pPr>
              <w:spacing w:after="0"/>
            </w:pPr>
            <w:r>
              <w:rPr>
                <w:rFonts w:ascii="Arial" w:cs="Arial" w:eastAsia="Arial" w:hAnsi="Arial"/>
                <w:color w:val="1A1A1A"/>
                <w:sz w:val="20"/>
                <w:szCs w:val="20"/>
              </w:rPr>
              <w:t xml:space="preserve">Plaquette pédagogique RTE</w:t>
            </w:r>
          </w:p>
        </w:tc>
        <w:tc>
          <w:tcPr>
            <w:tcW w:type="dxa" w:w="6000"/>
            <w:tcBorders>
              <w:top w:val="single" w:color="CCCCCC" w:sz="1"/>
              <w:left w:val="single" w:color="CCCCCC" w:sz="1"/>
              <w:bottom w:val="single" w:color="CCCCCC" w:sz="1"/>
              <w:right w:val="single" w:color="CCCCCC" w:sz="1"/>
            </w:tcBorders>
            <w:shd w:fill="EBF3FA" w:val="clear"/>
            <w:tcMar>
              <w:top w:type="dxa" w:w="70"/>
              <w:left w:type="dxa" w:w="120"/>
              <w:bottom w:type="dxa" w:w="70"/>
              <w:right w:type="dxa" w:w="100"/>
            </w:tcMar>
            <w:vAlign w:val="top"/>
          </w:tcPr>
          <w:p>
            <w:pPr>
              <w:spacing w:after="0"/>
            </w:pPr>
            <w:r>
              <w:rPr>
                <w:rFonts w:ascii="Arial" w:cs="Arial" w:eastAsia="Arial" w:hAnsi="Arial"/>
                <w:color w:val="1A1A1A"/>
                <w:sz w:val="20"/>
                <w:szCs w:val="20"/>
              </w:rPr>
              <w:t xml:space="preserve">services-rte.com &gt; 'Comprendre le TURPE 6 HTB'</w:t>
            </w:r>
          </w:p>
        </w:tc>
      </w:tr>
    </w:tbl>
    <w:p>
      <w:pPr>
        <w:spacing w:after="400"/>
      </w:pPr>
      <w:r>
        <w:rPr>
          <w:sz w:val="22"/>
          <w:szCs w:val="22"/>
        </w:rPr>
        <w:t xml:space="preserve"/>
      </w:r>
    </w:p>
    <w:p>
      <w:pPr>
        <w:jc w:val="center"/>
      </w:pPr>
      <w:r>
        <w:rPr>
          <w:rFonts w:ascii="Arial" w:cs="Arial" w:eastAsia="Arial" w:hAnsi="Arial"/>
          <w:color w:val="999999"/>
          <w:sz w:val="18"/>
          <w:szCs w:val="18"/>
        </w:rPr>
        <w:t xml:space="preserve">French PPA Model v3.0 — Guide TURPE v2.0 — Mars 2026</w:t>
      </w:r>
    </w:p>
    <w:sectPr>
      <w:headerReference w:type="default" r:id="rId6"/>
      <w:footerReference w:type="default" r:id="rId7"/>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3" w:space="4"/>
      </w:pBdr>
      <w:tabs>
        <w:tab w:val="right" w:pos="9200"/>
      </w:tabs>
    </w:pPr>
    <w:r>
      <w:rPr>
        <w:rFonts w:ascii="Arial" w:cs="Arial" w:eastAsia="Arial" w:hAnsi="Arial"/>
        <w:color w:val="999999"/>
        <w:sz w:val="16"/>
        <w:szCs w:val="16"/>
      </w:rPr>
      <w:t xml:space="preserve">French PPA Model v3.0  —  Usage confidentiel</w:t>
    </w:r>
    <w:r>
      <w:rPr>
        <w:rFonts w:ascii="Arial" w:cs="Arial" w:eastAsia="Arial" w:hAnsi="Arial"/>
        <w:sz w:val="16"/>
        <w:szCs w:val="16"/>
      </w:rPr>
      <w:t xml:space="preserve">	</w:t>
    </w:r>
    <w:r>
      <w:rPr>
        <w:rFonts w:ascii="Arial" w:cs="Arial" w:eastAsia="Arial" w:hAnsi="Arial"/>
        <w:color w:val="999999"/>
        <w:sz w:val="16"/>
        <w:szCs w:val="16"/>
      </w:rPr>
      <w:pgNum/>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3" w:space="4"/>
      </w:pBdr>
      <w:tabs>
        <w:tab w:val="right" w:pos="9200"/>
      </w:tabs>
      <w:spacing w:after="0"/>
    </w:pPr>
    <w:r>
      <w:rPr>
        <w:rFonts w:ascii="Arial" w:cs="Arial" w:eastAsia="Arial" w:hAnsi="Arial"/>
        <w:color w:val="888888"/>
        <w:sz w:val="18"/>
        <w:szCs w:val="18"/>
      </w:rPr>
      <w:t xml:space="preserve">Guide TURPE_france.xlsx v2.0</w:t>
    </w:r>
    <w:r>
      <w:rPr>
        <w:rFonts w:ascii="Arial" w:cs="Arial" w:eastAsia="Arial" w:hAnsi="Arial"/>
        <w:sz w:val="18"/>
        <w:szCs w:val="18"/>
      </w:rPr>
      <w:t xml:space="preserve">	</w:t>
    </w:r>
    <w:r>
      <w:rPr>
        <w:rFonts w:ascii="Arial" w:cs="Arial" w:eastAsia="Arial" w:hAnsi="Arial"/>
        <w:color w:val="888888"/>
        <w:sz w:val="18"/>
        <w:szCs w:val="18"/>
      </w:rPr>
      <w:t xml:space="preserve">Mars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Arial" w:cs="Arial" w:eastAsia="Arial" w:hAnsi="Arial"/>
      <w:b/>
      <w:bCs/>
      <w:sz w:val="36"/>
      <w:szCs w:val="36"/>
    </w:rPr>
  </w:style>
  <w:style w:type="paragraph" w:styleId="Heading2">
    <w:name w:val="Heading 2"/>
    <w:basedOn w:val="Normal"/>
    <w:next w:val="Normal"/>
    <w:qFormat/>
    <w:pPr>
      <w:spacing w:before="280" w:after="100"/>
      <w:outlineLvl w:val="1"/>
    </w:pPr>
    <w:rPr>
      <w:rFonts w:ascii="Arial" w:cs="Arial" w:eastAsia="Arial" w:hAnsi="Arial"/>
      <w:b/>
      <w:bCs/>
      <w:sz w:val="28"/>
      <w:szCs w:val="28"/>
    </w:rPr>
  </w:style>
  <w:style w:type="paragraph" w:styleId="Heading3">
    <w:name w:val="Heading 3"/>
    <w:basedOn w:val="Normal"/>
    <w:next w:val="Normal"/>
    <w:qFormat/>
    <w:pPr>
      <w:spacing w:before="200" w:after="8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2026-03-01T13:37:10.335Z</dcterms:created>
  <dcterms:modified xsi:type="dcterms:W3CDTF">2026-03-01T13:37:10.336Z</dcterms:modified>
</cp:coreProperties>
</file>

<file path=docProps/custom.xml><?xml version="1.0" encoding="utf-8"?>
<Properties xmlns="http://schemas.openxmlformats.org/officeDocument/2006/custom-properties" xmlns:vt="http://schemas.openxmlformats.org/officeDocument/2006/docPropsVTypes"/>
</file>