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rPr>
          <w:sz w:val="22"/>
          <w:szCs w:val="22"/>
        </w:rPr>
        <w:t xml:space="preserve"/>
      </w:r>
    </w:p>
    <w:p>
      <w:pPr>
        <w:spacing w:after="80"/>
        <w:jc w:val="center"/>
      </w:pPr>
      <w:r>
        <w:rPr>
          <w:rFonts w:ascii="Arial" w:cs="Arial" w:eastAsia="Arial" w:hAnsi="Arial"/>
          <w:b/>
          <w:bCs/>
          <w:color w:val="1F3864"/>
          <w:sz w:val="80"/>
          <w:szCs w:val="80"/>
        </w:rPr>
        <w:t xml:space="preserve">FRENCH PPA MODEL</w:t>
      </w:r>
    </w:p>
    <w:p>
      <w:pPr>
        <w:spacing w:after="80"/>
        <w:jc w:val="center"/>
      </w:pPr>
      <w:r>
        <w:rPr>
          <w:rFonts w:ascii="Arial" w:cs="Arial" w:eastAsia="Arial" w:hAnsi="Arial"/>
          <w:color w:val="2E75B6"/>
          <w:sz w:val="36"/>
          <w:szCs w:val="36"/>
        </w:rPr>
        <w:t xml:space="preserve">README — Guide de démarrage v3.0</w:t>
      </w:r>
    </w:p>
    <w:p>
      <w:pPr>
        <w:spacing w:after="560"/>
        <w:jc w:val="center"/>
      </w:pPr>
      <w:r>
        <w:rPr>
          <w:rFonts w:ascii="Arial" w:cs="Arial" w:eastAsia="Arial" w:hAnsi="Arial"/>
          <w:color w:val="777777"/>
          <w:sz w:val="24"/>
          <w:szCs w:val="24"/>
        </w:rPr>
        <w:t xml:space="preserve">Mars 2026</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200"/>
      </w:tblGrid>
      <w:tr>
        <w:tc>
          <w:tcPr>
            <w:tcBorders>
              <w:top w:val="single" w:color="CCCCCC" w:sz="1"/>
              <w:left w:val="single" w:color="2E75B6" w:sz="12"/>
              <w:bottom w:val="single" w:color="CCCCCC" w:sz="1"/>
              <w:right w:val="single" w:color="CCCCCC" w:sz="1"/>
            </w:tcBorders>
            <w:shd w:fill="EBF3FA" w:val="clear"/>
            <w:tcMar>
              <w:top w:type="dxa" w:w="200"/>
              <w:left w:type="dxa" w:w="280"/>
              <w:bottom w:type="dxa" w:w="200"/>
              <w:right w:type="dxa" w:w="180"/>
            </w:tcMar>
          </w:tcPr>
          <w:p>
            <w:pPr>
              <w:spacing w:after="80"/>
            </w:pPr>
            <w:r>
              <w:rPr>
                <w:rFonts w:ascii="Arial" w:cs="Arial" w:eastAsia="Arial" w:hAnsi="Arial"/>
                <w:b/>
                <w:bCs/>
                <w:color w:val="1F3864"/>
                <w:sz w:val="23"/>
                <w:szCs w:val="23"/>
              </w:rPr>
              <w:t xml:space="preserve">Modèle d'optimisation PPA pour industriels français HTB — simulation horaire sur 20 ans.</w:t>
            </w:r>
          </w:p>
          <w:p>
            <w:pPr>
              <w:spacing w:after="80"/>
            </w:pPr>
            <w:r>
              <w:rPr>
                <w:rFonts w:ascii="Arial" w:cs="Arial" w:eastAsia="Arial" w:hAnsi="Arial"/>
                <w:color w:val="555555"/>
                <w:sz w:val="21"/>
                <w:szCs w:val="21"/>
              </w:rPr>
              <w:t xml:space="preserve">Cas de référence : ArcelorMittal Dunkerque (685 MW)  ·  H2 Normandie (200 MW)</w:t>
            </w:r>
          </w:p>
          <w:p>
            <w:pPr>
              <w:spacing w:after="0"/>
            </w:pPr>
            <w:r>
              <w:rPr>
                <w:rFonts w:ascii="Arial" w:cs="Arial" w:eastAsia="Arial" w:hAnsi="Arial"/>
                <w:color w:val="555555"/>
                <w:sz w:val="21"/>
                <w:szCs w:val="21"/>
              </w:rPr>
              <w:t xml:space="preserve">6 fichiers Python livrés  ·  6 scénarios  ·  7 axes contractuels  ·  interface Streamlit 5 pages</w:t>
            </w:r>
          </w:p>
        </w:tc>
      </w:tr>
    </w:tbl>
    <w:p>
      <w:r>
        <w:br w:type="page"/>
      </w:r>
    </w:p>
    <w:p>
      <w:pPr>
        <w:pStyle w:val="Heading1"/>
        <w:pBdr>
          <w:bottom w:val="single" w:color="2E75B6" w:sz="6" w:space="4"/>
        </w:pBdr>
        <w:spacing w:before="400" w:after="160"/>
      </w:pPr>
      <w:r>
        <w:rPr>
          <w:rFonts w:ascii="Arial" w:cs="Arial" w:eastAsia="Arial" w:hAnsi="Arial"/>
          <w:b/>
          <w:bCs/>
          <w:color w:val="1F3864"/>
          <w:sz w:val="36"/>
          <w:szCs w:val="36"/>
        </w:rPr>
        <w:t xml:space="preserve">1. Ce que fait le modèle</w:t>
      </w:r>
    </w:p>
    <w:p>
      <w:pPr>
        <w:spacing w:after="120"/>
      </w:pPr>
      <w:r>
        <w:rPr>
          <w:rFonts w:ascii="Arial" w:cs="Arial" w:eastAsia="Arial" w:hAnsi="Arial"/>
          <w:color w:val="1A1A1A"/>
          <w:sz w:val="22"/>
          <w:szCs w:val="22"/>
        </w:rPr>
        <w:t xml:space="preserve">Le French PPA Model évalue et optimise la stratégie d'approvisionnement en électricité renouvelable d'un industriel français raccordé en haute tension (HTB). Il simule heure par heure, sur 20 ans, la production ENR, le prix EPEX Spot, le TURPE HTB et les clauses contractuelles avancées, puis calcule la VAN des économies réalisées par rapport au réseau.</w:t>
      </w:r>
    </w:p>
    <w:p>
      <w:pPr>
        <w:spacing w:after="80"/>
      </w:pPr>
      <w:r>
        <w:rPr>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600"/>
        <w:gridCol w:w="4600"/>
      </w:tblGrid>
      <w:tr>
        <w:trPr>
          <w:tblHeader/>
        </w:trPr>
        <w:tc>
          <w:tcPr>
            <w:tcW w:type="dxa" w:w="46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00"/>
            </w:tcMar>
            <w:vAlign w:val="top"/>
          </w:tcPr>
          <w:p>
            <w:pPr>
              <w:spacing w:after="0"/>
            </w:pPr>
            <w:r>
              <w:rPr>
                <w:rFonts w:ascii="Arial" w:cs="Arial" w:eastAsia="Arial" w:hAnsi="Arial"/>
                <w:b/>
                <w:bCs/>
                <w:color w:val="FFFFFF"/>
                <w:sz w:val="20"/>
                <w:szCs w:val="20"/>
              </w:rPr>
              <w:t xml:space="preserve">Ce que le modèle fait</w:t>
            </w:r>
          </w:p>
        </w:tc>
        <w:tc>
          <w:tcPr>
            <w:tcW w:type="dxa" w:w="46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00"/>
            </w:tcMar>
            <w:vAlign w:val="top"/>
          </w:tcPr>
          <w:p>
            <w:pPr>
              <w:spacing w:after="0"/>
            </w:pPr>
            <w:r>
              <w:rPr>
                <w:rFonts w:ascii="Arial" w:cs="Arial" w:eastAsia="Arial" w:hAnsi="Arial"/>
                <w:b/>
                <w:bCs/>
                <w:color w:val="FFFFFF"/>
                <w:sz w:val="20"/>
                <w:szCs w:val="20"/>
              </w:rPr>
              <w:t xml:space="preserve">Ce que le modèle ne fait pas</w:t>
            </w:r>
          </w:p>
        </w:tc>
      </w:tr>
      <w:tr>
        <w:tc>
          <w:tcPr>
            <w:tcW w:type="dxa" w:w="4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60"/>
            </w:pPr>
            <w:r>
              <w:rPr>
                <w:rFonts w:ascii="Arial" w:cs="Arial" w:eastAsia="Arial" w:hAnsi="Arial"/>
                <w:b/>
                <w:bCs/>
                <w:color w:val="375623"/>
                <w:sz w:val="22"/>
                <w:szCs w:val="22"/>
              </w:rPr>
              <w:t xml:space="preserve">✔ </w:t>
            </w:r>
            <w:r>
              <w:rPr>
                <w:rFonts w:ascii="Arial" w:cs="Arial" w:eastAsia="Arial" w:hAnsi="Arial"/>
                <w:sz w:val="22"/>
                <w:szCs w:val="22"/>
              </w:rPr>
              <w:t xml:space="preserve">Screener les sites solaires/éoliens (capture rate, corrélation, LCOE)</w:t>
            </w:r>
          </w:p>
          <w:p>
            <w:pPr>
              <w:spacing w:after="60"/>
            </w:pPr>
            <w:r>
              <w:rPr>
                <w:rFonts w:ascii="Arial" w:cs="Arial" w:eastAsia="Arial" w:hAnsi="Arial"/>
                <w:b/>
                <w:bCs/>
                <w:color w:val="375623"/>
                <w:sz w:val="22"/>
                <w:szCs w:val="22"/>
              </w:rPr>
              <w:t xml:space="preserve">✔ </w:t>
            </w:r>
            <w:r>
              <w:rPr>
                <w:rFonts w:ascii="Arial" w:cs="Arial" w:eastAsia="Arial" w:hAnsi="Arial"/>
                <w:sz w:val="22"/>
                <w:szCs w:val="22"/>
              </w:rPr>
              <w:t xml:space="preserve">Optimiser le mix PPA par LP scipy : MW, prix, couverture cible</w:t>
            </w:r>
          </w:p>
          <w:p>
            <w:pPr>
              <w:spacing w:after="60"/>
            </w:pPr>
            <w:r>
              <w:rPr>
                <w:rFonts w:ascii="Arial" w:cs="Arial" w:eastAsia="Arial" w:hAnsi="Arial"/>
                <w:b/>
                <w:bCs/>
                <w:color w:val="375623"/>
                <w:sz w:val="22"/>
                <w:szCs w:val="22"/>
              </w:rPr>
              <w:t xml:space="preserve">✔ </w:t>
            </w:r>
            <w:r>
              <w:rPr>
                <w:rFonts w:ascii="Arial" w:cs="Arial" w:eastAsia="Arial" w:hAnsi="Arial"/>
                <w:sz w:val="22"/>
                <w:szCs w:val="22"/>
              </w:rPr>
              <w:t xml:space="preserve">6 structures contractuelles : fixed, collar, indexed_spot, floor_only...</w:t>
            </w:r>
          </w:p>
          <w:p>
            <w:pPr>
              <w:spacing w:after="60"/>
            </w:pPr>
            <w:r>
              <w:rPr>
                <w:rFonts w:ascii="Arial" w:cs="Arial" w:eastAsia="Arial" w:hAnsi="Arial"/>
                <w:b/>
                <w:bCs/>
                <w:color w:val="375623"/>
                <w:sz w:val="22"/>
                <w:szCs w:val="22"/>
              </w:rPr>
              <w:t xml:space="preserve">✔ </w:t>
            </w:r>
            <w:r>
              <w:rPr>
                <w:rFonts w:ascii="Arial" w:cs="Arial" w:eastAsia="Arial" w:hAnsi="Arial"/>
                <w:sz w:val="22"/>
                <w:szCs w:val="22"/>
              </w:rPr>
              <w:t xml:space="preserve">Cashflow 20 ans : VAN, payback, IRR</w:t>
            </w:r>
          </w:p>
          <w:p>
            <w:pPr>
              <w:spacing w:after="0"/>
            </w:pPr>
            <w:r>
              <w:rPr>
                <w:rFonts w:ascii="Arial" w:cs="Arial" w:eastAsia="Arial" w:hAnsi="Arial"/>
                <w:b/>
                <w:bCs/>
                <w:color w:val="375623"/>
                <w:sz w:val="22"/>
                <w:szCs w:val="22"/>
              </w:rPr>
              <w:t xml:space="preserve">✔ </w:t>
            </w:r>
            <w:r>
              <w:rPr>
                <w:rFonts w:ascii="Arial" w:cs="Arial" w:eastAsia="Arial" w:hAnsi="Arial"/>
                <w:sz w:val="22"/>
                <w:szCs w:val="22"/>
              </w:rPr>
              <w:t xml:space="preserve">Interface Streamlit 5 pages + Data Explorer 9 onglets</w:t>
            </w:r>
          </w:p>
        </w:tc>
        <w:tc>
          <w:tcPr>
            <w:tcW w:type="dxa" w:w="4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60"/>
            </w:pPr>
            <w:r>
              <w:rPr>
                <w:rFonts w:ascii="Arial" w:cs="Arial" w:eastAsia="Arial" w:hAnsi="Arial"/>
                <w:b/>
                <w:bCs/>
                <w:color w:val="C55A11"/>
                <w:sz w:val="22"/>
                <w:szCs w:val="22"/>
              </w:rPr>
              <w:t xml:space="preserve">✘ </w:t>
            </w:r>
            <w:r>
              <w:rPr>
                <w:rFonts w:ascii="Arial" w:cs="Arial" w:eastAsia="Arial" w:hAnsi="Arial"/>
                <w:sz w:val="22"/>
                <w:szCs w:val="22"/>
              </w:rPr>
              <w:t xml:space="preserve">Dimensionnement raccordement réseau (RTE/ENEDIS)</w:t>
            </w:r>
          </w:p>
          <w:p>
            <w:pPr>
              <w:spacing w:after="60"/>
            </w:pPr>
            <w:r>
              <w:rPr>
                <w:rFonts w:ascii="Arial" w:cs="Arial" w:eastAsia="Arial" w:hAnsi="Arial"/>
                <w:b/>
                <w:bCs/>
                <w:color w:val="C55A11"/>
                <w:sz w:val="22"/>
                <w:szCs w:val="22"/>
              </w:rPr>
              <w:t xml:space="preserve">✘ </w:t>
            </w:r>
            <w:r>
              <w:rPr>
                <w:rFonts w:ascii="Arial" w:cs="Arial" w:eastAsia="Arial" w:hAnsi="Arial"/>
                <w:sz w:val="22"/>
                <w:szCs w:val="22"/>
              </w:rPr>
              <w:t xml:space="preserve">Valorisation des flexibilités et marchés de balancing</w:t>
            </w:r>
          </w:p>
          <w:p>
            <w:pPr>
              <w:spacing w:after="60"/>
            </w:pPr>
            <w:r>
              <w:rPr>
                <w:rFonts w:ascii="Arial" w:cs="Arial" w:eastAsia="Arial" w:hAnsi="Arial"/>
                <w:b/>
                <w:bCs/>
                <w:color w:val="C55A11"/>
                <w:sz w:val="22"/>
                <w:szCs w:val="22"/>
              </w:rPr>
              <w:t xml:space="preserve">✘ </w:t>
            </w:r>
            <w:r>
              <w:rPr>
                <w:rFonts w:ascii="Arial" w:cs="Arial" w:eastAsia="Arial" w:hAnsi="Arial"/>
                <w:sz w:val="22"/>
                <w:szCs w:val="22"/>
              </w:rPr>
              <w:t xml:space="preserve">Prix forward au-delà des scénarios RTE FE 2050</w:t>
            </w:r>
          </w:p>
          <w:p>
            <w:pPr>
              <w:spacing w:after="0"/>
            </w:pPr>
            <w:r>
              <w:rPr>
                <w:rFonts w:ascii="Arial" w:cs="Arial" w:eastAsia="Arial" w:hAnsi="Arial"/>
                <w:b/>
                <w:bCs/>
                <w:color w:val="C55A11"/>
                <w:sz w:val="22"/>
                <w:szCs w:val="22"/>
              </w:rPr>
              <w:t xml:space="preserve">✘ </w:t>
            </w:r>
            <w:r>
              <w:rPr>
                <w:rFonts w:ascii="Arial" w:cs="Arial" w:eastAsia="Arial" w:hAnsi="Arial"/>
                <w:sz w:val="22"/>
                <w:szCs w:val="22"/>
              </w:rPr>
              <w:t xml:space="preserve">Conseil juridique — à valider avec un juriste énergie</w:t>
            </w:r>
          </w:p>
        </w:tc>
      </w:tr>
    </w:tbl>
    <w:p>
      <w:pPr>
        <w:spacing w:after="160"/>
      </w:pPr>
      <w:r>
        <w:rPr>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200"/>
      </w:tblGrid>
      <w:tr>
        <w:tc>
          <w:tcPr>
            <w:tcBorders>
              <w:top w:val="single" w:color="CCCCCC" w:sz="1"/>
              <w:left w:val="single" w:color="2E75B6" w:sz="12"/>
              <w:bottom w:val="single" w:color="CCCCCC" w:sz="1"/>
              <w:right w:val="single" w:color="CCCCCC" w:sz="1"/>
            </w:tcBorders>
            <w:shd w:fill="EBF3FA" w:val="clear"/>
            <w:tcMar>
              <w:top w:type="dxa" w:w="120"/>
              <w:left w:type="dxa" w:w="180"/>
              <w:bottom w:type="dxa" w:w="120"/>
              <w:right w:type="dxa" w:w="140"/>
            </w:tcMar>
          </w:tcPr>
          <w:p>
            <w:pPr>
              <w:spacing w:after="0"/>
            </w:pPr>
            <w:r>
              <w:rPr>
                <w:rFonts w:ascii="Arial" w:cs="Arial" w:eastAsia="Arial" w:hAnsi="Arial"/>
                <w:b/>
                <w:bCs/>
                <w:color w:val="2E75B6"/>
                <w:sz w:val="22"/>
                <w:szCs w:val="22"/>
              </w:rPr>
              <w:t xml:space="preserve">ℹ️  </w:t>
            </w:r>
            <w:r>
              <w:rPr>
                <w:rFonts w:ascii="Arial" w:cs="Arial" w:eastAsia="Arial" w:hAnsi="Arial"/>
                <w:color w:val="1A1A1A"/>
                <w:sz w:val="21"/>
                <w:szCs w:val="21"/>
              </w:rPr>
              <w:t xml:space="preserve">Ce modèle est une réécriture complète du modèle PPA coréen (SK/Samsung). La migration Corée → France est totale : devise EUR native, TURPE HTB au lieu de KEPCO, EPEX Spot au lieu du SMP, GOs au lieu des RECs, FranceGridUtils.py au lieu de KEPCOutils.py. Les fichiers de patch (ppamodule_france_adaptations.py, KEPCO_france.xlsx) n'existent plus.</w:t>
            </w:r>
          </w:p>
        </w:tc>
      </w:tr>
    </w:tbl>
    <w:p>
      <w:pPr>
        <w:pStyle w:val="Heading1"/>
        <w:pBdr>
          <w:bottom w:val="single" w:color="2E75B6" w:sz="6" w:space="4"/>
        </w:pBdr>
        <w:spacing w:before="400" w:after="160"/>
      </w:pPr>
      <w:r>
        <w:rPr>
          <w:rFonts w:ascii="Arial" w:cs="Arial" w:eastAsia="Arial" w:hAnsi="Arial"/>
          <w:b/>
          <w:bCs/>
          <w:color w:val="1F3864"/>
          <w:sz w:val="36"/>
          <w:szCs w:val="36"/>
        </w:rPr>
        <w:t xml:space="preserve">2. Fichiers du projet</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300"/>
        <w:gridCol w:w="4600"/>
        <w:gridCol w:w="1000"/>
        <w:gridCol w:w="1300"/>
      </w:tblGrid>
      <w:tr>
        <w:trPr>
          <w:tblHeader/>
        </w:trPr>
        <w:tc>
          <w:tcPr>
            <w:tcW w:type="dxa" w:w="230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00"/>
            </w:tcMar>
            <w:vAlign w:val="top"/>
          </w:tcPr>
          <w:p>
            <w:pPr>
              <w:spacing w:after="0"/>
            </w:pPr>
            <w:r>
              <w:rPr>
                <w:rFonts w:ascii="Arial" w:cs="Arial" w:eastAsia="Arial" w:hAnsi="Arial"/>
                <w:b/>
                <w:bCs/>
                <w:color w:val="FFFFFF"/>
                <w:sz w:val="20"/>
                <w:szCs w:val="20"/>
              </w:rPr>
              <w:t xml:space="preserve">Fichier</w:t>
            </w:r>
          </w:p>
        </w:tc>
        <w:tc>
          <w:tcPr>
            <w:tcW w:type="dxa" w:w="460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00"/>
            </w:tcMar>
            <w:vAlign w:val="top"/>
          </w:tcPr>
          <w:p>
            <w:pPr>
              <w:spacing w:after="0"/>
            </w:pPr>
            <w:r>
              <w:rPr>
                <w:rFonts w:ascii="Arial" w:cs="Arial" w:eastAsia="Arial" w:hAnsi="Arial"/>
                <w:b/>
                <w:bCs/>
                <w:color w:val="FFFFFF"/>
                <w:sz w:val="20"/>
                <w:szCs w:val="20"/>
              </w:rPr>
              <w:t xml:space="preserve">Rôle</w:t>
            </w:r>
          </w:p>
        </w:tc>
        <w:tc>
          <w:tcPr>
            <w:tcW w:type="dxa" w:w="100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00"/>
            </w:tcMar>
            <w:vAlign w:val="top"/>
          </w:tcPr>
          <w:p>
            <w:pPr>
              <w:spacing w:after="0"/>
            </w:pPr>
            <w:r>
              <w:rPr>
                <w:rFonts w:ascii="Arial" w:cs="Arial" w:eastAsia="Arial" w:hAnsi="Arial"/>
                <w:b/>
                <w:bCs/>
                <w:color w:val="FFFFFF"/>
                <w:sz w:val="20"/>
                <w:szCs w:val="20"/>
              </w:rPr>
              <w:t xml:space="preserve">Lignes</w:t>
            </w:r>
          </w:p>
        </w:tc>
        <w:tc>
          <w:tcPr>
            <w:tcW w:type="dxa" w:w="130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00"/>
            </w:tcMar>
            <w:vAlign w:val="top"/>
          </w:tcPr>
          <w:p>
            <w:pPr>
              <w:spacing w:after="0"/>
            </w:pPr>
            <w:r>
              <w:rPr>
                <w:rFonts w:ascii="Arial" w:cs="Arial" w:eastAsia="Arial" w:hAnsi="Arial"/>
                <w:b/>
                <w:bCs/>
                <w:color w:val="FFFFFF"/>
                <w:sz w:val="20"/>
                <w:szCs w:val="20"/>
              </w:rPr>
              <w:t xml:space="preserve">Statut</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app.py</w:t>
            </w:r>
          </w:p>
        </w:tc>
        <w:tc>
          <w:tcPr>
            <w:tcW w:type="dxa" w:w="4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Interface Streamlit — 5 pages : Accueil · Data Explorer · Scénario &amp; Calcul · Résultats · Carte GIS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1 522</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 Livré</w:t>
            </w:r>
          </w:p>
        </w:tc>
      </w:tr>
      <w:tr>
        <w:tc>
          <w:tcPr>
            <w:tcW w:type="dxa" w:w="23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ppamodule.py</w:t>
            </w:r>
          </w:p>
        </w:tc>
        <w:tc>
          <w:tcPr>
            <w:tcW w:type="dxa" w:w="4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Moteur de calcul : load_scenario, optimize_ppa_mix, compute_ppa_settlement, run_npv_cashflow, run_model</w:t>
            </w:r>
          </w:p>
        </w:tc>
        <w:tc>
          <w:tcPr>
            <w:tcW w:type="dxa" w:w="1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1 289</w:t>
            </w:r>
          </w:p>
        </w:tc>
        <w:tc>
          <w:tcPr>
            <w:tcW w:type="dxa" w:w="13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 Livré</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FranceGridUtils.py</w:t>
            </w:r>
          </w:p>
        </w:tc>
        <w:tc>
          <w:tcPr>
            <w:tcW w:type="dxa" w:w="4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8 modules : TURPE HTB · profil réseau · métriques sites · capture price · screening · dispatch LP BESS · GO · grid info</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1 023</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 Livré</w:t>
            </w:r>
          </w:p>
        </w:tc>
      </w:tr>
      <w:tr>
        <w:tc>
          <w:tcPr>
            <w:tcW w:type="dxa" w:w="23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download_france_data.py</w:t>
            </w:r>
          </w:p>
        </w:tc>
        <w:tc>
          <w:tcPr>
            <w:tcW w:type="dxa" w:w="4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Téléchargement : PVGIS (10 sites) · ERA5 (10 zones) · EPEX ODRE · grid_france.csv · capture_rates.db</w:t>
            </w:r>
          </w:p>
        </w:tc>
        <w:tc>
          <w:tcPr>
            <w:tcW w:type="dxa" w:w="1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944</w:t>
            </w:r>
          </w:p>
        </w:tc>
        <w:tc>
          <w:tcPr>
            <w:tcW w:type="dxa" w:w="13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 Livré</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build_land_grid.py</w:t>
            </w:r>
          </w:p>
        </w:tc>
        <w:tc>
          <w:tcPr>
            <w:tcW w:type="dxa" w:w="4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GIS foncier : RPG IGN · DVF · INPN · carte Leaflet. On-site uniquement.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~600</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 Livré</w:t>
            </w:r>
          </w:p>
        </w:tc>
      </w:tr>
      <w:tr>
        <w:tc>
          <w:tcPr>
            <w:tcW w:type="dxa" w:w="23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explore_ppa_data_france.ipynb</w:t>
            </w:r>
          </w:p>
        </w:tc>
        <w:tc>
          <w:tcPr>
            <w:tcW w:type="dxa" w:w="4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Notebook d'exploration — répliqué dans Data Explorer Streamlit.</w:t>
            </w:r>
          </w:p>
        </w:tc>
        <w:tc>
          <w:tcPr>
            <w:tcW w:type="dxa" w:w="1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 Livré</w:t>
            </w:r>
          </w:p>
        </w:tc>
      </w:tr>
    </w:tbl>
    <w:p>
      <w:pPr>
        <w:spacing w:after="160"/>
      </w:pPr>
      <w:r>
        <w:rPr>
          <w:sz w:val="22"/>
          <w:szCs w:val="22"/>
        </w:rPr>
        <w:t xml:space="preserve"/>
      </w:r>
    </w:p>
    <w:p>
      <w:pPr>
        <w:pStyle w:val="Heading2"/>
        <w:spacing w:before="280" w:after="100"/>
      </w:pPr>
      <w:r>
        <w:rPr>
          <w:rFonts w:ascii="Arial" w:cs="Arial" w:eastAsia="Arial" w:hAnsi="Arial"/>
          <w:b/>
          <w:bCs/>
          <w:color w:val="2E75B6"/>
          <w:sz w:val="28"/>
          <w:szCs w:val="28"/>
        </w:rPr>
        <w:t xml:space="preserve">2.1 Répertoire database/</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600"/>
        <w:gridCol w:w="4000"/>
        <w:gridCol w:w="260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00"/>
            </w:tcMar>
            <w:vAlign w:val="top"/>
          </w:tcPr>
          <w:p>
            <w:pPr>
              <w:spacing w:after="0"/>
            </w:pPr>
            <w:r>
              <w:rPr>
                <w:rFonts w:ascii="Arial" w:cs="Arial" w:eastAsia="Arial" w:hAnsi="Arial"/>
                <w:b/>
                <w:bCs/>
                <w:color w:val="FFFFFF"/>
                <w:sz w:val="20"/>
                <w:szCs w:val="20"/>
              </w:rPr>
              <w:t xml:space="preserve">Fichier</w:t>
            </w:r>
          </w:p>
        </w:tc>
        <w:tc>
          <w:tcPr>
            <w:tcW w:type="dxa" w:w="40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00"/>
            </w:tcMar>
            <w:vAlign w:val="top"/>
          </w:tcPr>
          <w:p>
            <w:pPr>
              <w:spacing w:after="0"/>
            </w:pPr>
            <w:r>
              <w:rPr>
                <w:rFonts w:ascii="Arial" w:cs="Arial" w:eastAsia="Arial" w:hAnsi="Arial"/>
                <w:b/>
                <w:bCs/>
                <w:color w:val="FFFFFF"/>
                <w:sz w:val="20"/>
                <w:szCs w:val="20"/>
              </w:rPr>
              <w:t xml:space="preserve">Contenu</w:t>
            </w:r>
          </w:p>
        </w:tc>
        <w:tc>
          <w:tcPr>
            <w:tcW w:type="dxa" w:w="26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00"/>
            </w:tcMar>
            <w:vAlign w:val="top"/>
          </w:tcPr>
          <w:p>
            <w:pPr>
              <w:spacing w:after="0"/>
            </w:pPr>
            <w:r>
              <w:rPr>
                <w:rFonts w:ascii="Arial" w:cs="Arial" w:eastAsia="Arial" w:hAnsi="Arial"/>
                <w:b/>
                <w:bCs/>
                <w:color w:val="FFFFFF"/>
                <w:sz w:val="20"/>
                <w:szCs w:val="20"/>
              </w:rPr>
              <w:t xml:space="preserve">Généré par</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grid_france.csv</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Trajectoires CAPEX ENR · CO2 · ENR share · EPEX moyen 2023→2050</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download_france_data.py</w:t>
            </w:r>
          </w:p>
        </w:tc>
      </w:tr>
      <w:tr>
        <w:tc>
          <w:tcPr>
            <w:tcW w:type="dxa" w:w="2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TURPE_france.xlsx</w:t>
            </w:r>
          </w:p>
        </w:tc>
        <w:tc>
          <w:tcPr>
            <w:tcW w:type="dxa" w:w="4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Tarifs TURPE 6 HTB — délibération CRE n°2024-121 (+4,99 %, nov. 2024)</w:t>
            </w:r>
          </w:p>
        </w:tc>
        <w:tc>
          <w:tcPr>
            <w:tcW w:type="dxa" w:w="2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Manuel — CRE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wind_grid_france.xlsx</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30 parcs éoliens offshore + onshore, France entière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download_france_data.py</w:t>
            </w:r>
          </w:p>
        </w:tc>
      </w:tr>
      <w:tr>
        <w:tc>
          <w:tcPr>
            <w:tcW w:type="dxa" w:w="2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solar_patterns.db</w:t>
            </w:r>
          </w:p>
        </w:tc>
        <w:tc>
          <w:tcPr>
            <w:tcW w:type="dxa" w:w="4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Profils PV horaires — 10 sites PVGIS (ou synthétiques)</w:t>
            </w:r>
          </w:p>
        </w:tc>
        <w:tc>
          <w:tcPr>
            <w:tcW w:type="dxa" w:w="2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download_france_data.py</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wind_patterns.db</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Profils éoliens horaires — 10 zones ERA5 (ou synthétiques)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download_france_data.py</w:t>
            </w:r>
          </w:p>
        </w:tc>
      </w:tr>
      <w:tr>
        <w:tc>
          <w:tcPr>
            <w:tcW w:type="dxa" w:w="2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load_patterns.db</w:t>
            </w:r>
          </w:p>
        </w:tc>
        <w:tc>
          <w:tcPr>
            <w:tcW w:type="dxa" w:w="4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4 profils de charge : sidérurgie · chimie · papier · agroalim</w:t>
            </w:r>
          </w:p>
        </w:tc>
        <w:tc>
          <w:tcPr>
            <w:tcW w:type="dxa" w:w="2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download_france_data.py</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epex_profiles.db</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Prix EPEX DA horaires — cache SQLite (ODRE ou synthétique)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download_france_data.py</w:t>
            </w:r>
          </w:p>
        </w:tc>
      </w:tr>
      <w:tr>
        <w:tc>
          <w:tcPr>
            <w:tcW w:type="dxa" w:w="2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capture_rates.db</w:t>
            </w:r>
          </w:p>
        </w:tc>
        <w:tc>
          <w:tcPr>
            <w:tcW w:type="dxa" w:w="4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Capture rates précalculés par site et technologie</w:t>
            </w:r>
          </w:p>
        </w:tc>
        <w:tc>
          <w:tcPr>
            <w:tcW w:type="dxa" w:w="2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download_france_data.py</w:t>
            </w:r>
          </w:p>
        </w:tc>
      </w:tr>
    </w:tbl>
    <w:p>
      <w:r>
        <w:br w:type="page"/>
      </w:r>
    </w:p>
    <w:p>
      <w:pPr>
        <w:pStyle w:val="Heading1"/>
        <w:pBdr>
          <w:bottom w:val="single" w:color="2E75B6" w:sz="6" w:space="4"/>
        </w:pBdr>
        <w:spacing w:before="400" w:after="160"/>
      </w:pPr>
      <w:r>
        <w:rPr>
          <w:rFonts w:ascii="Arial" w:cs="Arial" w:eastAsia="Arial" w:hAnsi="Arial"/>
          <w:b/>
          <w:bCs/>
          <w:color w:val="1F3864"/>
          <w:sz w:val="36"/>
          <w:szCs w:val="36"/>
        </w:rPr>
        <w:t xml:space="preserve">3. Installation et démarrage</w:t>
      </w:r>
    </w:p>
    <w:p>
      <w:pPr>
        <w:pStyle w:val="Heading2"/>
        <w:spacing w:before="280" w:after="100"/>
      </w:pPr>
      <w:r>
        <w:rPr>
          <w:rFonts w:ascii="Arial" w:cs="Arial" w:eastAsia="Arial" w:hAnsi="Arial"/>
          <w:b/>
          <w:bCs/>
          <w:color w:val="2E75B6"/>
          <w:sz w:val="28"/>
          <w:szCs w:val="28"/>
        </w:rPr>
        <w:t xml:space="preserve">3.1 Dépendances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200"/>
      </w:tblGrid>
      <w:tr>
        <w:tc>
          <w:tcPr>
            <w:tcBorders>
              <w:top w:val="single" w:color="CCCCCC" w:sz="1"/>
              <w:left w:val="single" w:color="2E75B6" w:sz="8"/>
              <w:bottom w:val="single" w:color="CCCCCC" w:sz="1"/>
              <w:right w:val="single" w:color="CCCCCC" w:sz="1"/>
            </w:tcBorders>
            <w:shd w:fill="F0F4F8" w:val="clear"/>
            <w:tcMar>
              <w:top w:type="dxa" w:w="120"/>
              <w:left w:type="dxa" w:w="180"/>
              <w:bottom w:type="dxa" w:w="120"/>
              <w:right w:type="dxa" w:w="120"/>
            </w:tcMar>
          </w:tcPr>
          <w:p>
            <w:pPr>
              <w:spacing w:after="0"/>
            </w:pPr>
            <w:r>
              <w:rPr>
                <w:rFonts w:ascii="Courier New" w:cs="Courier New" w:eastAsia="Courier New" w:hAnsi="Courier New"/>
                <w:color w:val="1A1A1A"/>
                <w:sz w:val="19"/>
                <w:szCs w:val="19"/>
              </w:rPr>
              <w:t xml:space="preserve"># Obligatoires
pip install pandas numpy scipy plotly streamlit openpyxl requests
# Pour build_land_grid.py uniquement
pip install geopandas shapely</w:t>
            </w:r>
          </w:p>
        </w:tc>
      </w:tr>
    </w:tbl>
    <w:p>
      <w:pPr>
        <w:pStyle w:val="Heading2"/>
        <w:spacing w:before="280" w:after="100"/>
      </w:pPr>
      <w:r>
        <w:rPr>
          <w:rFonts w:ascii="Arial" w:cs="Arial" w:eastAsia="Arial" w:hAnsi="Arial"/>
          <w:b/>
          <w:bCs/>
          <w:color w:val="2E75B6"/>
          <w:sz w:val="28"/>
          <w:szCs w:val="28"/>
        </w:rPr>
        <w:t xml:space="preserve">3.2 Mode offline — démarrage immédiat</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200"/>
      </w:tblGrid>
      <w:tr>
        <w:tc>
          <w:tcPr>
            <w:tcBorders>
              <w:top w:val="single" w:color="CCCCCC" w:sz="1"/>
              <w:left w:val="single" w:color="2E75B6" w:sz="8"/>
              <w:bottom w:val="single" w:color="CCCCCC" w:sz="1"/>
              <w:right w:val="single" w:color="CCCCCC" w:sz="1"/>
            </w:tcBorders>
            <w:shd w:fill="F0F4F8" w:val="clear"/>
            <w:tcMar>
              <w:top w:type="dxa" w:w="120"/>
              <w:left w:type="dxa" w:w="180"/>
              <w:bottom w:type="dxa" w:w="120"/>
              <w:right w:type="dxa" w:w="120"/>
            </w:tcMar>
          </w:tcPr>
          <w:p>
            <w:pPr>
              <w:spacing w:after="0"/>
            </w:pPr>
            <w:r>
              <w:rPr>
                <w:rFonts w:ascii="Courier New" w:cs="Courier New" w:eastAsia="Courier New" w:hAnsi="Courier New"/>
                <w:color w:val="1A1A1A"/>
                <w:sz w:val="19"/>
                <w:szCs w:val="19"/>
              </w:rPr>
              <w:t xml:space="preserve"># Étape 1 : générer les données synthétiques (~10 sec)
python download_france_data.py --offline
# Étape 2 : lancer Streamlit
streamlit run app.py   →   http://localhost:8501</w:t>
            </w:r>
          </w:p>
        </w:tc>
      </w:tr>
    </w:tbl>
    <w:p>
      <w:pPr>
        <w:pStyle w:val="Heading2"/>
        <w:spacing w:before="280" w:after="100"/>
      </w:pPr>
      <w:r>
        <w:rPr>
          <w:rFonts w:ascii="Arial" w:cs="Arial" w:eastAsia="Arial" w:hAnsi="Arial"/>
          <w:b/>
          <w:bCs/>
          <w:color w:val="2E75B6"/>
          <w:sz w:val="28"/>
          <w:szCs w:val="28"/>
        </w:rPr>
        <w:t xml:space="preserve">3.3 Mode réel — données APIs (~10-15 min)</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200"/>
      </w:tblGrid>
      <w:tr>
        <w:tc>
          <w:tcPr>
            <w:tcBorders>
              <w:top w:val="single" w:color="CCCCCC" w:sz="1"/>
              <w:left w:val="single" w:color="2E75B6" w:sz="8"/>
              <w:bottom w:val="single" w:color="CCCCCC" w:sz="1"/>
              <w:right w:val="single" w:color="CCCCCC" w:sz="1"/>
            </w:tcBorders>
            <w:shd w:fill="F0F4F8" w:val="clear"/>
            <w:tcMar>
              <w:top w:type="dxa" w:w="120"/>
              <w:left w:type="dxa" w:w="180"/>
              <w:bottom w:type="dxa" w:w="120"/>
              <w:right w:type="dxa" w:w="120"/>
            </w:tcMar>
          </w:tcPr>
          <w:p>
            <w:pPr>
              <w:spacing w:after="0"/>
            </w:pPr>
            <w:r>
              <w:rPr>
                <w:rFonts w:ascii="Courier New" w:cs="Courier New" w:eastAsia="Courier New" w:hAnsi="Courier New"/>
                <w:color w:val="1A1A1A"/>
                <w:sz w:val="19"/>
                <w:szCs w:val="19"/>
              </w:rPr>
              <w:t xml:space="preserve">python download_france_data.py
# Options
python download_france_data.py --lat 50.93 --lon 2.38
python download_france_data.py --year 2021
python download_france_data.py --epex epex_2024.csv</w:t>
            </w:r>
          </w:p>
        </w:tc>
      </w:tr>
    </w:tbl>
    <w:p>
      <w:pPr>
        <w:pStyle w:val="Heading2"/>
        <w:spacing w:before="280" w:after="100"/>
      </w:pPr>
      <w:r>
        <w:rPr>
          <w:rFonts w:ascii="Arial" w:cs="Arial" w:eastAsia="Arial" w:hAnsi="Arial"/>
          <w:b/>
          <w:bCs/>
          <w:color w:val="2E75B6"/>
          <w:sz w:val="28"/>
          <w:szCs w:val="28"/>
        </w:rPr>
        <w:t xml:space="preserve">3.4 Calcul depuis Python</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200"/>
      </w:tblGrid>
      <w:tr>
        <w:tc>
          <w:tcPr>
            <w:tcBorders>
              <w:top w:val="single" w:color="CCCCCC" w:sz="1"/>
              <w:left w:val="single" w:color="2E75B6" w:sz="8"/>
              <w:bottom w:val="single" w:color="CCCCCC" w:sz="1"/>
              <w:right w:val="single" w:color="CCCCCC" w:sz="1"/>
            </w:tcBorders>
            <w:shd w:fill="F0F4F8" w:val="clear"/>
            <w:tcMar>
              <w:top w:type="dxa" w:w="120"/>
              <w:left w:type="dxa" w:w="180"/>
              <w:bottom w:type="dxa" w:w="120"/>
              <w:right w:type="dxa" w:w="120"/>
            </w:tcMar>
          </w:tcPr>
          <w:p>
            <w:pPr>
              <w:spacing w:after="0"/>
            </w:pPr>
            <w:r>
              <w:rPr>
                <w:rFonts w:ascii="Courier New" w:cs="Courier New" w:eastAsia="Courier New" w:hAnsi="Courier New"/>
                <w:color w:val="1A1A1A"/>
                <w:sz w:val="19"/>
                <w:szCs w:val="19"/>
              </w:rPr>
              <w:t xml:space="preserve">from ppamodule import run_model, compare_scenarios
results = run_model(
    xlsx_path='scenario_defaults.xlsx',
    scenario_col='PPA100_ArcelorMittal_MU',
    load_col='siderurgie',
)
print(f"VAN : {results['npv_eur']/1e6:.1f} M€  |  Payback : {results['payback_years']} ans")</w:t>
            </w:r>
          </w:p>
        </w:tc>
      </w:tr>
    </w:tbl>
    <w:p>
      <w:pPr>
        <w:pStyle w:val="Heading2"/>
        <w:spacing w:before="280" w:after="100"/>
      </w:pPr>
      <w:r>
        <w:rPr>
          <w:rFonts w:ascii="Arial" w:cs="Arial" w:eastAsia="Arial" w:hAnsi="Arial"/>
          <w:b/>
          <w:bCs/>
          <w:color w:val="2E75B6"/>
          <w:sz w:val="28"/>
          <w:szCs w:val="28"/>
        </w:rPr>
        <w:t xml:space="preserve">3.5 GIS foncier on-site (optionnel)</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200"/>
      </w:tblGrid>
      <w:tr>
        <w:tc>
          <w:tcPr>
            <w:tcBorders>
              <w:top w:val="single" w:color="CCCCCC" w:sz="1"/>
              <w:left w:val="single" w:color="2E75B6" w:sz="8"/>
              <w:bottom w:val="single" w:color="CCCCCC" w:sz="1"/>
              <w:right w:val="single" w:color="CCCCCC" w:sz="1"/>
            </w:tcBorders>
            <w:shd w:fill="F0F4F8" w:val="clear"/>
            <w:tcMar>
              <w:top w:type="dxa" w:w="120"/>
              <w:left w:type="dxa" w:w="180"/>
              <w:bottom w:type="dxa" w:w="120"/>
              <w:right w:type="dxa" w:w="120"/>
            </w:tcMar>
          </w:tcPr>
          <w:p>
            <w:pPr>
              <w:spacing w:after="0"/>
            </w:pPr>
            <w:r>
              <w:rPr>
                <w:rFonts w:ascii="Courier New" w:cs="Courier New" w:eastAsia="Courier New" w:hAnsi="Courier New"/>
                <w:color w:val="1A1A1A"/>
                <w:sz w:val="19"/>
                <w:szCs w:val="19"/>
              </w:rPr>
              <w:t xml:space="preserve">python build_land_grid.py --lat 50.93 --lon 2.38 --buffer 30
# → gisdata/db_semippa_auto.gpkg + .csv + _map.html</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200"/>
      </w:tblGrid>
      <w:tr>
        <w:tc>
          <w:tcPr>
            <w:tcBorders>
              <w:top w:val="single" w:color="CCCCCC" w:sz="1"/>
              <w:left w:val="single" w:color="2E75B6" w:sz="12"/>
              <w:bottom w:val="single" w:color="CCCCCC" w:sz="1"/>
              <w:right w:val="single" w:color="CCCCCC" w:sz="1"/>
            </w:tcBorders>
            <w:shd w:fill="F4F4F4" w:val="clear"/>
            <w:tcMar>
              <w:top w:type="dxa" w:w="120"/>
              <w:left w:type="dxa" w:w="180"/>
              <w:bottom w:type="dxa" w:w="120"/>
              <w:right w:type="dxa" w:w="140"/>
            </w:tcMar>
          </w:tcPr>
          <w:p>
            <w:pPr>
              <w:spacing w:after="0"/>
            </w:pPr>
            <w:r>
              <w:rPr>
                <w:rFonts w:ascii="Arial" w:cs="Arial" w:eastAsia="Arial" w:hAnsi="Arial"/>
                <w:b/>
                <w:bCs/>
                <w:color w:val="2E75B6"/>
                <w:sz w:val="22"/>
                <w:szCs w:val="22"/>
              </w:rPr>
              <w:t xml:space="preserve">ℹ️  </w:t>
            </w:r>
            <w:r>
              <w:rPr>
                <w:rFonts w:ascii="Arial" w:cs="Arial" w:eastAsia="Arial" w:hAnsi="Arial"/>
                <w:color w:val="1A1A1A"/>
                <w:sz w:val="21"/>
                <w:szCs w:val="21"/>
              </w:rPr>
              <w:t xml:space="preserve">build_land_grid.py n'est requis que pour les scénarios on-site. Pour tous les scénarios off-site, le modèle fonctionne sans données GIS.</w:t>
            </w:r>
          </w:p>
        </w:tc>
      </w:tr>
    </w:tbl>
    <w:p>
      <w:r>
        <w:br w:type="page"/>
      </w:r>
    </w:p>
    <w:p>
      <w:pPr>
        <w:pStyle w:val="Heading1"/>
        <w:pBdr>
          <w:bottom w:val="single" w:color="2E75B6" w:sz="6" w:space="4"/>
        </w:pBdr>
        <w:spacing w:before="400" w:after="160"/>
      </w:pPr>
      <w:r>
        <w:rPr>
          <w:rFonts w:ascii="Arial" w:cs="Arial" w:eastAsia="Arial" w:hAnsi="Arial"/>
          <w:b/>
          <w:bCs/>
          <w:color w:val="1F3864"/>
          <w:sz w:val="36"/>
          <w:szCs w:val="36"/>
        </w:rPr>
        <w:t xml:space="preserve">4. Données réelles recommandées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200"/>
        <w:gridCol w:w="1300"/>
        <w:gridCol w:w="3200"/>
        <w:gridCol w:w="25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00"/>
            </w:tcMar>
            <w:vAlign w:val="top"/>
          </w:tcPr>
          <w:p>
            <w:pPr>
              <w:spacing w:after="0"/>
            </w:pPr>
            <w:r>
              <w:rPr>
                <w:rFonts w:ascii="Arial" w:cs="Arial" w:eastAsia="Arial" w:hAnsi="Arial"/>
                <w:b/>
                <w:bCs/>
                <w:color w:val="FFFFFF"/>
                <w:sz w:val="20"/>
                <w:szCs w:val="20"/>
              </w:rPr>
              <w:t xml:space="preserve">Donnée</w:t>
            </w:r>
          </w:p>
        </w:tc>
        <w:tc>
          <w:tcPr>
            <w:tcW w:type="dxa" w:w="13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00"/>
            </w:tcMar>
            <w:vAlign w:val="top"/>
          </w:tcPr>
          <w:p>
            <w:pPr>
              <w:spacing w:after="0"/>
            </w:pPr>
            <w:r>
              <w:rPr>
                <w:rFonts w:ascii="Arial" w:cs="Arial" w:eastAsia="Arial" w:hAnsi="Arial"/>
                <w:b/>
                <w:bCs/>
                <w:color w:val="FFFFFF"/>
                <w:sz w:val="20"/>
                <w:szCs w:val="20"/>
              </w:rPr>
              <w:t xml:space="preserve">Priorité</w:t>
            </w:r>
          </w:p>
        </w:tc>
        <w:tc>
          <w:tcPr>
            <w:tcW w:type="dxa" w:w="32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00"/>
            </w:tcMar>
            <w:vAlign w:val="top"/>
          </w:tcPr>
          <w:p>
            <w:pPr>
              <w:spacing w:after="0"/>
            </w:pPr>
            <w:r>
              <w:rPr>
                <w:rFonts w:ascii="Arial" w:cs="Arial" w:eastAsia="Arial" w:hAnsi="Arial"/>
                <w:b/>
                <w:bCs/>
                <w:color w:val="FFFFFF"/>
                <w:sz w:val="20"/>
                <w:szCs w:val="20"/>
              </w:rPr>
              <w:t xml:space="preserve">Comment obtenir</w:t>
            </w:r>
          </w:p>
        </w:tc>
        <w:tc>
          <w:tcPr>
            <w:tcW w:type="dxa" w:w="25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00"/>
            </w:tcMar>
            <w:vAlign w:val="top"/>
          </w:tcPr>
          <w:p>
            <w:pPr>
              <w:spacing w:after="0"/>
            </w:pPr>
            <w:r>
              <w:rPr>
                <w:rFonts w:ascii="Arial" w:cs="Arial" w:eastAsia="Arial" w:hAnsi="Arial"/>
                <w:b/>
                <w:bCs/>
                <w:color w:val="FFFFFF"/>
                <w:sz w:val="20"/>
                <w:szCs w:val="20"/>
              </w:rPr>
              <w:t xml:space="preserve">Impact si synthétique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Courbe de charge client</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 Critique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Export ENEDIS (espace client) ou gestionnaire énergie. CSV datetime/MW.</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VAN et couverture charge non fiables</w:t>
            </w:r>
          </w:p>
        </w:tc>
      </w:tr>
      <w:tr>
        <w:tc>
          <w:tcPr>
            <w:tcW w:type="dxa" w:w="2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Prix EPEX Spot</w:t>
            </w:r>
          </w:p>
        </w:tc>
        <w:tc>
          <w:tcPr>
            <w:tcW w:type="dxa" w:w="13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 Haute</w:t>
            </w:r>
          </w:p>
        </w:tc>
        <w:tc>
          <w:tcPr>
            <w:tcW w:type="dxa" w:w="3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odre.opendatasoft.com → prix-spot-da-horaires. Option : --epex epex.csv</w:t>
            </w:r>
          </w:p>
        </w:tc>
        <w:tc>
          <w:tcPr>
            <w:tcW w:type="dxa" w:w="25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Capture rates et settlement approximatifs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eco2mix CO2 / ENR</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 Haute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odre.opendatasoft.com → eco2mix-national-cons-def. Colonnes taux_co2 et taux_enr.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Indicateurs ESG/Scope 2 approximatifs</w:t>
            </w:r>
          </w:p>
        </w:tc>
      </w:tr>
      <w:tr>
        <w:tc>
          <w:tcPr>
            <w:tcW w:type="dxa" w:w="2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Parcs éoliens additionnels</w:t>
            </w:r>
          </w:p>
        </w:tc>
        <w:tc>
          <w:tcPr>
            <w:tcW w:type="dxa" w:w="13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 Normale</w:t>
            </w:r>
          </w:p>
        </w:tc>
        <w:tc>
          <w:tcPr>
            <w:tcW w:type="dxa" w:w="3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Compléter wind_grid_france.xlsx via CRE AO 2021-2024, thewindpower.net</w:t>
            </w:r>
          </w:p>
        </w:tc>
        <w:tc>
          <w:tcPr>
            <w:tcW w:type="dxa" w:w="25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Mix PPA moins diversifié</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TURPE actualisé</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 Normale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Chaque 1er août : services-rte.com → Fiches tarifaires TURPE 6 HTB.</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Coût réseau sous-estimé</w:t>
            </w:r>
          </w:p>
        </w:tc>
      </w:tr>
    </w:tbl>
    <w:p>
      <w:pPr>
        <w:spacing w:after="160"/>
      </w:pPr>
      <w:r>
        <w:rPr>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200"/>
      </w:tblGrid>
      <w:tr>
        <w:tc>
          <w:tcPr>
            <w:tcBorders>
              <w:top w:val="single" w:color="CCCCCC" w:sz="1"/>
              <w:left w:val="single" w:color="C55A11" w:sz="12"/>
              <w:bottom w:val="single" w:color="CCCCCC" w:sz="1"/>
              <w:right w:val="single" w:color="CCCCCC" w:sz="1"/>
            </w:tcBorders>
            <w:shd w:fill="FCE4D6" w:val="clear"/>
            <w:tcMar>
              <w:top w:type="dxa" w:w="120"/>
              <w:left w:type="dxa" w:w="180"/>
              <w:bottom w:type="dxa" w:w="120"/>
              <w:right w:type="dxa" w:w="140"/>
            </w:tcMar>
          </w:tcPr>
          <w:p>
            <w:pPr>
              <w:spacing w:after="0"/>
            </w:pPr>
            <w:r>
              <w:rPr>
                <w:rFonts w:ascii="Arial" w:cs="Arial" w:eastAsia="Arial" w:hAnsi="Arial"/>
                <w:b/>
                <w:bCs/>
                <w:color w:val="C55A11"/>
                <w:sz w:val="22"/>
                <w:szCs w:val="22"/>
              </w:rPr>
              <w:t xml:space="preserve">⚠️  </w:t>
            </w:r>
            <w:r>
              <w:rPr>
                <w:rFonts w:ascii="Arial" w:cs="Arial" w:eastAsia="Arial" w:hAnsi="Arial"/>
                <w:color w:val="1A1A1A"/>
                <w:sz w:val="21"/>
                <w:szCs w:val="21"/>
              </w:rPr>
              <w:t xml:space="preserve">La courbe de charge client est le seul paramètre non synthétisable de façon fiable — chaque site industriel a un profil unique. C'est la priorité absolue avant toute analyse client sérieuse.</w:t>
            </w:r>
          </w:p>
        </w:tc>
      </w:tr>
    </w:tbl>
    <w:p>
      <w:pPr>
        <w:pStyle w:val="Heading1"/>
        <w:pBdr>
          <w:bottom w:val="single" w:color="2E75B6" w:sz="6" w:space="4"/>
        </w:pBdr>
        <w:spacing w:before="400" w:after="160"/>
      </w:pPr>
      <w:r>
        <w:rPr>
          <w:rFonts w:ascii="Arial" w:cs="Arial" w:eastAsia="Arial" w:hAnsi="Arial"/>
          <w:b/>
          <w:bCs/>
          <w:color w:val="1F3864"/>
          <w:sz w:val="36"/>
          <w:szCs w:val="36"/>
        </w:rPr>
        <w:t xml:space="preserve">5. Interface Streamlit</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000"/>
        <w:gridCol w:w="720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00"/>
            </w:tcMar>
            <w:vAlign w:val="top"/>
          </w:tcPr>
          <w:p>
            <w:pPr>
              <w:spacing w:after="0"/>
            </w:pPr>
            <w:r>
              <w:rPr>
                <w:rFonts w:ascii="Arial" w:cs="Arial" w:eastAsia="Arial" w:hAnsi="Arial"/>
                <w:b/>
                <w:bCs/>
                <w:color w:val="FFFFFF"/>
                <w:sz w:val="20"/>
                <w:szCs w:val="20"/>
              </w:rPr>
              <w:t xml:space="preserve">Page</w:t>
            </w:r>
          </w:p>
        </w:tc>
        <w:tc>
          <w:tcPr>
            <w:tcW w:type="dxa" w:w="72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00"/>
            </w:tcMar>
            <w:vAlign w:val="top"/>
          </w:tcPr>
          <w:p>
            <w:pPr>
              <w:spacing w:after="0"/>
            </w:pPr>
            <w:r>
              <w:rPr>
                <w:rFonts w:ascii="Arial" w:cs="Arial" w:eastAsia="Arial" w:hAnsi="Arial"/>
                <w:b/>
                <w:bCs/>
                <w:color w:val="FFFFFF"/>
                <w:sz w:val="20"/>
                <w:szCs w:val="20"/>
              </w:rPr>
              <w:t xml:space="preserve">Contenu principal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 Accueil</w:t>
            </w:r>
          </w:p>
        </w:tc>
        <w:tc>
          <w:tcPr>
            <w:tcW w:type="dxa" w:w="7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Statut des 8 fichiers database/ en temps réel. Aperçu des scénarios disponibles. Guide démarrage.</w:t>
            </w:r>
          </w:p>
        </w:tc>
      </w:tr>
      <w:tr>
        <w:tc>
          <w:tcPr>
            <w:tcW w:type="dxa" w:w="2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 Data Explorer</w:t>
            </w:r>
          </w:p>
        </w:tc>
        <w:tc>
          <w:tcPr>
            <w:tcW w:type="dxa" w:w="7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9 onglets : Trajectoires grid_france · Profils Solaires · Profils Éoliens · Charge Industrielle · EPEX Spot · Capture Rates · Parcs Éoliens (carte Mapbox) · Complémentarité (matrice corrélation) · Qualité données.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 Scénario &amp; Calcul</w:t>
            </w:r>
          </w:p>
        </w:tc>
        <w:tc>
          <w:tcPr>
            <w:tcW w:type="dxa" w:w="7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Sélecteur scénario + ajustements (charge, WACC, durée, structure de prix) + clauses avancées AXE 4 / AXE 7. Bouton Lancer le calcul.</w:t>
            </w:r>
          </w:p>
        </w:tc>
      </w:tr>
      <w:tr>
        <w:tc>
          <w:tcPr>
            <w:tcW w:type="dxa" w:w="2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 Résultats</w:t>
            </w:r>
          </w:p>
        </w:tc>
        <w:tc>
          <w:tcPr>
            <w:tcW w:type="dxa" w:w="7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KPIs : VAN · MW · Couverture · Coût net · Payback. Onglets : Cashflow 20 ans · Mix PPA · Sites screenés · Paramètres.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 Carte GIS</w:t>
            </w:r>
          </w:p>
        </w:tc>
        <w:tc>
          <w:tcPr>
            <w:tcW w:type="dxa" w:w="7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Carte Leaflet parcelles RPG. Stats surface/puissance/distance/prix. Bouton Construire la grille.</w:t>
            </w:r>
          </w:p>
        </w:tc>
      </w:tr>
    </w:tbl>
    <w:p>
      <w:r>
        <w:br w:type="page"/>
      </w:r>
    </w:p>
    <w:p>
      <w:pPr>
        <w:pStyle w:val="Heading1"/>
        <w:pBdr>
          <w:bottom w:val="single" w:color="2E75B6" w:sz="6" w:space="4"/>
        </w:pBdr>
        <w:spacing w:before="400" w:after="160"/>
      </w:pPr>
      <w:r>
        <w:rPr>
          <w:rFonts w:ascii="Arial" w:cs="Arial" w:eastAsia="Arial" w:hAnsi="Arial"/>
          <w:b/>
          <w:bCs/>
          <w:color w:val="1F3864"/>
          <w:sz w:val="36"/>
          <w:szCs w:val="36"/>
        </w:rPr>
        <w:t xml:space="preserve">6. Concepts clés du marché français</w:t>
      </w:r>
    </w:p>
    <w:p>
      <w:pPr>
        <w:pStyle w:val="Heading2"/>
        <w:spacing w:before="280" w:after="100"/>
      </w:pPr>
      <w:r>
        <w:rPr>
          <w:rFonts w:ascii="Arial" w:cs="Arial" w:eastAsia="Arial" w:hAnsi="Arial"/>
          <w:b/>
          <w:bCs/>
          <w:color w:val="2E75B6"/>
          <w:sz w:val="28"/>
          <w:szCs w:val="28"/>
        </w:rPr>
        <w:t xml:space="preserve">6.1 Capture Rate</w:t>
      </w:r>
    </w:p>
    <w:p>
      <w:pPr>
        <w:spacing w:after="120"/>
      </w:pPr>
      <w:r>
        <w:rPr>
          <w:rFonts w:ascii="Arial" w:cs="Arial" w:eastAsia="Arial" w:hAnsi="Arial"/>
          <w:color w:val="1A1A1A"/>
          <w:sz w:val="22"/>
          <w:szCs w:val="22"/>
        </w:rPr>
        <w:t xml:space="preserve">Mesure la valeur réelle d'un parc sur le marché spot. Formule : CR = Σ(prod(t) × spot(t)) / (Σprod(t)) / spot_moyen. Un solaire en France Sud a typiquement CR ≈ 0,82–0,88 (cannibalisation midi). Un offshore hivernal peut avoir CR ≈ 1,05–1,15 (production aux heures de pointe).</w:t>
      </w:r>
    </w:p>
    <w:p>
      <w:pPr>
        <w:pStyle w:val="Heading2"/>
        <w:spacing w:before="280" w:after="100"/>
      </w:pPr>
      <w:r>
        <w:rPr>
          <w:rFonts w:ascii="Arial" w:cs="Arial" w:eastAsia="Arial" w:hAnsi="Arial"/>
          <w:b/>
          <w:bCs/>
          <w:color w:val="2E75B6"/>
          <w:sz w:val="28"/>
          <w:szCs w:val="28"/>
        </w:rPr>
        <w:t xml:space="preserve">6.2 PPA physique sleeved</w:t>
      </w:r>
    </w:p>
    <w:p>
      <w:pPr>
        <w:spacing w:after="120"/>
      </w:pPr>
      <w:r>
        <w:rPr>
          <w:rFonts w:ascii="Arial" w:cs="Arial" w:eastAsia="Arial" w:hAnsi="Arial"/>
          <w:color w:val="1A1A1A"/>
          <w:sz w:val="22"/>
          <w:szCs w:val="22"/>
        </w:rPr>
        <w:t xml:space="preserve">Structure dominante France 2024 (&gt; 65 % des contrats). Le producteur injecte au réseau au prix spot. Un fournisseur intermédiaire (sléeveur) verse le complément (prix PPA – spot) et gère les écarts de production. Sleeving fee typique : 2–5 €/MWh.</w:t>
      </w:r>
    </w:p>
    <w:p>
      <w:pPr>
        <w:pStyle w:val="Heading2"/>
        <w:spacing w:before="280" w:after="100"/>
      </w:pPr>
      <w:r>
        <w:rPr>
          <w:rFonts w:ascii="Arial" w:cs="Arial" w:eastAsia="Arial" w:hAnsi="Arial"/>
          <w:b/>
          <w:bCs/>
          <w:color w:val="2E75B6"/>
          <w:sz w:val="28"/>
          <w:szCs w:val="28"/>
        </w:rPr>
        <w:t xml:space="preserve">6.3 TURPE péréquation</w:t>
      </w:r>
    </w:p>
    <w:p>
      <w:pPr>
        <w:spacing w:after="120"/>
      </w:pPr>
      <w:r>
        <w:rPr>
          <w:rFonts w:ascii="Arial" w:cs="Arial" w:eastAsia="Arial" w:hAnsi="Arial"/>
          <w:color w:val="1A1A1A"/>
          <w:sz w:val="22"/>
          <w:szCs w:val="22"/>
        </w:rPr>
        <w:t xml:space="preserve">En France, le TURPE est identique partout sur le territoire — seul le niveau de tension (HTB3/HTB2/HTB1) différencie les tarifs. La localisation géographique n'a aucun impact, contrairement au modèle KEPCO coréen.</w:t>
      </w:r>
    </w:p>
    <w:p>
      <w:pPr>
        <w:pStyle w:val="Heading2"/>
        <w:spacing w:before="280" w:after="100"/>
      </w:pPr>
      <w:r>
        <w:rPr>
          <w:rFonts w:ascii="Arial" w:cs="Arial" w:eastAsia="Arial" w:hAnsi="Arial"/>
          <w:b/>
          <w:bCs/>
          <w:color w:val="2E75B6"/>
          <w:sz w:val="28"/>
          <w:szCs w:val="28"/>
        </w:rPr>
        <w:t xml:space="preserve">6.4 Fin de l'ARENH (janvier 2026)</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200"/>
      </w:tblGrid>
      <w:tr>
        <w:tc>
          <w:tcPr>
            <w:tcBorders>
              <w:top w:val="single" w:color="CCCCCC" w:sz="1"/>
              <w:left w:val="single" w:color="C55A11" w:sz="12"/>
              <w:bottom w:val="single" w:color="CCCCCC" w:sz="1"/>
              <w:right w:val="single" w:color="CCCCCC" w:sz="1"/>
            </w:tcBorders>
            <w:shd w:fill="FCE4D6" w:val="clear"/>
            <w:tcMar>
              <w:top w:type="dxa" w:w="120"/>
              <w:left w:type="dxa" w:w="180"/>
              <w:bottom w:type="dxa" w:w="120"/>
              <w:right w:type="dxa" w:w="140"/>
            </w:tcMar>
          </w:tcPr>
          <w:p>
            <w:pPr>
              <w:spacing w:after="0"/>
            </w:pPr>
            <w:r>
              <w:rPr>
                <w:rFonts w:ascii="Arial" w:cs="Arial" w:eastAsia="Arial" w:hAnsi="Arial"/>
                <w:b/>
                <w:bCs/>
                <w:color w:val="C55A11"/>
                <w:sz w:val="22"/>
                <w:szCs w:val="22"/>
              </w:rPr>
              <w:t xml:space="preserve">⚠️  </w:t>
            </w:r>
            <w:r>
              <w:rPr>
                <w:rFonts w:ascii="Arial" w:cs="Arial" w:eastAsia="Arial" w:hAnsi="Arial"/>
                <w:color w:val="1A1A1A"/>
                <w:sz w:val="21"/>
                <w:szCs w:val="21"/>
              </w:rPr>
              <w:t xml:space="preserve">L'ARENH (42 €/MWh) a expiré fin décembre 2025. Les contrats de long terme EDF successeurs (CPP, prix estimés 60–70 €/MWh sur 15 ans) constituent la nouvelle alternative concurrente aux PPAs. À intégrer comme scénario de référence dans les analyses client.</w:t>
            </w:r>
          </w:p>
        </w:tc>
      </w:tr>
    </w:tbl>
    <w:p>
      <w:pPr>
        <w:spacing w:after="160"/>
      </w:pPr>
      <w:r>
        <w:rPr>
          <w:sz w:val="22"/>
          <w:szCs w:val="22"/>
        </w:rPr>
        <w:t xml:space="preserve"/>
      </w:r>
    </w:p>
    <w:p>
      <w:pPr>
        <w:pStyle w:val="Heading2"/>
        <w:spacing w:before="280" w:after="100"/>
      </w:pPr>
      <w:r>
        <w:rPr>
          <w:rFonts w:ascii="Arial" w:cs="Arial" w:eastAsia="Arial" w:hAnsi="Arial"/>
          <w:b/>
          <w:bCs/>
          <w:color w:val="2E75B6"/>
          <w:sz w:val="28"/>
          <w:szCs w:val="28"/>
        </w:rPr>
        <w:t xml:space="preserve">6.5 GOs vs RECs coréens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000"/>
        <w:gridCol w:w="3600"/>
        <w:gridCol w:w="360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00"/>
            </w:tcMar>
            <w:vAlign w:val="top"/>
          </w:tcPr>
          <w:p>
            <w:pPr>
              <w:spacing w:after="0"/>
            </w:pPr>
            <w:r>
              <w:rPr>
                <w:rFonts w:ascii="Arial" w:cs="Arial" w:eastAsia="Arial" w:hAnsi="Arial"/>
                <w:b/>
                <w:bCs/>
                <w:color w:val="FFFFFF"/>
                <w:sz w:val="20"/>
                <w:szCs w:val="20"/>
              </w:rPr>
              <w:t xml:space="preserve"/>
            </w:r>
          </w:p>
        </w:tc>
        <w:tc>
          <w:tcPr>
            <w:tcW w:type="dxa" w:w="36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00"/>
            </w:tcMar>
            <w:vAlign w:val="top"/>
          </w:tcPr>
          <w:p>
            <w:pPr>
              <w:spacing w:after="0"/>
            </w:pPr>
            <w:r>
              <w:rPr>
                <w:rFonts w:ascii="Arial" w:cs="Arial" w:eastAsia="Arial" w:hAnsi="Arial"/>
                <w:b/>
                <w:bCs/>
                <w:color w:val="FFFFFF"/>
                <w:sz w:val="20"/>
                <w:szCs w:val="20"/>
              </w:rPr>
              <w:t xml:space="preserve">GOs France</w:t>
            </w:r>
          </w:p>
        </w:tc>
        <w:tc>
          <w:tcPr>
            <w:tcW w:type="dxa" w:w="36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00"/>
            </w:tcMar>
            <w:vAlign w:val="top"/>
          </w:tcPr>
          <w:p>
            <w:pPr>
              <w:spacing w:after="0"/>
            </w:pPr>
            <w:r>
              <w:rPr>
                <w:rFonts w:ascii="Arial" w:cs="Arial" w:eastAsia="Arial" w:hAnsi="Arial"/>
                <w:b/>
                <w:bCs/>
                <w:color w:val="FFFFFF"/>
                <w:sz w:val="20"/>
                <w:szCs w:val="20"/>
              </w:rPr>
              <w:t xml:space="preserve">RECs Corée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Prix 2024</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3 – 15 €/MWh selon granularité</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~57 €/MWh (80 000 KRW)</w:t>
            </w:r>
          </w:p>
        </w:tc>
      </w:tr>
      <w:tr>
        <w:tc>
          <w:tcPr>
            <w:tcW w:type="dxa" w:w="2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Granularité horaire (24-7 CFE)</w:t>
            </w:r>
          </w:p>
        </w:tc>
        <w:tc>
          <w:tcPr>
            <w:tcW w:type="dxa" w:w="3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10 – 20 €/MWh (+120 %)</w:t>
            </w:r>
          </w:p>
        </w:tc>
        <w:tc>
          <w:tcPr>
            <w:tcW w:type="dxa" w:w="3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Non applicable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Impact sur décision PPA</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Faible (&lt; 5 % du différentiel)</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Significatif</w:t>
            </w:r>
          </w:p>
        </w:tc>
      </w:tr>
      <w:tr>
        <w:tc>
          <w:tcPr>
            <w:tcW w:type="dxa" w:w="2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Marché</w:t>
            </w:r>
          </w:p>
        </w:tc>
        <w:tc>
          <w:tcPr>
            <w:tcW w:type="dxa" w:w="3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AIB / EEX</w:t>
            </w:r>
          </w:p>
        </w:tc>
        <w:tc>
          <w:tcPr>
            <w:tcW w:type="dxa" w:w="3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KPX</w:t>
            </w:r>
          </w:p>
        </w:tc>
      </w:tr>
    </w:tbl>
    <w:p>
      <w:r>
        <w:br w:type="page"/>
      </w:r>
    </w:p>
    <w:p>
      <w:pPr>
        <w:pStyle w:val="Heading1"/>
        <w:pBdr>
          <w:bottom w:val="single" w:color="2E75B6" w:sz="6" w:space="4"/>
        </w:pBdr>
        <w:spacing w:before="400" w:after="160"/>
      </w:pPr>
      <w:r>
        <w:rPr>
          <w:rFonts w:ascii="Arial" w:cs="Arial" w:eastAsia="Arial" w:hAnsi="Arial"/>
          <w:b/>
          <w:bCs/>
          <w:color w:val="1F3864"/>
          <w:sz w:val="36"/>
          <w:szCs w:val="36"/>
        </w:rPr>
        <w:t xml:space="preserve">7. Migration Corée → France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3000"/>
        <w:gridCol w:w="2800"/>
        <w:gridCol w:w="340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00"/>
            </w:tcMar>
            <w:vAlign w:val="top"/>
          </w:tcPr>
          <w:p>
            <w:pPr>
              <w:spacing w:after="0"/>
            </w:pPr>
            <w:r>
              <w:rPr>
                <w:rFonts w:ascii="Arial" w:cs="Arial" w:eastAsia="Arial" w:hAnsi="Arial"/>
                <w:b/>
                <w:bCs/>
                <w:color w:val="FFFFFF"/>
                <w:sz w:val="20"/>
                <w:szCs w:val="20"/>
              </w:rPr>
              <w:t xml:space="preserve">Ancien (Corée)</w:t>
            </w:r>
          </w:p>
        </w:tc>
        <w:tc>
          <w:tcPr>
            <w:tcW w:type="dxa" w:w="28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00"/>
            </w:tcMar>
            <w:vAlign w:val="top"/>
          </w:tcPr>
          <w:p>
            <w:pPr>
              <w:spacing w:after="0"/>
            </w:pPr>
            <w:r>
              <w:rPr>
                <w:rFonts w:ascii="Arial" w:cs="Arial" w:eastAsia="Arial" w:hAnsi="Arial"/>
                <w:b/>
                <w:bCs/>
                <w:color w:val="FFFFFF"/>
                <w:sz w:val="20"/>
                <w:szCs w:val="20"/>
              </w:rPr>
              <w:t xml:space="preserve">Nouveau (France v3.0)</w:t>
            </w:r>
          </w:p>
        </w:tc>
        <w:tc>
          <w:tcPr>
            <w:tcW w:type="dxa" w:w="34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00"/>
            </w:tcMar>
            <w:vAlign w:val="top"/>
          </w:tcPr>
          <w:p>
            <w:pPr>
              <w:spacing w:after="0"/>
            </w:pPr>
            <w:r>
              <w:rPr>
                <w:rFonts w:ascii="Arial" w:cs="Arial" w:eastAsia="Arial" w:hAnsi="Arial"/>
                <w:b/>
                <w:bCs/>
                <w:color w:val="FFFFFF"/>
                <w:sz w:val="20"/>
                <w:szCs w:val="20"/>
              </w:rPr>
              <w:t xml:space="preserve">Note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KEPCOutils.py</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FranceGridUtils.py</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Entièrement réécrit</w:t>
            </w:r>
          </w:p>
        </w:tc>
      </w:tr>
      <w:tr>
        <w:tc>
          <w:tcPr>
            <w:tcW w:type="dxa" w:w="3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KEPCO.xlsx / KEPCO_france.xlsx</w:t>
            </w:r>
          </w:p>
        </w:tc>
        <w:tc>
          <w:tcPr>
            <w:tcW w:type="dxa" w:w="2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TURPE_france.xlsx</w:t>
            </w:r>
          </w:p>
        </w:tc>
        <w:tc>
          <w:tcPr>
            <w:tcW w:type="dxa" w:w="3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Appellation KEPCO disparue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ppamodule_france_adaptations.py</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Supprimé</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ppamodule.py est natif France</w:t>
            </w:r>
          </w:p>
        </w:tc>
      </w:tr>
      <w:tr>
        <w:tc>
          <w:tcPr>
            <w:tcW w:type="dxa" w:w="3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grid.csv</w:t>
            </w:r>
          </w:p>
        </w:tc>
        <w:tc>
          <w:tcPr>
            <w:tcW w:type="dxa" w:w="2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database/grid_france.csv</w:t>
            </w:r>
          </w:p>
        </w:tc>
        <w:tc>
          <w:tcPr>
            <w:tcW w:type="dxa" w:w="3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Colonnes enrichies (wind_onshore_capex, bess_capex_per_mwh...)</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wind_grid.xlsx (6 parcs)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wind_grid_france.xlsx (30 parcs)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Ajout onshore + parcs synthétiques</w:t>
            </w:r>
          </w:p>
        </w:tc>
      </w:tr>
      <w:tr>
        <w:tc>
          <w:tcPr>
            <w:tcW w:type="dxa" w:w="3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SMP KRW</w:t>
            </w:r>
          </w:p>
        </w:tc>
        <w:tc>
          <w:tcPr>
            <w:tcW w:type="dxa" w:w="2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EPEX Spot €/MWh</w:t>
            </w:r>
          </w:p>
        </w:tc>
        <w:tc>
          <w:tcPr>
            <w:tcW w:type="dxa" w:w="3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Même mécanique, marché EU couplé</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REC</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GO (Garantie d'Origine)</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Prix ~10× plus bas</w:t>
            </w:r>
          </w:p>
        </w:tc>
      </w:tr>
      <w:tr>
        <w:tc>
          <w:tcPr>
            <w:tcW w:type="dxa" w:w="3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Currency Exchange Rate KRW/USD</w:t>
            </w:r>
          </w:p>
        </w:tc>
        <w:tc>
          <w:tcPr>
            <w:tcW w:type="dxa" w:w="2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Currency = 1.0 (EUR natif)</w:t>
            </w:r>
          </w:p>
        </w:tc>
        <w:tc>
          <w:tcPr>
            <w:tcW w:type="dxa" w:w="3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Paramètre gardé mais toujours = 1</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Load SK / Samsung</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Load ArcelorMittal / H2 Normandie</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Noms francisés</w:t>
            </w:r>
          </w:p>
        </w:tc>
      </w:tr>
      <w:tr>
        <w:tc>
          <w:tcPr>
            <w:tcW w:type="dxa" w:w="3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HV_C_I/II/III</w:t>
            </w:r>
          </w:p>
        </w:tc>
        <w:tc>
          <w:tcPr>
            <w:tcW w:type="dxa" w:w="2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HTB3 / HTB2 / HTB1</w:t>
            </w:r>
          </w:p>
        </w:tc>
        <w:tc>
          <w:tcPr>
            <w:tcW w:type="dxa" w:w="3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Correspondance directe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CO2 ~450 gCO2/kWh</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CO2 ~47 gCO2/kWh</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France = nucléaire 70 %</w:t>
            </w:r>
          </w:p>
        </w:tc>
      </w:tr>
    </w:tbl>
    <w:p>
      <w:pPr>
        <w:pStyle w:val="Heading1"/>
        <w:pBdr>
          <w:bottom w:val="single" w:color="2E75B6" w:sz="6" w:space="4"/>
        </w:pBdr>
        <w:spacing w:before="400" w:after="160"/>
      </w:pPr>
      <w:r>
        <w:rPr>
          <w:rFonts w:ascii="Arial" w:cs="Arial" w:eastAsia="Arial" w:hAnsi="Arial"/>
          <w:b/>
          <w:bCs/>
          <w:color w:val="1F3864"/>
          <w:sz w:val="36"/>
          <w:szCs w:val="36"/>
        </w:rPr>
        <w:t xml:space="preserve">8. Sources officielles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800"/>
        <w:gridCol w:w="3800"/>
        <w:gridCol w:w="360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00"/>
            </w:tcMar>
            <w:vAlign w:val="top"/>
          </w:tcPr>
          <w:p>
            <w:pPr>
              <w:spacing w:after="0"/>
            </w:pPr>
            <w:r>
              <w:rPr>
                <w:rFonts w:ascii="Arial" w:cs="Arial" w:eastAsia="Arial" w:hAnsi="Arial"/>
                <w:b/>
                <w:bCs/>
                <w:color w:val="FFFFFF"/>
                <w:sz w:val="20"/>
                <w:szCs w:val="20"/>
              </w:rPr>
              <w:t xml:space="preserve">Source</w:t>
            </w:r>
          </w:p>
        </w:tc>
        <w:tc>
          <w:tcPr>
            <w:tcW w:type="dxa" w:w="38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00"/>
            </w:tcMar>
            <w:vAlign w:val="top"/>
          </w:tcPr>
          <w:p>
            <w:pPr>
              <w:spacing w:after="0"/>
            </w:pPr>
            <w:r>
              <w:rPr>
                <w:rFonts w:ascii="Arial" w:cs="Arial" w:eastAsia="Arial" w:hAnsi="Arial"/>
                <w:b/>
                <w:bCs/>
                <w:color w:val="FFFFFF"/>
                <w:sz w:val="20"/>
                <w:szCs w:val="20"/>
              </w:rPr>
              <w:t xml:space="preserve">Données</w:t>
            </w:r>
          </w:p>
        </w:tc>
        <w:tc>
          <w:tcPr>
            <w:tcW w:type="dxa" w:w="36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00"/>
            </w:tcMar>
            <w:vAlign w:val="top"/>
          </w:tcPr>
          <w:p>
            <w:pPr>
              <w:spacing w:after="0"/>
            </w:pPr>
            <w:r>
              <w:rPr>
                <w:rFonts w:ascii="Arial" w:cs="Arial" w:eastAsia="Arial" w:hAnsi="Arial"/>
                <w:b/>
                <w:bCs/>
                <w:color w:val="FFFFFF"/>
                <w:sz w:val="20"/>
                <w:szCs w:val="20"/>
              </w:rPr>
              <w:t xml:space="preserve">URL</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ODRE</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Prix EPEX DA · eco2mix CO2/ENR</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odre.opendatasoft.com</w:t>
            </w:r>
          </w:p>
        </w:tc>
      </w:tr>
      <w:tr>
        <w:tc>
          <w:tcPr>
            <w:tcW w:type="dxa" w:w="1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CRE</w:t>
            </w:r>
          </w:p>
        </w:tc>
        <w:tc>
          <w:tcPr>
            <w:tcW w:type="dxa" w:w="3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AO ENR · délibérations TURPE</w:t>
            </w:r>
          </w:p>
        </w:tc>
        <w:tc>
          <w:tcPr>
            <w:tcW w:type="dxa" w:w="3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cre.fr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Services-RTE</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Fiches tarifaires TURPE 6 HTB</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services-rte.com</w:t>
            </w:r>
          </w:p>
        </w:tc>
      </w:tr>
      <w:tr>
        <w:tc>
          <w:tcPr>
            <w:tcW w:type="dxa" w:w="1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RTE Futurs Énergétiques</w:t>
            </w:r>
          </w:p>
        </w:tc>
        <w:tc>
          <w:tcPr>
            <w:tcW w:type="dxa" w:w="3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CO2 · ENR · prix long terme</w:t>
            </w:r>
          </w:p>
        </w:tc>
        <w:tc>
          <w:tcPr>
            <w:tcW w:type="dxa" w:w="3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rte-france.com/analyses-tendances-et-prospectives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PVGIS JRC</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Profils PV horaires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pvgis.ec.europa.eu</w:t>
            </w:r>
          </w:p>
        </w:tc>
      </w:tr>
      <w:tr>
        <w:tc>
          <w:tcPr>
            <w:tcW w:type="dxa" w:w="1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Open-Meteo ERA5</w:t>
            </w:r>
          </w:p>
        </w:tc>
        <w:tc>
          <w:tcPr>
            <w:tcW w:type="dxa" w:w="3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Profils vent 100 m</w:t>
            </w:r>
          </w:p>
        </w:tc>
        <w:tc>
          <w:tcPr>
            <w:tcW w:type="dxa" w:w="3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archive-api.open-meteo.com</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IGN Géoplateforme WFS</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RPG · ZNIEFF · Natura 2000</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data.geopf.fr/wfs/wfs</w:t>
            </w:r>
          </w:p>
        </w:tc>
      </w:tr>
      <w:tr>
        <w:tc>
          <w:tcPr>
            <w:tcW w:type="dxa" w:w="1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DVF data.gouv.fr</w:t>
            </w:r>
          </w:p>
        </w:tc>
        <w:tc>
          <w:tcPr>
            <w:tcW w:type="dxa" w:w="3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Prix foncier</w:t>
            </w:r>
          </w:p>
        </w:tc>
        <w:tc>
          <w:tcPr>
            <w:tcW w:type="dxa" w:w="3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files.data.gouv.fr/geo-dvf</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IRENA</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CAPEX ENR et BESS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irena.org/publications</w:t>
            </w:r>
          </w:p>
        </w:tc>
      </w:tr>
      <w:tr>
        <w:tc>
          <w:tcPr>
            <w:tcW w:type="dxa" w:w="1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AIB / EEX</w:t>
            </w:r>
          </w:p>
        </w:tc>
        <w:tc>
          <w:tcPr>
            <w:tcW w:type="dxa" w:w="3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Prix GOs</w:t>
            </w:r>
          </w:p>
        </w:tc>
        <w:tc>
          <w:tcPr>
            <w:tcW w:type="dxa" w:w="3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aib-net.org · eex.com/environmental-markets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Damodaran</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WACC par secteur</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pages.stern.nyu.edu/~adamodar</w:t>
            </w:r>
          </w:p>
        </w:tc>
      </w:tr>
      <w:tr>
        <w:tc>
          <w:tcPr>
            <w:tcW w:type="dxa" w:w="1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WindEurope</w:t>
            </w:r>
          </w:p>
        </w:tc>
        <w:tc>
          <w:tcPr>
            <w:tcW w:type="dxa" w:w="3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Statistiques offshore</w:t>
            </w:r>
          </w:p>
        </w:tc>
        <w:tc>
          <w:tcPr>
            <w:tcW w:type="dxa" w:w="3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b w:val="false"/>
                <w:bCs w:val="false"/>
                <w:color w:val="1A1A1A"/>
                <w:sz w:val="20"/>
                <w:szCs w:val="20"/>
              </w:rPr>
              <w:t xml:space="preserve">windeurope.org/intelligence-platform</w:t>
            </w:r>
          </w:p>
        </w:tc>
      </w:tr>
    </w:tbl>
    <w:p>
      <w:pPr>
        <w:spacing w:after="400"/>
      </w:pPr>
      <w:r>
        <w:rPr>
          <w:sz w:val="22"/>
          <w:szCs w:val="22"/>
        </w:rPr>
        <w:t xml:space="preserve"/>
      </w:r>
    </w:p>
    <w:p>
      <w:pPr>
        <w:jc w:val="center"/>
      </w:pPr>
      <w:r>
        <w:rPr>
          <w:rFonts w:ascii="Arial" w:cs="Arial" w:eastAsia="Arial" w:hAnsi="Arial"/>
          <w:color w:val="999999"/>
          <w:sz w:val="18"/>
          <w:szCs w:val="18"/>
        </w:rPr>
        <w:t xml:space="preserve">French PPA Model v3.0  —  Mars 2026  —  Confidentiel</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4"/>
      </w:pBdr>
      <w:tabs>
        <w:tab w:val="right" w:pos="9360"/>
      </w:tabs>
      <w:spacing w:before="0"/>
    </w:pPr>
    <w:r>
      <w:rPr>
        <w:rFonts w:ascii="Arial" w:cs="Arial" w:eastAsia="Arial" w:hAnsi="Arial"/>
        <w:color w:val="999999"/>
        <w:sz w:val="16"/>
        <w:szCs w:val="16"/>
      </w:rPr>
      <w:t xml:space="preserve">French PPA Model v3.0  —  Confidentiel</w:t>
    </w:r>
    <w:r>
      <w:rPr>
        <w:rFonts w:ascii="Arial" w:cs="Arial" w:eastAsia="Arial" w:hAnsi="Arial"/>
        <w:sz w:val="16"/>
        <w:szCs w:val="16"/>
      </w:rPr>
      <w:t xml:space="preserv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space="4"/>
      </w:pBdr>
      <w:tabs>
        <w:tab w:val="right" w:pos="9360"/>
      </w:tabs>
      <w:spacing w:after="0"/>
    </w:pPr>
    <w:r>
      <w:rPr>
        <w:rFonts w:ascii="Arial" w:cs="Arial" w:eastAsia="Arial" w:hAnsi="Arial"/>
        <w:color w:val="888888"/>
        <w:sz w:val="18"/>
        <w:szCs w:val="18"/>
      </w:rPr>
      <w:t xml:space="preserve">French PPA Model — README v3.0</w:t>
    </w:r>
    <w:r>
      <w:rPr>
        <w:rFonts w:ascii="Arial" w:cs="Arial" w:eastAsia="Arial" w:hAnsi="Arial"/>
        <w:sz w:val="18"/>
        <w:szCs w:val="18"/>
      </w:rPr>
      <w:t xml:space="preserve">		</w:t>
    </w:r>
    <w:r>
      <w:rPr>
        <w:rFonts w:ascii="Arial" w:cs="Arial" w:eastAsia="Arial" w:hAnsi="Arial"/>
        <w:color w:val="888888"/>
        <w:sz w:val="18"/>
        <w:szCs w:val="18"/>
      </w:rPr>
      <w:t xml:space="preserve">Mars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36"/>
      <w:szCs w:val="36"/>
    </w:rPr>
  </w:style>
  <w:style w:type="paragraph" w:styleId="Heading2">
    <w:name w:val="Heading 2"/>
    <w:basedOn w:val="Normal"/>
    <w:next w:val="Normal"/>
    <w:qFormat/>
    <w:pPr>
      <w:spacing w:before="280" w:after="100"/>
      <w:outlineLvl w:val="1"/>
    </w:pPr>
    <w:rPr>
      <w:rFonts w:ascii="Arial" w:cs="Arial" w:eastAsia="Arial" w:hAnsi="Arial"/>
      <w:b/>
      <w:bCs/>
      <w:sz w:val="28"/>
      <w:szCs w:val="28"/>
    </w:rPr>
  </w:style>
  <w:style w:type="paragraph" w:styleId="Heading3">
    <w:name w:val="Heading 3"/>
    <w:basedOn w:val="Normal"/>
    <w:next w:val="Normal"/>
    <w:qFormat/>
    <w:pPr>
      <w:spacing w:before="20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2026-03-01T13:35:02.725Z</dcterms:created>
  <dcterms:modified xsi:type="dcterms:W3CDTF">2026-03-01T13:35:02.726Z</dcterms:modified>
</cp:coreProperties>
</file>

<file path=docProps/custom.xml><?xml version="1.0" encoding="utf-8"?>
<Properties xmlns="http://schemas.openxmlformats.org/officeDocument/2006/custom-properties" xmlns:vt="http://schemas.openxmlformats.org/officeDocument/2006/docPropsVTypes"/>
</file>