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sz w:val="22"/>
          <w:szCs w:val="22"/>
        </w:rPr>
        <w:t xml:space="preserve"/>
      </w:r>
    </w:p>
    <w:p>
      <w:pPr>
        <w:jc w:val="center"/>
      </w:pPr>
      <w:r>
        <w:rPr>
          <w:rFonts w:ascii="Arial" w:cs="Arial" w:eastAsia="Arial" w:hAnsi="Arial"/>
          <w:b/>
          <w:bCs/>
          <w:color w:val="1F3864"/>
          <w:sz w:val="80"/>
          <w:szCs w:val="80"/>
        </w:rPr>
        <w:t xml:space="preserve">FRENCH PPA MODEL</w:t>
      </w:r>
    </w:p>
    <w:p>
      <w:pPr>
        <w:spacing w:after="60"/>
        <w:jc w:val="center"/>
      </w:pPr>
      <w:r>
        <w:rPr>
          <w:rFonts w:ascii="Arial" w:cs="Arial" w:eastAsia="Arial" w:hAnsi="Arial"/>
          <w:color w:val="2E75B6"/>
          <w:sz w:val="36"/>
          <w:szCs w:val="36"/>
        </w:rPr>
        <w:t xml:space="preserve">Architecture &amp; Données de Référence</w:t>
      </w:r>
    </w:p>
    <w:p>
      <w:pPr>
        <w:spacing w:after="480"/>
        <w:jc w:val="center"/>
      </w:pPr>
      <w:r>
        <w:rPr>
          <w:rFonts w:ascii="Arial" w:cs="Arial" w:eastAsia="Arial" w:hAnsi="Arial"/>
          <w:color w:val="777777"/>
          <w:sz w:val="24"/>
          <w:szCs w:val="24"/>
        </w:rPr>
        <w:t xml:space="preserve">Version 3.0  ·  Mars 2026  ·  Document technique complet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000"/>
        <w:gridCol w:w="3000"/>
        <w:gridCol w:w="1200"/>
        <w:gridCol w:w="2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Fichier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Lignes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Interface utilisateur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app.py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1 522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Moteur de calcul PPA</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ppamodule.py</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1 289</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Utilitaires réseau &amp; sites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FranceGridUtils.py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1 023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Téléchargement données</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download_france_data.py</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944</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Données GIS foncières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build_land_grid.py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 — inchangé</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Exploration notebook</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explore_ppa_data_france.ipynb</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Paramètres scénarios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scenario_defaults.xlsx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Livré</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1. Vue d'ensemble du modèle</w:t>
      </w:r>
    </w:p>
    <w:p>
      <w:pPr>
        <w:spacing w:after="120"/>
      </w:pPr>
      <w:r>
        <w:rPr>
          <w:rFonts w:ascii="Arial" w:cs="Arial" w:eastAsia="Arial" w:hAnsi="Arial"/>
          <w:color w:val="1A1A1A"/>
          <w:sz w:val="22"/>
          <w:szCs w:val="22"/>
        </w:rPr>
        <w:t xml:space="preserve">Le French PPA Model évalue et optimise la stratégie d'approvisionnement en électricité renouvelable d'un industriel français raccordé en haute tension (HTB). Il compare 6 scénarios contractuels sur 20 ans en simulant heure par heure la production ENR, le prix spot EPEX, le TURPE HTB et les clauses contractuelles avancées.</w:t>
      </w:r>
    </w:p>
    <w:p>
      <w:pPr>
        <w:pStyle w:val="Heading2"/>
        <w:spacing w:before="280" w:after="100"/>
      </w:pPr>
      <w:r>
        <w:rPr>
          <w:rFonts w:ascii="Arial" w:cs="Arial" w:eastAsia="Arial" w:hAnsi="Arial"/>
          <w:b/>
          <w:bCs/>
          <w:color w:val="2E75B6"/>
          <w:sz w:val="28"/>
          <w:szCs w:val="28"/>
        </w:rPr>
        <w:t xml:space="preserve">1.1 Les 6 scénarios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0"/>
        <w:gridCol w:w="1800"/>
        <w:gridCol w:w="2200"/>
        <w:gridCol w:w="1760"/>
        <w:gridCol w:w="104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Scénario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Type contrat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Technologie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TURPE ENR</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Batterie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Ref_Reseau</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Référence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100% réseau</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TURPE complet</w:t>
            </w:r>
          </w:p>
        </w:tc>
        <w:tc>
          <w:tcPr>
            <w:tcW w:type="dxa" w:w="1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Onsite_Solaire</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On-site</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 câble direct</w:t>
            </w:r>
          </w:p>
        </w:tc>
        <w:tc>
          <w:tcPr>
            <w:tcW w:type="dxa" w:w="1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Exonéré (CBT)</w:t>
            </w:r>
          </w:p>
        </w:tc>
        <w:tc>
          <w:tcPr>
            <w:tcW w:type="dxa" w:w="104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Optionnelle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Offsite_PPA_Solaire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 sleeved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 (gisement Sud FR)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TURPE complet</w:t>
            </w:r>
          </w:p>
        </w:tc>
        <w:tc>
          <w:tcPr>
            <w:tcW w:type="dxa" w:w="1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Offsite_PPA_Eolien</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 sleeved</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Onshore (Hauts-de-France)</w:t>
            </w:r>
          </w:p>
        </w:tc>
        <w:tc>
          <w:tcPr>
            <w:tcW w:type="dxa" w:w="1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TURPE complet</w:t>
            </w:r>
          </w:p>
        </w:tc>
        <w:tc>
          <w:tcPr>
            <w:tcW w:type="dxa" w:w="104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Offsite_PPA_Offshore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 sleeved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Offshore (Dunkerque)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TURPE complet</w:t>
            </w:r>
          </w:p>
        </w:tc>
        <w:tc>
          <w:tcPr>
            <w:tcW w:type="dxa" w:w="1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Offsite_PPA_Hybride</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 mix</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Solaire + Éolien ± BESS</w:t>
            </w:r>
          </w:p>
        </w:tc>
        <w:tc>
          <w:tcPr>
            <w:tcW w:type="dxa" w:w="176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TURPE complet</w:t>
            </w:r>
          </w:p>
        </w:tc>
        <w:tc>
          <w:tcPr>
            <w:tcW w:type="dxa" w:w="104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Optionnelle</w:t>
            </w:r>
          </w:p>
        </w:tc>
      </w:tr>
    </w:tbl>
    <w:p>
      <w:pPr>
        <w:spacing w:after="80"/>
      </w:pPr>
      <w:r>
        <w:rPr>
          <w:rFonts w:ascii="Arial" w:cs="Arial" w:eastAsia="Arial" w:hAnsi="Arial"/>
          <w:color w:val="555555"/>
          <w:sz w:val="19"/>
          <w:szCs w:val="19"/>
        </w:rPr>
        <w:t xml:space="preserve">* Off-site pur : batterie client optimise l'arbitrage spot local, sans lien physique avec le parc distant. Sleeving fee = 2-5 €/MWh.</w:t>
      </w:r>
    </w:p>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1.2 Réalités du marché français intégrées</w:t>
      </w:r>
    </w:p>
    <w:p>
      <w:pPr>
        <w:pStyle w:val="ListParagraph"/>
        <w:numPr>
          <w:ilvl w:val="0"/>
          <w:numId w:val="2"/>
        </w:numPr>
        <w:spacing w:after="80"/>
      </w:pPr>
      <w:r>
        <w:rPr>
          <w:rFonts w:ascii="Arial" w:cs="Arial" w:eastAsia="Arial" w:hAnsi="Arial"/>
          <w:color w:val="1A1A1A"/>
          <w:sz w:val="22"/>
          <w:szCs w:val="22"/>
        </w:rPr>
        <w:t xml:space="preserve">PPA physique sleeved : structure dominante France 2024 (&gt; 65% des contrats). Le producteur injecte au réseau ; un fournisseur intermédiaire aligne les flux financiers.</w:t>
      </w:r>
    </w:p>
    <w:p>
      <w:pPr>
        <w:pStyle w:val="ListParagraph"/>
        <w:numPr>
          <w:ilvl w:val="0"/>
          <w:numId w:val="2"/>
        </w:numPr>
        <w:spacing w:after="80"/>
      </w:pPr>
      <w:r>
        <w:rPr>
          <w:rFonts w:ascii="Arial" w:cs="Arial" w:eastAsia="Arial" w:hAnsi="Arial"/>
          <w:color w:val="1A1A1A"/>
          <w:sz w:val="22"/>
          <w:szCs w:val="22"/>
        </w:rPr>
        <w:t xml:space="preserve">Capture rate ≠ prix spot moyen : un PV midi = cannibalisation ENR → CR &lt; 1 (0.82-0.92). Un offshore hivernal = pointes → CR &gt; 1 (1.05-1.15).</w:t>
      </w:r>
    </w:p>
    <w:p>
      <w:pPr>
        <w:pStyle w:val="ListParagraph"/>
        <w:numPr>
          <w:ilvl w:val="0"/>
          <w:numId w:val="2"/>
        </w:numPr>
        <w:spacing w:after="80"/>
      </w:pPr>
      <w:r>
        <w:rPr>
          <w:rFonts w:ascii="Arial" w:cs="Arial" w:eastAsia="Arial" w:hAnsi="Arial"/>
          <w:color w:val="1A1A1A"/>
          <w:sz w:val="22"/>
          <w:szCs w:val="22"/>
        </w:rPr>
        <w:t xml:space="preserve">TURPE péréquation nationale : identique partout en France. Seul le niveau de tension (HTB1/2/3) différencie les tarifs, pas la localisation.</w:t>
      </w:r>
    </w:p>
    <w:p>
      <w:pPr>
        <w:pStyle w:val="ListParagraph"/>
        <w:numPr>
          <w:ilvl w:val="0"/>
          <w:numId w:val="2"/>
        </w:numPr>
        <w:spacing w:after="80"/>
      </w:pPr>
      <w:r>
        <w:rPr>
          <w:rFonts w:ascii="Arial" w:cs="Arial" w:eastAsia="Arial" w:hAnsi="Arial"/>
          <w:color w:val="1A1A1A"/>
          <w:sz w:val="22"/>
          <w:szCs w:val="22"/>
        </w:rPr>
        <w:t xml:space="preserve">Fin ARENH (janvier 2026) : l'alternative nucléaire réglementée à 42 €/MWh a disparu. Les futurs contrats CPP EDF (60-70 €/MWh sur 15 ans) sont le nouveau benchmark.</w:t>
      </w:r>
    </w:p>
    <w:p>
      <w:pPr>
        <w:pStyle w:val="ListParagraph"/>
        <w:numPr>
          <w:ilvl w:val="0"/>
          <w:numId w:val="2"/>
        </w:numPr>
        <w:spacing w:after="80"/>
      </w:pPr>
      <w:r>
        <w:rPr>
          <w:rFonts w:ascii="Arial" w:cs="Arial" w:eastAsia="Arial" w:hAnsi="Arial"/>
          <w:color w:val="1A1A1A"/>
          <w:sz w:val="22"/>
          <w:szCs w:val="22"/>
        </w:rPr>
        <w:t xml:space="preserve">Heures de prix négatifs : 200-350 h/an en 2024, en hausse avec la pénétration ENR. Clause zero floor intégrée comme standard dans les contrats depuis 2023.</w:t>
      </w:r>
    </w:p>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1.3 Pipeline de calcul</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2600"/>
        <w:gridCol w:w="2800"/>
        <w:gridCol w:w="2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Étape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Fonction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Entrées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Sorties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 Données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download_france_data.py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PVGIS, ERA5, ODRE, CRE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 fichiers database/</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 — Profil réseau</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process_france_grid_data()</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TURPE_france.xlsx + epex_profiles.db</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temporal_df 8 760 h/an (€/MWh)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 — Métriques sites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compute_all_site_metrics()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solar/wind_patterns.db + epex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CF, CR, corrélation, score composite</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 — Screening</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screen_sites()</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metrics_df + seuils min</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Top N sites candidats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 — Optimisation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optimize_ppa_mix()</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screened_sites + temporal_df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mix_mw, ppa_prices, coverage_pct</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 — Settlement</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compute_ppa_settlement()</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prod_profile + spot + clauses</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buyer_pays, cfd_net, go_revenue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 — NPV</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run_npv_cashflow()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mix_result + temporal_df 20 ans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cashflow, VAN, payback, IRR</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2. Modules Python — Détail</w:t>
      </w:r>
    </w:p>
    <w:p>
      <w:pPr>
        <w:pStyle w:val="Heading2"/>
        <w:spacing w:before="280" w:after="100"/>
      </w:pPr>
      <w:r>
        <w:rPr>
          <w:rFonts w:ascii="Arial" w:cs="Arial" w:eastAsia="Arial" w:hAnsi="Arial"/>
          <w:b/>
          <w:bCs/>
          <w:color w:val="2E75B6"/>
          <w:sz w:val="28"/>
          <w:szCs w:val="28"/>
        </w:rPr>
        <w:t xml:space="preserve">2.1 download_france_data.py — 944 lignes</w:t>
      </w:r>
    </w:p>
    <w:p>
      <w:pPr>
        <w:spacing w:after="120"/>
      </w:pPr>
      <w:r>
        <w:rPr>
          <w:rFonts w:ascii="Arial" w:cs="Arial" w:eastAsia="Arial" w:hAnsi="Arial"/>
          <w:color w:val="1A1A1A"/>
          <w:sz w:val="22"/>
          <w:szCs w:val="22"/>
        </w:rPr>
        <w:t xml:space="preserve">Télécharge et génère toutes les données. Mode --offline (données synthétiques, instantané) ou réseau (APIs gratuites, 10-15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4000"/>
        <w:gridCol w:w="24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Fonction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Rôle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download_pvgis_solar_profile()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Profil PV horaire — 10 sites géographiques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pvgis.ec.europa.eu</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download_wind_openmeteo()</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Profil éolien ERA5 — 10 zones offshore/onshore</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archive-api.open-meteo.com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download_epex_odre()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EPEX DA horaires. Cache SQLite dans epex_profiles.db.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compute_capture_rates()</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 = Σ(Q×spot)/ΣQ / spot_moy — par site et technologie</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epex × solar/wind patterns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build_load_profiles()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 profils industriels : sidérurgie, chimie, papier, agroalim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Synthétique + CSV client</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build_france_grid_info()</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Trajectoires CAPEX/CO2/ENR 2023-2050 → grid_france.csv</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IRENA, RTE FE2050, ODRE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build_wind_grid_xlsx()</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Génère wind_grid_france.xlsx avec 12 parcs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 AO, thewindpower.net</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2.2 FranceGridUtils.py — 1 023 lignes — 8 modules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2800"/>
        <w:gridCol w:w="44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Fonctions clés</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 TURPE HTB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load_turpe_params()
_compute_turpe_energy_hourly()</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Calcul vectorisé composante énergie TURPE (HPSH/HCSH/HPSB/HCSB) heure par heure, gestion week-end et saisons</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 — Profil réseau</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process_france_grid_data()
_parse_epex_odre_csv()</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Coût total réseau = EPEX + TURPE + TICFE + CTA. Cascade : CSV ODRE → SQLite cache → synthétique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 — Multi-annuel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multiyear_pricing_france()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Projection coût réseau sur 20 ans : TURPE +4%/an, EPEX +2%/an, années bissextiles</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 — GO</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create_go_grid()</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Trajectoire prix GO 2023-2050. Primes granularité : annual ×1.0, monthly ×1.4, hourly/24-7 ×2.2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 — Métriques sites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compute_all_site_metrics()</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CF, P50, capture_rate, correlation_load, cannibalisation_risk. Score = 50%×CR + 30%×corr + 20%×(1-cann)</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 — Capture price</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compute_effective_capture_price()</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Intègre zero floor, curtailment réseau/volontaire, sleeving, basis risk → capture_price_effective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 — Screening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screen_sites()</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Filtre CF min / CR min / corrélation min. Top_n sites par score composite</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 — Grid info</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build_france_grid_info()
get_turpe_annual_cost_eur_per_mw()</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Trajectoires CAPEX/CO2/ENR/EPEX. Facture TURPE annuelle pour comparaison on-site vs off-site</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2.3 ppamodule.py — 1 289 lignes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4000"/>
        <w:gridCol w:w="24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Fonction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Rôle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Paramètres clés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load_scenario(xlsx, col)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Charge 60+ paramètres depuis scenario_defaults.xlsx. 7 axes contractuels.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xlsx_path, scenario_col</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build_temporal_profile()</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Profil horaire coût réseau via FranceGridUtils. Cache annuel.</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epex_filepath, turpe_filepath, year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run_site_screening()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compute_all_site_metrics() + screen_sites() avec critères adaptés à la techno.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load_col, technology, top_n</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optimize_ppa_mix()</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LP scipy.optimize.linprog : minimise coût net appro. Arrondi aux bins (5 ou 10 MW).</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screened_sites, temporal_df, coverage_target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compute_ppa_settlement()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Settlement annuel selon structure prix. Intègre zero floor, curtailment, GO.</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prod_profile, spot, ppa_price, structure</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run_npv_cashflow()</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Cashflow 20 ans : dégradation, escalade prix TURPE/EPEX/GO, WACC. VAN, payback, IRR.</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mix_result, temporal_df, duration_years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run_model(xlsx, col)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Orchestrateur : enchaîne les 6 étapes. Sauvegarde CSV résultats.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xlsx_path, scenario_col, load_col</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compare_scenarios(xlsx, cols)</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Lance run_model() sur N scénarios → tableau comparatif.</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scenario_cols list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compute_lcoe(...)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LCOE levelisé en €/MWh (CAPEX, OPEX, CF, durée, WACC, dégradation).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capex, opex, cf_mean, lifetime, wacc</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3. Clauses contractuelles — 7 axes</w:t>
      </w:r>
    </w:p>
    <w:p>
      <w:pPr>
        <w:spacing w:after="120"/>
      </w:pPr>
      <w:r>
        <w:rPr>
          <w:rFonts w:ascii="Arial" w:cs="Arial" w:eastAsia="Arial" w:hAnsi="Arial"/>
          <w:color w:val="1A1A1A"/>
          <w:sz w:val="22"/>
          <w:szCs w:val="22"/>
        </w:rPr>
        <w:t xml:space="preserve">60+ paramètres structurés en 7 axes. Tous configurables dans scenario_defaults.xlsx et via l'interface Streamlit (⚙️ Scénario &amp; Calcul).</w:t>
      </w:r>
    </w:p>
    <w:p>
      <w:pPr>
        <w:pStyle w:val="Heading2"/>
        <w:spacing w:before="280" w:after="100"/>
      </w:pPr>
      <w:r>
        <w:rPr>
          <w:rFonts w:ascii="Arial" w:cs="Arial" w:eastAsia="Arial" w:hAnsi="Arial"/>
          <w:b/>
          <w:bCs/>
          <w:color w:val="2E75B6"/>
          <w:sz w:val="28"/>
          <w:szCs w:val="28"/>
        </w:rPr>
        <w:t xml:space="preserve">AXE 1 — Type de contrat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0"/>
        <w:gridCol w:w="3200"/>
        <w:gridCol w:w="3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Valeurs</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 Type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offsite_sleeved · offsite_direct · onsite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offsite_sleeved = structure dominante France. onsite = exonération TURPE possible (câble direct, sans injection réseau).</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 Technology</w:t>
            </w:r>
          </w:p>
        </w:tc>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solar · offshore · onshore · hybrid</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Détermine seuils screening (CF min, CR min) et taux de dégradation technique annuelle.</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AXE 2 — Structure de prix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3400"/>
        <w:gridCol w:w="38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Structure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Mécanique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Cas d'usage typique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fixed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fixe (€/MWh) × volume produit. CfD ou physical PPA.</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Standard. Sécurité maximale pour financement projet.</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fixed_escalating</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fixe × (1 + taux)^année. Escalade CPI ou contractuelle.</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Financement bancaire long terme. Rate increase = 1.5-2.5%/an.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collar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Settlement dans [floor, cap]. Upside sharing au-delà du cap.</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Partage risque marché. Floor protège le producteur, cap l'acheteur.</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indexed_spot</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Spot − discount négocié. Pas de prix fixe.</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Acheteur garde exposition spot avec décote garantie.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floor_only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max(spot, floor). Garantie plancher uniquement.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Protection producteur partielle. Acheteur garde l'upside spot.</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cap_only</w:t>
            </w:r>
          </w:p>
        </w:tc>
        <w:tc>
          <w:tcPr>
            <w:tcW w:type="dxa" w:w="3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min(spot, cap). Plafond uniquement.</w:t>
            </w:r>
          </w:p>
        </w:tc>
        <w:tc>
          <w:tcPr>
            <w:tcW w:type="dxa" w:w="3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Protection acheteur pure. Moins courant.</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AXE 3 — Durée &amp; sortie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2800"/>
        <w:gridCol w:w="36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 typique France 2024</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Contract Duration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15-20 ans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 ans = standard bancable. 15 ans plus fréquent depuis 2022 (hausse taux).</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Early Termination Fee</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10-20% valeur résiduelle</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Clause break-up fee standard.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Step Down Option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0-30% volume après an X</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Permet de réduire le volume PPA si les besoins évoluent.</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AXE 4 — Curtailment &amp; prix négatifs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2000"/>
        <w:gridCol w:w="44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 typique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Negative Price Floor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0 €/MWh (zero floor)</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Standard 2024+. Settlement min = 0 même si spot négatif. Intégré dans compute_effective_capture_price().</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Voluntary Curtailment Threshold</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None</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Seuil en €/MWh sous lequel la production s'arrête. Utilisé si spot très négatif prolongé.</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Grid Curtailment Rate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1.5 %/an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Taux de curtailment imposé par RTE/ENEDIS (files d'attente, contraintes réseau locales).</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Grid Curtailment Compensation</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0 %</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Part de la perte de curtailment réseau compensée dans le contrat.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Volume Guarantee Type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pay_as_produced</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pay_as_produced = standard. baseload = engagement volume fixe (+2-3 €/MWh de prime risque).</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AXE 5 — Imbalance &amp; sleeving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2000"/>
        <w:gridCol w:w="46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 typique</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Imbalance Responsibility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sleeving</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Le fournisseur intermédiaire gère les écarts production vs prévision.</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Sleeving Fee</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2-5 €/MWh</w:t>
            </w:r>
          </w:p>
        </w:tc>
        <w:tc>
          <w:tcPr>
            <w:tcW w:type="dxa" w:w="4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Rémunération du sléeveur. Variable selon volatilité de production.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Basis Risk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0.5-2 €/MWh</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Écart structurel prix hub EPEX FR vs prix livraison site. Négatif pour l'acheteur.</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Settlement Period</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monthly</w:t>
            </w:r>
          </w:p>
        </w:tc>
        <w:tc>
          <w:tcPr>
            <w:tcW w:type="dxa" w:w="4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Mensuel = standard. Daily = surcoût administratif.</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AXE 6 — Garanties d'Origine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1800"/>
        <w:gridCol w:w="48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 typique</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GO Matching Granularity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annual</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annual = standard (5-8 €/MWh). monthly = +40%. hourly/24-7 CFE = +120% (objectif EU Taxonomy 2030).</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Additionality Required</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True</w:t>
            </w:r>
          </w:p>
        </w:tc>
        <w:tc>
          <w:tcPr>
            <w:tcW w:type="dxa" w:w="4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Parc nouveau (&lt; 36 mois avant contrat). Exigence EU Taxonomy + directive RED III.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GO Bundled with Energy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True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True = GO incluse dans le prix PPA. False = GO vendue séparément.</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AXE 7 — Risques financiers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2200"/>
        <w:gridCol w:w="4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 typique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Credit Support Type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none / letter_of_credit / parent_guarantee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Sécurité financière en cas de défaut. Letter of credit = standard pour grands industriels HTB2.</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Hedge Accounting (IFRS 9)</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False</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Qualification IFRS 9 : réduit la volatilité P&amp;L si le PPA est comptabilisé comme couverture.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Termination Value Method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replacement_cost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Valorisation à la résiliation anticipée. Replacement cost = valeur de marché du contrat équivalent.</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Mark to Market Frequency</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none / quarterly / annual</w:t>
            </w:r>
          </w:p>
        </w:tc>
        <w:tc>
          <w:tcPr>
            <w:tcW w:type="dxa" w:w="4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Fréquence de valorisation MtM du portefeuille PPA. Impacte le bilan IFRS.</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4. Données de référence — grid_france.csv</w:t>
      </w:r>
    </w:p>
    <w:p>
      <w:pPr>
        <w:spacing w:after="120"/>
      </w:pPr>
      <w:r>
        <w:rPr>
          <w:rFonts w:ascii="Arial" w:cs="Arial" w:eastAsia="Arial" w:hAnsi="Arial"/>
          <w:color w:val="1A1A1A"/>
          <w:sz w:val="22"/>
          <w:szCs w:val="22"/>
        </w:rPr>
        <w:t xml:space="preserve">Fichier CSV chargé une fois au lancement. Trajectoires technico-économiques France 2023-2050. Valeurs 2023-2024 réelles (sources officielles). Valeurs 2025-2050 projections sourcées (IRENA, RTE FE2050, ADEME).</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120"/>
              <w:left w:type="dxa" w:w="180"/>
              <w:bottom w:type="dxa" w:w="120"/>
              <w:right w:type="dxa" w:w="140"/>
            </w:tcMar>
          </w:tcPr>
          <w:p>
            <w:pPr>
              <w:spacing w:after="0"/>
            </w:pPr>
            <w:r>
              <w:rPr>
                <w:rFonts w:ascii="Arial" w:cs="Arial" w:eastAsia="Arial" w:hAnsi="Arial"/>
                <w:b/>
                <w:bCs/>
                <w:color w:val="2E75B6"/>
                <w:sz w:val="22"/>
                <w:szCs w:val="22"/>
              </w:rPr>
              <w:t xml:space="preserve">📌  </w:t>
            </w:r>
            <w:r>
              <w:rPr>
                <w:rFonts w:ascii="Arial" w:cs="Arial" w:eastAsia="Arial" w:hAnsi="Arial"/>
                <w:color w:val="1A1A1A"/>
                <w:sz w:val="21"/>
                <w:szCs w:val="21"/>
              </w:rPr>
              <w:t xml:space="preserve">grid_france.csv définit : (1) CAPEX de construction des parcs ENR pour chaque année modèle, (2) coût carbone implicite du réseau pour le calcul des émissions Scope 2, (3) part ENR dans le mix pour les métriques ESG. Il ne contient pas les prix spot horaires — ceux-ci viennent de epex_profiles.db.</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4.1 Toutes les colonnes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0"/>
        <w:gridCol w:w="1000"/>
        <w:gridCol w:w="1100"/>
        <w:gridCol w:w="1100"/>
        <w:gridCol w:w="1100"/>
        <w:gridCol w:w="25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Colonne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Unité</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2024</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2030</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2050</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 principale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solar_capex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700 000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580 000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350 000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 AO solaire, ADEME FE2050</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solar_opex</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€/MW/an</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8 500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7 000</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ADEME FE2050 annexe CAPEX</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solar_cf_ref</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fraction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0.145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0.147</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0.148</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PVGIS JRC (latitude FR moyenne)</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wind_onshore_capex</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1 500 000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1 300 000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1 100 000</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WindEurope, CRE AO onshore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wind_onshore_opex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€/MW/an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35 000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30 000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25 000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WindEurope statistics</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wind_offshore_capex</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3 000 000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2 500 000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1 600 000</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 AO éolien en mer, IRENA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wind_offshore_opex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€/MW/an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80 000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65 000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55 000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WindEurope Offshore Stats</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bess_capex_per_mwh</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€/MWh</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150 000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90 000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40 000</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BloombergNEF BESS, IRENA 2023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co2_intensity_g_kwh</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gCO2/kWh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47.2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35.0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 eco2mix (réel), RTE FE2050</w:t>
            </w:r>
          </w:p>
        </w:tc>
      </w:tr>
      <w:tr>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ren_share</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fraction</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0.290</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0.38</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0.58</w:t>
            </w:r>
          </w:p>
        </w:tc>
        <w:tc>
          <w:tcPr>
            <w:tcW w:type="dxa" w:w="25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 eco2mix (réel), RTE FE2050 M23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epex_spot_mean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€/MWh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65.0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+2%/an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+2%/an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 prix-spot-da-horaires</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4.2 Détail variable par variable</w:t>
      </w:r>
    </w:p>
    <w:p>
      <w:pPr>
        <w:pStyle w:val="Heading3"/>
        <w:spacing w:before="200" w:after="80"/>
      </w:pPr>
      <w:r>
        <w:rPr>
          <w:rFonts w:ascii="Arial" w:cs="Arial" w:eastAsia="Arial" w:hAnsi="Arial"/>
          <w:b/>
          <w:bCs/>
          <w:color w:val="1F3864"/>
          <w:sz w:val="24"/>
          <w:szCs w:val="24"/>
        </w:rPr>
        <w:t xml:space="preserve">co2_intensity_g_kwh — Intensité carbone (gCO2/kWh)</w:t>
      </w:r>
    </w:p>
    <w:p>
      <w:pPr>
        <w:spacing w:after="120"/>
      </w:pPr>
      <w:r>
        <w:rPr>
          <w:rFonts w:ascii="Arial" w:cs="Arial" w:eastAsia="Arial" w:hAnsi="Arial"/>
          <w:color w:val="1A1A1A"/>
          <w:sz w:val="22"/>
          <w:szCs w:val="22"/>
        </w:rPr>
        <w:t xml:space="preserve">Quantité de CO2 émise par kWh du mix électrique français. Sert au calcul des émissions Scope 2 et à la valorisation carbone du PPA. La France a l'un des mix les plus décarbonés d'Europe grâce au nucléaire (~70%) — l'argument PPA est davantage le prix que la décarbonation.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1200"/>
        <w:gridCol w:w="3600"/>
        <w:gridCol w:w="3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gCO2/kWh</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Explication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2023 réel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51.5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Moyenne annuelle calculée sur 8 760 données horaires ODRE.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 &gt; eco2mix-national-cons-def &gt; taux_co2</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2024 réel</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47.2</w:t>
            </w:r>
          </w:p>
        </w:tc>
        <w:tc>
          <w:tcPr>
            <w:tcW w:type="dxa" w:w="3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Réduction due à la remontée nucléaire (fin maintenances 2022-2023) et à la croissance ENR.</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Même source ODRE — moyenne jan-déc 2024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2050 projeté</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Scénario M23 RTE FE2050 : quasi-neutralité carbone électrique. Interpolation linéaire 2024→2050.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rte-france.com/analyses-tendances &gt; Futurs Énergétiques 2050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2E75B6" w:sz="12"/>
              <w:bottom w:val="single" w:color="CCCCCC" w:sz="1"/>
              <w:right w:val="single" w:color="CCCCCC" w:sz="1"/>
            </w:tcBorders>
            <w:shd w:fill="EBF3FA" w:val="clear"/>
            <w:tcMar>
              <w:top w:type="dxa" w:w="120"/>
              <w:left w:type="dxa" w:w="180"/>
              <w:bottom w:type="dxa" w:w="120"/>
              <w:right w:type="dxa" w:w="140"/>
            </w:tcMar>
          </w:tcPr>
          <w:p>
            <w:pPr>
              <w:spacing w:after="0"/>
            </w:pPr>
            <w:r>
              <w:rPr>
                <w:rFonts w:ascii="Arial" w:cs="Arial" w:eastAsia="Arial" w:hAnsi="Arial"/>
                <w:b/>
                <w:bCs/>
                <w:color w:val="2E75B6"/>
                <w:sz w:val="22"/>
                <w:szCs w:val="22"/>
              </w:rPr>
              <w:t xml:space="preserve">ℹ️  </w:t>
            </w:r>
            <w:r>
              <w:rPr>
                <w:rFonts w:ascii="Arial" w:cs="Arial" w:eastAsia="Arial" w:hAnsi="Arial"/>
                <w:color w:val="1A1A1A"/>
                <w:sz w:val="21"/>
                <w:szCs w:val="21"/>
              </w:rPr>
              <w:t xml:space="preserve">Scope 2 location-based vs market-based : le modèle utilise l'approche location-based (intensité carbone du réseau au point de livraison). L'approche market-based utilise 0 gCO2/kWh pour les MWh couverts par GO — c'est l'option requise par la GHG Protocol Corporate Standard.</w:t>
            </w:r>
          </w:p>
        </w:tc>
      </w:tr>
    </w:tbl>
    <w:p>
      <w:pPr>
        <w:spacing w:after="160"/>
      </w:pPr>
      <w:r>
        <w:rPr>
          <w:sz w:val="22"/>
          <w:szCs w:val="22"/>
        </w:rPr>
        <w:t xml:space="preserve"/>
      </w:r>
    </w:p>
    <w:p>
      <w:pPr>
        <w:pStyle w:val="Heading3"/>
        <w:spacing w:before="200" w:after="80"/>
      </w:pPr>
      <w:r>
        <w:rPr>
          <w:rFonts w:ascii="Arial" w:cs="Arial" w:eastAsia="Arial" w:hAnsi="Arial"/>
          <w:b/>
          <w:bCs/>
          <w:color w:val="1F3864"/>
          <w:sz w:val="24"/>
          <w:szCs w:val="24"/>
        </w:rPr>
        <w:t xml:space="preserve">ren_share — Part ENR dans le mix</w:t>
      </w:r>
    </w:p>
    <w:p>
      <w:pPr>
        <w:spacing w:after="120"/>
      </w:pPr>
      <w:r>
        <w:rPr>
          <w:rFonts w:ascii="Arial" w:cs="Arial" w:eastAsia="Arial" w:hAnsi="Arial"/>
          <w:color w:val="1A1A1A"/>
          <w:sz w:val="22"/>
          <w:szCs w:val="22"/>
        </w:rPr>
        <w:t xml:space="preserve">Fraction ENR dans le mix annuel français. Sert aux métriques ESG et certification verte. Le nucléaire (~70%) n'est pas compté comme ENR (position Eurostat). Interpolation linéaire entre les points d'ancrage réels et le scénario M23 RTE 2050.</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00"/>
        <w:gridCol w:w="1800"/>
        <w:gridCol w:w="3000"/>
        <w:gridCol w:w="3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Fraction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Composition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2023 réel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0.265 (26.5%)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Hydraulique ~12%, éolien ~8%, solaire ~4%, biomasse ~2%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 eco2mix colonne taux_enr. RTE Bilan électrique 2023</w:t>
            </w:r>
          </w:p>
        </w:tc>
      </w:tr>
      <w:tr>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2024 réel</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0.290 (29%)</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Hausse : fort hydraulique + croissance solaire (+15% capacité installée)</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RTE Bilan électrique provisoire 2024. ODRE consolidé</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2050 projeté</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0.580 (58%)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Scénario M23 : ENR 58%, nucléaire 42%, fossiles quasi nuls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RTE Futurs Énergétiques 2050 — scénario M23</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4.3 Guide de mise à jour</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2000"/>
        <w:gridCol w:w="2600"/>
        <w:gridCol w:w="2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Fréquence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Sensibilité modèle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URL source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solar_capex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 (août, après AO CRE)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Forte — impacte LCOE et décision PPA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cre.fr &gt; ENR &gt; Appels d'offres &gt; Résultats</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wind_offshore_capex</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 (août, après AO CRE)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Très forte — 60-80% du LCOE offshore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cre.fr &gt; Éolien en mer + windeurope.org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wind_onshore_capex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Forte — LCOE onshore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WindEurope statistics</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bess_capex_per_mwh</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 (baisse rapide ~15%/an)</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Forte si scénario batterie activé</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bloomberg.com/professional &gt; BNEF BESS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co2_intensity_g_kwh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 (janvier, bilan RTE)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Faible sur décision PPA, fort sur ESG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 + rte-france.com/bilan</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ren_share</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 (janvier, bilan RTE)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Faible — certification verte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 &gt; taux_enr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epex_spot_mean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Annuelle (calibrer sur réel)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Modérée — benchmark coût réseau</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 &gt; prix-spot-da-horaires</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5. scenario_defaults.xlsx — Les 6 scénarios</w:t>
      </w:r>
    </w:p>
    <w:p>
      <w:pPr>
        <w:spacing w:after="120"/>
      </w:pPr>
      <w:r>
        <w:rPr>
          <w:rFonts w:ascii="Arial" w:cs="Arial" w:eastAsia="Arial" w:hAnsi="Arial"/>
          <w:color w:val="1A1A1A"/>
          <w:sz w:val="22"/>
          <w:szCs w:val="22"/>
        </w:rPr>
        <w:t xml:space="preserve">Source unique de vérité pour tous les paramètres. Chaque colonne = un scénario. 60+ paramètres sur 7 axes. Onglet GUIDE intégré.</w:t>
      </w:r>
    </w:p>
    <w:p>
      <w:pPr>
        <w:pStyle w:val="Heading2"/>
        <w:spacing w:before="280" w:after="100"/>
      </w:pPr>
      <w:r>
        <w:rPr>
          <w:rFonts w:ascii="Arial" w:cs="Arial" w:eastAsia="Arial" w:hAnsi="Arial"/>
          <w:b/>
          <w:bCs/>
          <w:color w:val="2E75B6"/>
          <w:sz w:val="28"/>
          <w:szCs w:val="28"/>
        </w:rPr>
        <w:t xml:space="preserve">5.1 Les deux industriels modélisés</w:t>
      </w:r>
    </w:p>
    <w:tbl>
      <w:tblPr>
        <w:tblW w:type="dxa" w:w="11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2200"/>
        <w:gridCol w:w="1800"/>
        <w:gridCol w:w="2600"/>
        <w:gridCol w:w="2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Industriel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Consommation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Raccordement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Profil de charge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Motivation PPA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ArcelorMittal Dunkerque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 TWh/an
685 MW moyen
Pointe : ~850 MW</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HTB2 (225 kV)
Version LU ou MU</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Semi-continu : fours à arc électriques. Load factor ~0.9. Weekend légèrement réduit.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Objectif -30% CO2 d'ici 2030 (Climate Action Report). Couverture prix spot long terme.</w:t>
            </w:r>
          </w:p>
        </w:tc>
      </w:tr>
      <w:tr>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H2 Normandie</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~0.9 TWh/an
200 MW
4 000-5 000 h/an</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HTB3 (63 kV)
Poste source direct
Pas de batterie externe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Très flexible : électrolyseur PEM module 20-100% en secondes. Profil optimal = suit ENR disponible.</w:t>
            </w:r>
          </w:p>
        </w:tc>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Exigence RED III : H2 renouvelable certifié = GO ou PPA direct. Sans PPA = H2 bas-carbone (moins valorisé).</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5.2 Les 6 scénarios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1000"/>
        <w:gridCol w:w="3200"/>
        <w:gridCol w:w="2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Scénario</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Client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Différence clé</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 distinctif</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PPA100_ArcelorMittal_MU</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ArMit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 100%, TURPE version MU. Scénario de référence. Prix indexé +2%/an.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Selected Sheet = HTB2_MU</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PPA100_ArcelorMittal_LU</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ArMit</w:t>
            </w:r>
          </w:p>
        </w:tc>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Identique mais TURPE LU. Plus rentable si &gt; 5 000 h/an. Mesure sensibilité au choix TURPE.</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Selected Sheet = HTB2_LU</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PPA100_H2_Normandie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 100% électrolyseur. Priorité éolien offshore. Pas de batterie.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Load H2 = 200, Load ArMit = 0</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PPA50_ArcelorMittal_MU</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ArMit</w:t>
            </w:r>
          </w:p>
        </w:tc>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Mixte : max 50% réseau, 50% min PPA. Explore l'optimum si PPA trop cher pour 100%.</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Max Grid Share = 50%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PPA_Market_ArcelorMittal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ArMit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Sans plafond spot. Benchmark 'pire cas' — valeur de couverture PPA.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SMP Limit = False</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PPA100_Levelised_H2</w:t>
            </w:r>
          </w:p>
        </w:tc>
        <w:tc>
          <w:tcPr>
            <w:tcW w:type="dxa" w:w="1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H2</w:t>
            </w:r>
          </w:p>
        </w:tc>
        <w:tc>
          <w:tcPr>
            <w:tcW w:type="dxa" w:w="3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lissé (levelised) sur 20 ans. Modèle financement bancaire.</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 Payment Type = Levelised, Rate Increase = 0%</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5.3 Paramètres marché</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1400"/>
        <w:gridCol w:w="2800"/>
        <w:gridCol w:w="2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Où vérifier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Initial SMP (€/MWh)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EPEX DA France moyen 2024. (2023 = 98 €/MWh atypique post-crise gaz.)</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 &gt; prix-spot-da-horaires</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SMP Annual Increase (%)</w:t>
            </w:r>
          </w:p>
        </w:tc>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+2%/an = scénario central RTE FE2050.</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rte-france.com &gt; Analyses &amp; prospectives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Carbon Price (€/tCO2)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EU ETS 2024 : ~65 €/tCO2.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sendeco2.com ou theice.com &gt; EUA futures</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Carbon Price Inc. (%/an)</w:t>
            </w:r>
          </w:p>
        </w:tc>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Trajectoire ETS EU vers 150 €/tCO2 en 2030. BloombergNEF Carbon 2024.</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bloomberg.com/professional &gt; BNEF Carbon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Initial GO Price (€/MWh)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GO France 2024 spot : 3-5 €/MWh marché AIB/EEX.</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aib-net.org &gt; Market data</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GO Price Increase (%/an)</w:t>
            </w:r>
          </w:p>
        </w:tc>
        <w:tc>
          <w:tcPr>
            <w:tcW w:type="dxa" w:w="1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Baisse tendancielle. Historique AIB 2019-2024 : -3 à -5%/an.</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aib-net.org &gt; Statistics</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5.4 Paramètres batterie BESS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2400"/>
        <w:gridCol w:w="1800"/>
        <w:gridCol w:w="2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ArMit / PPA50 / Market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H2 Normandie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Battery CAPEX/MW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600 000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BESS France 2024 : 550-650 k€/MW. IRENA Battery Storage Cost 2023.</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Battery CAPEX/MWh (€)</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150 000</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N/A</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Li-ion 4h France : 130-170 k€/MWh. BloombergNEF BESS 2023.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Storage Efficiency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Li-ion : 92% aller, 92% retour → rendement aller-retour = 84.6%.</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Max Hours (h)</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w:t>
            </w:r>
          </w:p>
        </w:tc>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Standard France : 4h. CRE AO stockage 2023.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Battery Lifespan (ans)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Durée réelle Li-ion industriel : 15 ans. Dégradation ~2.5%/an.</w:t>
            </w:r>
          </w:p>
        </w:tc>
      </w:tr>
    </w:tbl>
    <w:p>
      <w:pPr>
        <w:spacing w:after="160"/>
      </w:pPr>
      <w:r>
        <w:rPr>
          <w:sz w:val="22"/>
          <w:szCs w:val="22"/>
        </w:rPr>
        <w:t xml:space="preserve"/>
      </w:r>
    </w:p>
    <w:p>
      <w:pPr>
        <w:pStyle w:val="Heading2"/>
        <w:spacing w:before="280" w:after="100"/>
      </w:pPr>
      <w:r>
        <w:rPr>
          <w:rFonts w:ascii="Arial" w:cs="Arial" w:eastAsia="Arial" w:hAnsi="Arial"/>
          <w:b/>
          <w:bCs/>
          <w:color w:val="2E75B6"/>
          <w:sz w:val="28"/>
          <w:szCs w:val="28"/>
        </w:rPr>
        <w:t xml:space="preserve">5.5 Paramètres financiers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2400"/>
        <w:gridCol w:w="2000"/>
        <w:gridCol w:w="2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Paramètre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ArMit MU/LU/PPA50/Market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H2 / Lvl H2</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WACC (%)</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Damodaran Jan 2024 (Utilities/Steel France). pages.stern.nyu.edu/~adamodar</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IRR cible développeur (%)</w:t>
            </w:r>
          </w:p>
        </w:tc>
        <w:tc>
          <w:tcPr>
            <w:tcW w:type="dxa" w:w="24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9.0</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IRR cible ENR France : 8-10%. H2 = prime risque +1pt. Tendances AO CRE 2023.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Currency (1 = EUR)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Modèle en EUR natif. Remplace la conversion KRW/USD du modèle coréen original.</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6. Interface Streamlit — app.py</w:t>
      </w:r>
    </w:p>
    <w:p>
      <w:pPr>
        <w:spacing w:after="120"/>
      </w:pPr>
      <w:r>
        <w:rPr>
          <w:rFonts w:ascii="Arial" w:cs="Arial" w:eastAsia="Arial" w:hAnsi="Arial"/>
          <w:color w:val="1A1A1A"/>
          <w:sz w:val="22"/>
          <w:szCs w:val="22"/>
        </w:rPr>
        <w:t xml:space="preserve">1 522 lignes. 5 pages. Design industriel : fond #0f1923, accents #4fc3f7, DM Sans / DM Mono. Plotly Dark.</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600"/>
        <w:gridCol w:w="5800"/>
        <w:gridCol w:w="18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Page</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Onglets / contenu</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Dépendances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Accueil</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Statut 8 fichiers données (✅/❌). Aperçu scénarios depuis scenario_defaults.xlsx. Guide démarrage rapide.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Aucune</w:t>
            </w:r>
          </w:p>
        </w:tc>
      </w:tr>
      <w:tr>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Data Explorer</w:t>
            </w:r>
          </w:p>
        </w:tc>
        <w:tc>
          <w:tcPr>
            <w:tcW w:type="dxa" w:w="5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 onglets : (1) Grid France trajectoires, (2) Profils Solaires heatmap/CF mensuel, (3) Profils Éoliens courbe de durée/boxplot, (4) Charge Industrielle, (5) EPEX Spot, (6) Capture Rates scatter+bar, (7) Parcs Éoliens carte mapbox, (8) Complémentarité matrice corrélation, (9) Qualité données.</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Tous les .db et .csv de database/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Scénario &amp; Calcul</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Sélecteur scénario, ajustements manuels, structure contractuelle, clauses AXE 4 et AXE 7 en expanders. Bouton Lancer le calcul.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ppamodule.py + FranceGridUtils.py</w:t>
            </w:r>
          </w:p>
        </w:tc>
      </w:tr>
      <w:tr>
        <w:tc>
          <w:tcPr>
            <w:tcW w:type="dxa" w:w="16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Résultats</w:t>
            </w:r>
          </w:p>
        </w:tc>
        <w:tc>
          <w:tcPr>
            <w:tcW w:type="dxa" w:w="5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KPIs (VAN, MW, couverture, coût net, payback). 4 onglets : Cashflow &amp; VAN, Mix PPA, Sites screenés, Paramètres. Bouton CSV download.</w:t>
            </w:r>
          </w:p>
        </w:tc>
        <w:tc>
          <w:tcPr>
            <w:tcW w:type="dxa" w:w="18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session_state[run_results]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 Carte GIS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Carte Leaflet des parcelles candidates (RPG IGN). Stats surface/puissance/distance/prix foncier. Bouton Construire la grille.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build_land_grid.py + gisdata/</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7. TURPE_france.xlsx — Résumé</w:t>
      </w:r>
    </w:p>
    <w:p>
      <w:pPr>
        <w:spacing w:after="120"/>
      </w:pPr>
      <w:r>
        <w:rPr>
          <w:rFonts w:ascii="Arial" w:cs="Arial" w:eastAsia="Arial" w:hAnsi="Arial"/>
          <w:color w:val="1A1A1A"/>
          <w:sz w:val="22"/>
          <w:szCs w:val="22"/>
        </w:rPr>
        <w:t xml:space="preserve">Tarifs TURPE 6 HTB en vigueur depuis le 1er novembre 2024 (délibération CRE n°2024-121, coefficient +4,99%). Voir Guide_TURPE_france_v2.docx pour la documentation pédagogique complète.</w:t>
      </w:r>
    </w:p>
    <w:tbl>
      <w:tblPr>
        <w:tblW w:type="dxa" w:w="89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100"/>
        <w:gridCol w:w="1100"/>
        <w:gridCol w:w="1900"/>
        <w:gridCol w:w="1200"/>
        <w:gridCol w:w="1200"/>
        <w:gridCol w:w="1200"/>
        <w:gridCol w:w="120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Niveau</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Tension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Puissance (MU)</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HPSH</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HCSH</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HPSB</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HCSB</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400 kV</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~3.2 €/kW/an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9.8 €/MWh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8.0 €/MWh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6.2 €/MWh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4.1 €/MWh</w:t>
            </w:r>
          </w:p>
        </w:tc>
      </w:tr>
      <w:tr>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HTB2 MU</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225 kV</w:t>
            </w:r>
          </w:p>
        </w:tc>
        <w:tc>
          <w:tcPr>
            <w:tcW w:type="dxa" w:w="19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4.45 €/kW/an</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8.924 €/MWh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6.824 €/MWh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5.354 €/MWh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3.570 €/MWh</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HTB2 LU</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225 kV</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7.1 €/kW/an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4.2 €/MWh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3.1 €/MWh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2.5 €/MWh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1.8 €/MWh</w:t>
            </w:r>
          </w:p>
        </w:tc>
      </w:tr>
      <w:tr>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HTB3</w:t>
            </w:r>
          </w:p>
        </w:tc>
        <w:tc>
          <w:tcPr>
            <w:tcW w:type="dxa" w:w="11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63 kV</w:t>
            </w:r>
          </w:p>
        </w:tc>
        <w:tc>
          <w:tcPr>
            <w:tcW w:type="dxa" w:w="19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2.8 €/kW/an</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3.465 €/MWh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3.465 €/MWh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3.465 €/MWh</w:t>
            </w:r>
          </w:p>
        </w:tc>
        <w:tc>
          <w:tcPr>
            <w:tcW w:type="dxa" w:w="1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3.465 €/MWh</w:t>
            </w:r>
          </w:p>
        </w:tc>
      </w:tr>
    </w:tbl>
    <w:p>
      <w:pPr>
        <w:spacing w:after="16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200"/>
      </w:tblGrid>
      <w:tr>
        <w:tc>
          <w:tcPr>
            <w:tcBorders>
              <w:top w:val="single" w:color="CCCCCC" w:sz="1"/>
              <w:left w:val="single" w:color="C55A11" w:sz="12"/>
              <w:bottom w:val="single" w:color="CCCCCC" w:sz="1"/>
              <w:right w:val="single" w:color="CCCCCC" w:sz="1"/>
            </w:tcBorders>
            <w:shd w:fill="FCE4D6" w:val="clear"/>
            <w:tcMar>
              <w:top w:type="dxa" w:w="120"/>
              <w:left w:type="dxa" w:w="180"/>
              <w:bottom w:type="dxa" w:w="120"/>
              <w:right w:type="dxa" w:w="140"/>
            </w:tcMar>
          </w:tcPr>
          <w:p>
            <w:pPr>
              <w:spacing w:after="0"/>
            </w:pPr>
            <w:r>
              <w:rPr>
                <w:rFonts w:ascii="Arial" w:cs="Arial" w:eastAsia="Arial" w:hAnsi="Arial"/>
                <w:b/>
                <w:bCs/>
                <w:color w:val="C55A11"/>
                <w:sz w:val="22"/>
                <w:szCs w:val="22"/>
              </w:rPr>
              <w:t xml:space="preserve">⚠️  </w:t>
            </w:r>
            <w:r>
              <w:rPr>
                <w:rFonts w:ascii="Arial" w:cs="Arial" w:eastAsia="Arial" w:hAnsi="Arial"/>
                <w:color w:val="1A1A1A"/>
                <w:sz w:val="21"/>
                <w:szCs w:val="21"/>
              </w:rPr>
              <w:t xml:space="preserve">Mise à jour obligatoire chaque 1er août. services-rte.com &gt; Bibliothèque documentaire &gt; Fiches tarifaires TURPE 6.</w:t>
            </w:r>
          </w:p>
        </w:tc>
      </w:tr>
    </w:tbl>
    <w:p>
      <w:r>
        <w:br w:type="page"/>
      </w:r>
    </w:p>
    <w:p>
      <w:pPr>
        <w:pStyle w:val="Heading1"/>
        <w:pBdr>
          <w:bottom w:val="single" w:color="2E75B6" w:sz="6" w:space="4"/>
        </w:pBdr>
        <w:spacing w:before="400" w:after="160"/>
      </w:pPr>
      <w:r>
        <w:rPr>
          <w:rFonts w:ascii="Arial" w:cs="Arial" w:eastAsia="Arial" w:hAnsi="Arial"/>
          <w:b/>
          <w:bCs/>
          <w:color w:val="1F3864"/>
          <w:sz w:val="36"/>
          <w:szCs w:val="36"/>
        </w:rPr>
        <w:t xml:space="preserve">8. Sources officielles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200"/>
        <w:gridCol w:w="3000"/>
        <w:gridCol w:w="4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Données</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00"/>
            </w:tcMar>
            <w:vAlign w:val="center"/>
          </w:tcPr>
          <w:p>
            <w:pPr>
              <w:spacing w:after="0"/>
            </w:pPr>
            <w:r>
              <w:rPr>
                <w:rFonts w:ascii="Arial" w:cs="Arial" w:eastAsia="Arial" w:hAnsi="Arial"/>
                <w:b/>
                <w:bCs/>
                <w:color w:val="FFFFFF"/>
                <w:sz w:val="20"/>
                <w:szCs w:val="20"/>
              </w:rPr>
              <w:t xml:space="preserve">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EPEX DA horaires, eco2mix CO2/ENR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odre.opendatasoft.com</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AO solaire/éolien/H2, délibérations TURPE</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cre.fr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Services-RTE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Fiches tarifaires TURPE 6 HTB</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services-rte.com &gt; Bibliothèque documentaire</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RTE Futurs Énergétiques 2050</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Trajectoires CO2, ENR, prix spot</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rte-france.com/analyses-tendances-et-prospectives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PVGIS JRC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Profils PV horaires par coordonnées GPS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pvgis.ec.europa.eu</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Open-Meteo ERA5</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Profils vent 100m horaires, réanalyse</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archive-api.open-meteo.com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IGN Géoplateforme WFS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RPG parcelles, ZNIEFF, Natura 2000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data.geopf.fr/wfs/wfs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DVF data.gouv.fr</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terrain foncier par département</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files.data.gouv.fr/geo-dvf/latest/csv</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IRENA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CAPEX ENR et BESS mondiaux</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irena.org/publications</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WindEurope</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Statistiques éolien offshore Europe</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windeurope.org/intelligence-platform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Damodaran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WACC par secteur et pays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pages.stern.nyu.edu/~adamodar</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AIB / EEX</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Prix Garanties d'Origine</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aib-net.org · eex.com/environmental-markets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BloombergNEF</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BESS CAPEX, prix carbone ETS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bloomberg.com/professional</w:t>
            </w:r>
          </w:p>
        </w:tc>
      </w:tr>
      <w:tr>
        <w:tc>
          <w:tcPr>
            <w:tcW w:type="dxa" w:w="22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ArcelorMittal France</w:t>
            </w:r>
          </w:p>
        </w:tc>
        <w:tc>
          <w:tcPr>
            <w:tcW w:type="dxa" w:w="3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Consommation électrique Dunkerque</w:t>
            </w:r>
          </w:p>
        </w:tc>
        <w:tc>
          <w:tcPr>
            <w:tcW w:type="dxa" w:w="4000"/>
            <w:tcBorders>
              <w:top w:val="single" w:color="CCCCCC" w:sz="1"/>
              <w:left w:val="single" w:color="CCCCCC" w:sz="1"/>
              <w:bottom w:val="single" w:color="CCCCCC" w:sz="1"/>
              <w:right w:val="single" w:color="CCCCCC" w:sz="1"/>
            </w:tcBorders>
            <w:shd w:fill="EBF3FA" w:val="clear"/>
            <w:tcMar>
              <w:top w:type="dxa" w:w="70"/>
              <w:left w:type="dxa" w:w="120"/>
              <w:bottom w:type="dxa" w:w="70"/>
              <w:right w:type="dxa" w:w="100"/>
            </w:tcMar>
            <w:vAlign w:val="top"/>
          </w:tcPr>
          <w:p>
            <w:pPr>
              <w:spacing w:after="0"/>
            </w:pPr>
            <w:r>
              <w:rPr>
                <w:rFonts w:ascii="Arial" w:cs="Arial" w:eastAsia="Arial" w:hAnsi="Arial"/>
                <w:color w:val="1A1A1A"/>
                <w:sz w:val="20"/>
                <w:szCs w:val="20"/>
              </w:rPr>
              <w:t xml:space="preserve">arcelormittal.com/france &gt; Rapports annuels</w:t>
            </w:r>
          </w:p>
        </w:tc>
      </w:tr>
    </w:tbl>
    <w:p>
      <w:pPr>
        <w:spacing w:after="400"/>
      </w:pPr>
      <w:r>
        <w:rPr>
          <w:sz w:val="22"/>
          <w:szCs w:val="22"/>
        </w:rPr>
        <w:t xml:space="preserve"/>
      </w:r>
    </w:p>
    <w:p>
      <w:pPr>
        <w:jc w:val="center"/>
      </w:pPr>
      <w:r>
        <w:rPr>
          <w:rFonts w:ascii="Arial" w:cs="Arial" w:eastAsia="Arial" w:hAnsi="Arial"/>
          <w:color w:val="999999"/>
          <w:sz w:val="18"/>
          <w:szCs w:val="18"/>
        </w:rPr>
        <w:t xml:space="preserve">French PPA Model v3.0 — Mars 2026 — Usage confidentiel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200"/>
      </w:tabs>
    </w:pPr>
    <w:r>
      <w:rPr>
        <w:rFonts w:ascii="Arial" w:cs="Arial" w:eastAsia="Arial" w:hAnsi="Arial"/>
        <w:color w:val="999999"/>
        <w:sz w:val="16"/>
        <w:szCs w:val="16"/>
      </w:rPr>
      <w:t xml:space="preserve">French PPA Model v3.0  —  Usage confidentiel</w:t>
    </w:r>
    <w:r>
      <w:rPr>
        <w:rFonts w:ascii="Arial" w:cs="Arial" w:eastAsia="Arial" w:hAnsi="Arial"/>
        <w:sz w:val="16"/>
        <w:szCs w:val="16"/>
      </w:rPr>
      <w:t xml:space="preserve">	</w:t>
    </w:r>
    <w:r>
      <w:rPr>
        <w:rFonts w:ascii="Arial" w:cs="Arial" w:eastAsia="Arial" w:hAnsi="Arial"/>
        <w:color w:val="99999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tabs>
        <w:tab w:val="right" w:pos="9200"/>
      </w:tabs>
      <w:spacing w:after="0"/>
    </w:pPr>
    <w:r>
      <w:rPr>
        <w:rFonts w:ascii="Arial" w:cs="Arial" w:eastAsia="Arial" w:hAnsi="Arial"/>
        <w:color w:val="888888"/>
        <w:sz w:val="18"/>
        <w:szCs w:val="18"/>
      </w:rPr>
      <w:t xml:space="preserve">French PPA Model — Architecture &amp; Données de Référence v3.0</w:t>
    </w:r>
    <w:r>
      <w:rPr>
        <w:rFonts w:ascii="Arial" w:cs="Arial" w:eastAsia="Arial" w:hAnsi="Arial"/>
        <w:sz w:val="18"/>
        <w:szCs w:val="18"/>
      </w:rPr>
      <w:t xml:space="preserve">	</w:t>
    </w:r>
    <w:r>
      <w:rPr>
        <w:rFonts w:ascii="Arial" w:cs="Arial" w:eastAsia="Arial" w:hAnsi="Arial"/>
        <w:color w:val="888888"/>
        <w:sz w:val="18"/>
        <w:szCs w:val="18"/>
      </w:rPr>
      <w:t xml:space="preserve">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2026-03-01T13:36:50.327Z</dcterms:created>
  <dcterms:modified xsi:type="dcterms:W3CDTF">2026-03-01T13:36:50.328Z</dcterms:modified>
</cp:coreProperties>
</file>

<file path=docProps/custom.xml><?xml version="1.0" encoding="utf-8"?>
<Properties xmlns="http://schemas.openxmlformats.org/officeDocument/2006/custom-properties" xmlns:vt="http://schemas.openxmlformats.org/officeDocument/2006/docPropsVTypes"/>
</file>