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grid_france.csv</w:t>
      </w:r>
    </w:p>
    <w:p>
      <w:pPr>
        <w:spacing w:before="0" w:after="80"/>
      </w:pPr>
      <w:r>
        <w:rPr>
          <w:rFonts w:ascii="Arial" w:cs="Arial" w:eastAsia="Arial" w:hAnsi="Arial"/>
          <w:b/>
          <w:bCs/>
          <w:color w:val="2E75B6"/>
          <w:sz w:val="26"/>
          <w:szCs w:val="26"/>
        </w:rPr>
        <w:t xml:space="preserve">Documentation des variables — Trajectoires technico-economiques France 2023-2050</w:t>
      </w:r>
    </w:p>
    <w:p>
      <w:pPr>
        <w:spacing w:before="0" w:after="280"/>
      </w:pPr>
      <w:r>
        <w:rPr>
          <w:rFonts w:ascii="Arial" w:cs="Arial" w:eastAsia="Arial" w:hAnsi="Arial"/>
          <w:i/>
          <w:iCs/>
          <w:color w:val="555555"/>
          <w:sz w:val="21"/>
          <w:szCs w:val="21"/>
        </w:rPr>
        <w:t xml:space="preserve">Ce fichier fournit au modele PPA les donnees de cadre macro sur lesquelles reposent les calculs de cout : evolution des CAPEX renouvelables, intensite carbone du reseau et mix energetique. Les valeurs 2023-2024 sont reelles (sources officielles). Les valeurs 2025-2050 sont des projections sourcees.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none" w:color="FFFFFF" w:sz="0"/>
              <w:bottom w:val="single" w:color="2E75B6" w:sz="6"/>
              <w:right w:val="none" w:color="FFFFFF" w:sz="0"/>
            </w:tcBorders>
            <w:shd w:fill="EBF3FB" w:val="clear"/>
            <w:tcMar>
              <w:top w:type="dxa" w:w="180"/>
              <w:left w:type="dxa" w:w="240"/>
              <w:bottom w:type="dxa" w:w="180"/>
              <w:right w:type="dxa" w:w="240"/>
            </w:tcMar>
          </w:tcPr>
          <w:p>
            <w:pPr>
              <w:spacing w:after="80"/>
            </w:pPr>
            <w:r>
              <w:rPr>
                <w:rFonts w:ascii="Arial" w:cs="Arial" w:eastAsia="Arial" w:hAnsi="Arial"/>
                <w:b/>
                <w:bCs/>
                <w:color w:val="1F4E79"/>
                <w:sz w:val="22"/>
                <w:szCs w:val="22"/>
              </w:rPr>
              <w:t xml:space="preserve">Role dans le modele</w:t>
            </w:r>
          </w:p>
          <w:p>
            <w:pPr>
              <w:spacing w:after="0"/>
            </w:pPr>
            <w:r>
              <w:rPr>
                <w:rFonts w:ascii="Arial" w:cs="Arial" w:eastAsia="Arial" w:hAnsi="Arial"/>
                <w:color w:val="333333"/>
                <w:sz w:val="21"/>
                <w:szCs w:val="21"/>
              </w:rPr>
              <w:t xml:space="preserve">grid_france.csv est lu une fois au lancement du modele. Il definit : (1) le cout de construction des parcs solaires et eoliens pour chaque annee modele, (2) le cout carbone implicite du reseau electrique pour le calcul des emissions scope 2, (3) la part d'ENR dans le mix pour les calculs de certification verte. Il ne contient pas les prix spot horaires — ceux-ci viennent de l'API EPEX.</w:t>
            </w:r>
          </w:p>
        </w:tc>
      </w:tr>
    </w:tbl>
    <w:p>
      <w:r>
        <w:br w:type="page"/>
      </w:r>
    </w:p>
    <w:p>
      <w:pPr>
        <w:pStyle w:val="Heading1"/>
        <w:spacing w:before="400" w:after="160"/>
      </w:pPr>
      <w:r>
        <w:rPr>
          <w:rFonts w:ascii="Arial" w:cs="Arial" w:eastAsia="Arial" w:hAnsi="Arial"/>
          <w:b/>
          <w:bCs/>
          <w:color w:val="1F4E79"/>
          <w:sz w:val="36"/>
          <w:szCs w:val="36"/>
        </w:rPr>
        <w:t xml:space="preserve">1. solar_capex — CAPEX solaire (EUR/MW)</w:t>
      </w:r>
    </w:p>
    <w:p>
      <w:pPr>
        <w:spacing w:before="0" w:after="160"/>
      </w:pPr>
      <w:r>
        <w:rPr>
          <w:rFonts w:ascii="Arial" w:cs="Arial" w:eastAsia="Arial" w:hAnsi="Arial"/>
          <w:b w:val="false"/>
          <w:bCs w:val="false"/>
          <w:i w:val="false"/>
          <w:iCs w:val="false"/>
          <w:color w:val="222222"/>
          <w:sz w:val="22"/>
          <w:szCs w:val="22"/>
        </w:rPr>
        <w:t xml:space="preserve">Cette variable represente le cout total d'installation d'un parc solaire photovoltaique au sol en France, exprime en EUR par MW installe (MW-crete). Elle inclut les panneaux, l'onduleur, le genie civil, le raccordement au poste source et les frais de developpement.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solar_capex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Role dans le modele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Source / Ou verifier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2023</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700 000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CAPEX de reference pour le calcul du LCOE solaire dans le scenario Model Year. Si Model Year = 2030, le modele utilise solar_capex[2030] = 580 000 EUR/MW.</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CRE AO S21/2023 solaire au sol — prix moyen adjuge. ADEME Futurs Energetiques 2050 Annexe CAPEX p.47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2030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580 000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Objectif intermediaire — reflète la baisse des couts modules PV et l'optimisation des chantiers.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IEA World Energy Outlook 2023 — France (scenario STEPS). ADEME FE2050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2050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350 000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Cible long-terme — basee sur la courbe d'apprentissage PV (reduction ~40% sur 2023-2050).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IEA NZE scenario 2023. IRENA Renewable Power Generation Costs 2023</w:t>
            </w:r>
          </w:p>
        </w:tc>
      </w:tr>
    </w:tbl>
    <w:p>
      <w:pPr>
        <w:spacing w:before="160" w:after="0"/>
      </w:pPr>
    </w:p>
    <w:p>
      <w:pPr>
        <w:pStyle w:val="Heading3"/>
        <w:spacing w:before="200" w:after="80"/>
      </w:pPr>
      <w:r>
        <w:rPr>
          <w:rFonts w:ascii="Arial" w:cs="Arial" w:eastAsia="Arial" w:hAnsi="Arial"/>
          <w:b/>
          <w:bCs/>
          <w:color w:val="404040"/>
          <w:sz w:val="24"/>
          <w:szCs w:val="24"/>
        </w:rPr>
        <w:t xml:space="preserve">Comment trouver les valeurs officielles</w:t>
      </w:r>
    </w:p>
    <w:p>
      <w:pPr>
        <w:pStyle w:val="ListParagraph"/>
        <w:numPr>
          <w:ilvl w:val="0"/>
          <w:numId w:val="2"/>
        </w:numPr>
        <w:spacing w:after="100"/>
      </w:pPr>
      <w:r>
        <w:rPr>
          <w:rFonts w:ascii="Arial" w:cs="Arial" w:eastAsia="Arial" w:hAnsi="Arial"/>
          <w:color w:val="222222"/>
          <w:sz w:val="22"/>
          <w:szCs w:val="22"/>
        </w:rPr>
        <w:t xml:space="preserve">CRE — Appels d'offres solaire : cre.fr &gt; Electricite &gt; ENR &gt; Appels d'offres &gt; Resultats (prix adjuges par lot en EUR/MWh, permettent de retro-calculer CAPEX)</w:t>
      </w:r>
    </w:p>
    <w:p>
      <w:pPr>
        <w:pStyle w:val="ListParagraph"/>
        <w:numPr>
          <w:ilvl w:val="0"/>
          <w:numId w:val="2"/>
        </w:numPr>
        <w:spacing w:after="100"/>
      </w:pPr>
      <w:r>
        <w:rPr>
          <w:rFonts w:ascii="Arial" w:cs="Arial" w:eastAsia="Arial" w:hAnsi="Arial"/>
          <w:color w:val="222222"/>
          <w:sz w:val="22"/>
          <w:szCs w:val="22"/>
        </w:rPr>
        <w:t xml:space="preserve">ADEME — Futurs Energetiques 2050 : ademe.fr &gt; Publications &gt; "Futurs Energetiques 2050" &gt; Annexe technique CAPEX (tableau Excel public)</w:t>
      </w:r>
    </w:p>
    <w:p>
      <w:pPr>
        <w:pStyle w:val="ListParagraph"/>
        <w:numPr>
          <w:ilvl w:val="0"/>
          <w:numId w:val="2"/>
        </w:numPr>
        <w:spacing w:after="100"/>
      </w:pPr>
      <w:r>
        <w:rPr>
          <w:rFonts w:ascii="Arial" w:cs="Arial" w:eastAsia="Arial" w:hAnsi="Arial"/>
          <w:color w:val="222222"/>
          <w:sz w:val="22"/>
          <w:szCs w:val="22"/>
        </w:rPr>
        <w:t xml:space="preserve">IEA WEO 2023 : iea.org/reports/world-energy-outlook-2023 &gt; Data &amp; statistics &gt; Capital costs by technology</w:t>
      </w:r>
    </w:p>
    <w:p>
      <w:pPr>
        <w:pStyle w:val="ListParagraph"/>
        <w:numPr>
          <w:ilvl w:val="0"/>
          <w:numId w:val="2"/>
        </w:numPr>
        <w:spacing w:after="100"/>
      </w:pPr>
      <w:r>
        <w:rPr>
          <w:rFonts w:ascii="Arial" w:cs="Arial" w:eastAsia="Arial" w:hAnsi="Arial"/>
          <w:color w:val="222222"/>
          <w:sz w:val="22"/>
          <w:szCs w:val="22"/>
        </w:rPr>
        <w:t xml:space="preserve">IRENA : irena.org/publications/2024/Sep/Renewable-Power-Generation-Costs-in-2023</w:t>
      </w:r>
    </w:p>
    <w:p>
      <w:pPr>
        <w:pBdr>
          <w:left w:val="single" w:color="1F4E79" w:sz="6" w:space="10"/>
        </w:pBdr>
        <w:spacing w:before="80" w:after="120"/>
        <w:ind w:left="200"/>
      </w:pPr>
      <w:r>
        <w:rPr>
          <w:rFonts w:ascii="Arial" w:cs="Arial" w:eastAsia="Arial" w:hAnsi="Arial"/>
          <w:i/>
          <w:iCs/>
          <w:color w:val="444444"/>
          <w:sz w:val="20"/>
          <w:szCs w:val="20"/>
        </w:rPr>
        <w:t xml:space="preserve">Mise a jour recommandee : chaque annee en aout, apres publication des resultats des AO CRE de l'annee. Les CAPEX solaires baissent regulierement de 3-8% par an.</w:t>
      </w:r>
    </w:p>
    <w:p>
      <w:pPr>
        <w:spacing w:before="240" w:after="0"/>
      </w:pPr>
    </w:p>
    <w:p>
      <w:pPr>
        <w:pStyle w:val="Heading1"/>
        <w:spacing w:before="400" w:after="160"/>
      </w:pPr>
      <w:r>
        <w:rPr>
          <w:rFonts w:ascii="Arial" w:cs="Arial" w:eastAsia="Arial" w:hAnsi="Arial"/>
          <w:b/>
          <w:bCs/>
          <w:color w:val="1F4E79"/>
          <w:sz w:val="36"/>
          <w:szCs w:val="36"/>
        </w:rPr>
        <w:t xml:space="preserve">2. wind_capex — CAPEX eolien offshore (EUR/MW)</w:t>
      </w:r>
    </w:p>
    <w:p>
      <w:pPr>
        <w:spacing w:before="0" w:after="160"/>
      </w:pPr>
      <w:r>
        <w:rPr>
          <w:rFonts w:ascii="Arial" w:cs="Arial" w:eastAsia="Arial" w:hAnsi="Arial"/>
          <w:b w:val="false"/>
          <w:bCs w:val="false"/>
          <w:i w:val="false"/>
          <w:iCs w:val="false"/>
          <w:color w:val="222222"/>
          <w:sz w:val="22"/>
          <w:szCs w:val="22"/>
        </w:rPr>
        <w:t xml:space="preserve">Cette variable represente le cout total d'un parc eolien en mer (offshore) en France, exprime en EUR par MW installe. Elle inclut les turbines, les fondations monopieux, le cable sous-marin, le poste en mer, le raccordement a terre et les frais de developpement.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wind_capex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Role dans le modele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Source / Ou verifier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2023</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3 000 000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CAPEX reference pour calcul LCOE eolien offshore. Valeur ancoree sur les prix adjuges des AO CRE eolien en mer 2022-2023 (70-85 EUR/MWh → CAPEX implique ~3 M EUR/MW).</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CRE deliberations AO eolien en mer : Saint-Nazaire, Fecamp, Courseulles. WindEurope Offshore Statistics 2023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2030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2 500 000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Reduction attendue grace a l'industrialisation de la chaine d'approvisionnement et aux turbines de plus grande puissance.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WindEurope Market Outlook to 2030. IEA WEO 2023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2050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1 600 000 EUR/MW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Cible long-terme — reduction de 47% sur 2023-2050, coherente avec les trajectoires IRENA et WindEurope.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IRENA Future of Wind 2019 (reference). WindEurope 2023 update</w:t>
            </w:r>
          </w:p>
        </w:tc>
      </w:tr>
    </w:tbl>
    <w:p>
      <w:pPr>
        <w:spacing w:before="160" w:after="0"/>
      </w:pPr>
    </w:p>
    <w:p>
      <w:pPr>
        <w:pStyle w:val="Heading3"/>
        <w:spacing w:before="200" w:after="80"/>
      </w:pPr>
      <w:r>
        <w:rPr>
          <w:rFonts w:ascii="Arial" w:cs="Arial" w:eastAsia="Arial" w:hAnsi="Arial"/>
          <w:b/>
          <w:bCs/>
          <w:color w:val="404040"/>
          <w:sz w:val="24"/>
          <w:szCs w:val="24"/>
        </w:rPr>
        <w:t xml:space="preserve">Comment trouver les valeurs officielles</w:t>
      </w:r>
    </w:p>
    <w:p>
      <w:pPr>
        <w:pStyle w:val="ListParagraph"/>
        <w:numPr>
          <w:ilvl w:val="0"/>
          <w:numId w:val="2"/>
        </w:numPr>
        <w:spacing w:after="100"/>
      </w:pPr>
      <w:r>
        <w:rPr>
          <w:rFonts w:ascii="Arial" w:cs="Arial" w:eastAsia="Arial" w:hAnsi="Arial"/>
          <w:color w:val="222222"/>
          <w:sz w:val="22"/>
          <w:szCs w:val="22"/>
        </w:rPr>
        <w:t xml:space="preserve">CRE eolien en mer : cre.fr &gt; Electricite &gt; ENR &gt; Eolien en mer &gt; Deliberations par parc (prix adjuges publiés)</w:t>
      </w:r>
    </w:p>
    <w:p>
      <w:pPr>
        <w:pStyle w:val="ListParagraph"/>
        <w:numPr>
          <w:ilvl w:val="0"/>
          <w:numId w:val="2"/>
        </w:numPr>
        <w:spacing w:after="100"/>
      </w:pPr>
      <w:r>
        <w:rPr>
          <w:rFonts w:ascii="Arial" w:cs="Arial" w:eastAsia="Arial" w:hAnsi="Arial"/>
          <w:color w:val="222222"/>
          <w:sz w:val="22"/>
          <w:szCs w:val="22"/>
        </w:rPr>
        <w:t xml:space="preserve">WindEurope Annual Statistics : windeurope.org &gt; Intelligence Platform &gt; Statistics (CAPEX offshore par pays et par annee)</w:t>
      </w:r>
    </w:p>
    <w:p>
      <w:pPr>
        <w:pStyle w:val="ListParagraph"/>
        <w:numPr>
          <w:ilvl w:val="0"/>
          <w:numId w:val="2"/>
        </w:numPr>
        <w:spacing w:after="100"/>
      </w:pPr>
      <w:r>
        <w:rPr>
          <w:rFonts w:ascii="Arial" w:cs="Arial" w:eastAsia="Arial" w:hAnsi="Arial"/>
          <w:color w:val="222222"/>
          <w:sz w:val="22"/>
          <w:szCs w:val="22"/>
        </w:rPr>
        <w:t xml:space="preserve">IRENA : irena.org/publications/2024/Sep/Renewable-Power-Generation-Costs-in-2023 &gt; Offshore wind section</w:t>
      </w:r>
    </w:p>
    <w:p>
      <w:pPr>
        <w:pStyle w:val="ListParagraph"/>
        <w:numPr>
          <w:ilvl w:val="0"/>
          <w:numId w:val="2"/>
        </w:numPr>
        <w:spacing w:after="100"/>
      </w:pPr>
      <w:r>
        <w:rPr>
          <w:rFonts w:ascii="Arial" w:cs="Arial" w:eastAsia="Arial" w:hAnsi="Arial"/>
          <w:color w:val="222222"/>
          <w:sz w:val="22"/>
          <w:szCs w:val="22"/>
        </w:rPr>
        <w:t xml:space="preserve">thewindpower.net : base de donnees de tous les parcs mondiaux avec capacite et date de mise en service</w:t>
      </w:r>
    </w:p>
    <w:p>
      <w:pPr>
        <w:pBdr>
          <w:left w:val="single" w:color="1F4E79" w:sz="6" w:space="10"/>
        </w:pBdr>
        <w:spacing w:before="80" w:after="120"/>
        <w:ind w:left="200"/>
      </w:pPr>
      <w:r>
        <w:rPr>
          <w:rFonts w:ascii="Arial" w:cs="Arial" w:eastAsia="Arial" w:hAnsi="Arial"/>
          <w:i/>
          <w:iCs/>
          <w:color w:val="444444"/>
          <w:sz w:val="20"/>
          <w:szCs w:val="20"/>
        </w:rPr>
        <w:t xml:space="preserve">Attention : les CAPEX offshore ont augmente en 2022-2023 (+15-20%) a cause de l'inflation sur l'acier et les sous-traitants. La trajectoire 2023→2050 suppose un retour a la baisse tendancielle a partir de 2024-2025.</w:t>
      </w:r>
    </w:p>
    <w:p>
      <w:r>
        <w:br w:type="page"/>
      </w:r>
    </w:p>
    <w:p>
      <w:pPr>
        <w:pStyle w:val="Heading1"/>
        <w:spacing w:before="400" w:after="160"/>
      </w:pPr>
      <w:r>
        <w:rPr>
          <w:rFonts w:ascii="Arial" w:cs="Arial" w:eastAsia="Arial" w:hAnsi="Arial"/>
          <w:b/>
          <w:bCs/>
          <w:color w:val="1F4E79"/>
          <w:sz w:val="36"/>
          <w:szCs w:val="36"/>
        </w:rPr>
        <w:t xml:space="preserve">3. co2 — Intensite carbone du reseau electrique (gCO2/kWh)</w:t>
      </w:r>
    </w:p>
    <w:p>
      <w:pPr>
        <w:spacing w:before="0" w:after="160"/>
      </w:pPr>
      <w:r>
        <w:rPr>
          <w:rFonts w:ascii="Arial" w:cs="Arial" w:eastAsia="Arial" w:hAnsi="Arial"/>
          <w:b w:val="false"/>
          <w:bCs w:val="false"/>
          <w:i w:val="false"/>
          <w:iCs w:val="false"/>
          <w:color w:val="222222"/>
          <w:sz w:val="22"/>
          <w:szCs w:val="22"/>
        </w:rPr>
        <w:t xml:space="preserve">Cette variable represente la quantite de CO2 emise par kWh produit par le mix electrique francais, en tenant compte de toutes les sources (nucleaire, gaz, charbon, ENR). Elle sert au calcul des emissions Scope 2 de l'industriel et a la valorisation de la reduction carbone apportee par le PPA.</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co2</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Role dans le modele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Source / Ou verifier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2023</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51.5 gCO2/kWh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Valeur REELLE issue de l'API ODRE eCO2mix (RTE). Moyenne annuelle 2023 calculee sur 8760 donnees horaires. La France a l'un des mix les plus decarbones d'Europe grace au nucleaire.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ODRE eCO2mix : odre.opendatasoft.com &gt; eco2mix-national-cons-def &gt; colonne taux_co2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2024</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47.2 gCO2/kWh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Valeur REELLE — reduction due a la remontee du nucleaire (fin de la vague de maintenances exceptionnelles 2022-2023) et a la croissance des ENR.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Meme source ODRE — moyenne janvier-decembre 2024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2050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10 gCO2/kWh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Projection — scenario M23 RTE "Futurs Energetiques 2050" : quasi-neutralite carbone electrique avec 100% ENR + nucleaire maintenu. Interpolation lineaire entre 2024 et 2050.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RTE Futurs Energetiques 2050 : rte-france.com/analyses-tendances-et-prospectives/bilan-previsionnel-2050</w:t>
            </w:r>
          </w:p>
        </w:tc>
      </w:tr>
    </w:tbl>
    <w:p>
      <w:pPr>
        <w:spacing w:before="160" w:after="0"/>
      </w:pPr>
    </w:p>
    <w:p>
      <w:pPr>
        <w:pStyle w:val="Heading3"/>
        <w:spacing w:before="200" w:after="80"/>
      </w:pPr>
      <w:r>
        <w:rPr>
          <w:rFonts w:ascii="Arial" w:cs="Arial" w:eastAsia="Arial" w:hAnsi="Arial"/>
          <w:b/>
          <w:bCs/>
          <w:color w:val="404040"/>
          <w:sz w:val="24"/>
          <w:szCs w:val="24"/>
        </w:rPr>
        <w:t xml:space="preserve">Comment trouver les valeurs officielles</w:t>
      </w:r>
    </w:p>
    <w:p>
      <w:pPr>
        <w:pStyle w:val="ListParagraph"/>
        <w:numPr>
          <w:ilvl w:val="0"/>
          <w:numId w:val="2"/>
        </w:numPr>
        <w:spacing w:after="100"/>
      </w:pPr>
      <w:r>
        <w:rPr>
          <w:rFonts w:ascii="Arial" w:cs="Arial" w:eastAsia="Arial" w:hAnsi="Arial"/>
          <w:color w:val="222222"/>
          <w:sz w:val="22"/>
          <w:szCs w:val="22"/>
        </w:rPr>
        <w:t xml:space="preserve">ODRE eCO2mix (donnees historiques) : odre.opendatasoft.com &gt; dataset "eco2mix-national-cons-def" &gt; API disponible, colonne taux_co2 en gCO2/kWh</w:t>
      </w:r>
    </w:p>
    <w:p>
      <w:pPr>
        <w:pStyle w:val="ListParagraph"/>
        <w:numPr>
          <w:ilvl w:val="0"/>
          <w:numId w:val="2"/>
        </w:numPr>
        <w:spacing w:after="100"/>
      </w:pPr>
      <w:r>
        <w:rPr>
          <w:rFonts w:ascii="Arial" w:cs="Arial" w:eastAsia="Arial" w:hAnsi="Arial"/>
          <w:color w:val="222222"/>
          <w:sz w:val="22"/>
          <w:szCs w:val="22"/>
        </w:rPr>
        <w:t xml:space="preserve">RTE Bilan electrique annuel : rte-france.com &gt; Actualites &gt; Bilan electrique (publie chaque janvier pour l'annee precedente)</w:t>
      </w:r>
    </w:p>
    <w:p>
      <w:pPr>
        <w:pStyle w:val="ListParagraph"/>
        <w:numPr>
          <w:ilvl w:val="0"/>
          <w:numId w:val="2"/>
        </w:numPr>
        <w:spacing w:after="100"/>
      </w:pPr>
      <w:r>
        <w:rPr>
          <w:rFonts w:ascii="Arial" w:cs="Arial" w:eastAsia="Arial" w:hAnsi="Arial"/>
          <w:color w:val="222222"/>
          <w:sz w:val="22"/>
          <w:szCs w:val="22"/>
        </w:rPr>
        <w:t xml:space="preserve">ADEME Base Carbone : bilans-ges.ademe.fr &gt; Facteur d'emission electricite France (valeur officielle annuelle)</w:t>
      </w:r>
    </w:p>
    <w:p>
      <w:pPr>
        <w:pStyle w:val="ListParagraph"/>
        <w:numPr>
          <w:ilvl w:val="0"/>
          <w:numId w:val="2"/>
        </w:numPr>
        <w:spacing w:after="100"/>
      </w:pPr>
      <w:r>
        <w:rPr>
          <w:rFonts w:ascii="Arial" w:cs="Arial" w:eastAsia="Arial" w:hAnsi="Arial"/>
          <w:color w:val="222222"/>
          <w:sz w:val="22"/>
          <w:szCs w:val="22"/>
        </w:rPr>
        <w:t xml:space="preserve">RTE Futurs Energetiques 2050 : rte-france.com &gt; Futurs Energetiques (trajectoires par scenario M0/M1/M23/N1/N2/N03)</w:t>
      </w:r>
    </w:p>
    <w:p>
      <w:pPr>
        <w:pBdr>
          <w:left w:val="single" w:color="1F4E79" w:sz="6" w:space="10"/>
        </w:pBdr>
        <w:spacing w:before="80" w:after="120"/>
        <w:ind w:left="200"/>
      </w:pPr>
      <w:r>
        <w:rPr>
          <w:rFonts w:ascii="Arial" w:cs="Arial" w:eastAsia="Arial" w:hAnsi="Arial"/>
          <w:i/>
          <w:iCs/>
          <w:color w:val="444444"/>
          <w:sz w:val="20"/>
          <w:szCs w:val="20"/>
        </w:rPr>
        <w:t xml:space="preserve">Note methodologique : le modele utilise l'intensite carbone du reseau au point de livraison (approche "location-based" Scope 2). L'approche "market-based" utiliserait la GO du PPA = 0 gCO2/kWh.</w:t>
      </w:r>
    </w:p>
    <w:p>
      <w:pPr>
        <w:spacing w:before="240" w:after="0"/>
      </w:pPr>
    </w:p>
    <w:p>
      <w:pPr>
        <w:pStyle w:val="Heading1"/>
        <w:spacing w:before="400" w:after="160"/>
      </w:pPr>
      <w:r>
        <w:rPr>
          <w:rFonts w:ascii="Arial" w:cs="Arial" w:eastAsia="Arial" w:hAnsi="Arial"/>
          <w:b/>
          <w:bCs/>
          <w:color w:val="1F4E79"/>
          <w:sz w:val="36"/>
          <w:szCs w:val="36"/>
        </w:rPr>
        <w:t xml:space="preserve">4. ren_share — Part des ENR dans le mix electrique (fraction 0-1)</w:t>
      </w:r>
    </w:p>
    <w:p>
      <w:pPr>
        <w:spacing w:before="0" w:after="160"/>
      </w:pPr>
      <w:r>
        <w:rPr>
          <w:rFonts w:ascii="Arial" w:cs="Arial" w:eastAsia="Arial" w:hAnsi="Arial"/>
          <w:b w:val="false"/>
          <w:bCs w:val="false"/>
          <w:i w:val="false"/>
          <w:iCs w:val="false"/>
          <w:color w:val="222222"/>
          <w:sz w:val="22"/>
          <w:szCs w:val="22"/>
        </w:rPr>
        <w:t xml:space="preserve">Cette variable represente la fraction d'energies renouvelables (eolien, solaire, hydraulique, biomasse) dans le mix electrique francais annuel. Elle sert principalement aux calculs de certification verte et aux metriques ESG du rapport PPA.</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ren_share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Role dans le modele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Source / Ou verifier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2023</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0.265 (26.5%)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Valeur REELLE issue de l'API ODRE. Inclut hydraulique (~12%), eolien (~8%), solaire (~4%), biomasse (~2%). Hors nucleaire (~70%).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ODRE eCO2mix, colonne taux_enr. RTE Bilan electrique 2023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2024</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0.290 (29%)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Hausse liee a un fort hydraulique et a la croissance du solaire (+15% de capacite installee en 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RTE Bilan electrique provisoire 2024. Donnees ODRE consolidees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Valeur 2050</w:t>
            </w:r>
          </w:p>
        </w:tc>
        <w:tc>
          <w:tcPr>
            <w:tcW w:type="dxa" w:w="15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i w:val="false"/>
                <w:iCs w:val="false"/>
                <w:color w:val="C55A11"/>
                <w:sz w:val="20"/>
                <w:szCs w:val="20"/>
              </w:rPr>
              <w:t xml:space="preserve">0.58 (58%)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Projection scenario M23 RTE : ENR a 58% du mix, nucleaire a 42%, fossiles quasi-nuls. Interpolation lineaire. Hors nucleaire.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666666"/>
                <w:sz w:val="18"/>
                <w:szCs w:val="18"/>
              </w:rPr>
              <w:t xml:space="preserve">RTE Futurs Energetiques 2050 — scenario M23 (reference gouvernemental)</w:t>
            </w:r>
          </w:p>
        </w:tc>
      </w:tr>
    </w:tbl>
    <w:p>
      <w:pPr>
        <w:spacing w:before="160" w:after="0"/>
      </w:pPr>
    </w:p>
    <w:p>
      <w:pPr>
        <w:pStyle w:val="Heading3"/>
        <w:spacing w:before="200" w:after="80"/>
      </w:pPr>
      <w:r>
        <w:rPr>
          <w:rFonts w:ascii="Arial" w:cs="Arial" w:eastAsia="Arial" w:hAnsi="Arial"/>
          <w:b/>
          <w:bCs/>
          <w:color w:val="404040"/>
          <w:sz w:val="24"/>
          <w:szCs w:val="24"/>
        </w:rPr>
        <w:t xml:space="preserve">Comment trouver les valeurs officielles</w:t>
      </w:r>
    </w:p>
    <w:p>
      <w:pPr>
        <w:pStyle w:val="ListParagraph"/>
        <w:numPr>
          <w:ilvl w:val="0"/>
          <w:numId w:val="2"/>
        </w:numPr>
        <w:spacing w:after="100"/>
      </w:pPr>
      <w:r>
        <w:rPr>
          <w:rFonts w:ascii="Arial" w:cs="Arial" w:eastAsia="Arial" w:hAnsi="Arial"/>
          <w:color w:val="222222"/>
          <w:sz w:val="22"/>
          <w:szCs w:val="22"/>
        </w:rPr>
        <w:t xml:space="preserve">ODRE eCO2mix : odre.opendatasoft.com &gt; eco2mix-national-cons-def &gt; colonne taux_enr (en %)</w:t>
      </w:r>
    </w:p>
    <w:p>
      <w:pPr>
        <w:pStyle w:val="ListParagraph"/>
        <w:numPr>
          <w:ilvl w:val="0"/>
          <w:numId w:val="2"/>
        </w:numPr>
        <w:spacing w:after="100"/>
      </w:pPr>
      <w:r>
        <w:rPr>
          <w:rFonts w:ascii="Arial" w:cs="Arial" w:eastAsia="Arial" w:hAnsi="Arial"/>
          <w:color w:val="222222"/>
          <w:sz w:val="22"/>
          <w:szCs w:val="22"/>
        </w:rPr>
        <w:t xml:space="preserve">RTE Bilan electrique 2023 : "La production d'electricite en France en 2023" (publie fevrier 2024)</w:t>
      </w:r>
    </w:p>
    <w:p>
      <w:pPr>
        <w:pStyle w:val="ListParagraph"/>
        <w:numPr>
          <w:ilvl w:val="0"/>
          <w:numId w:val="2"/>
        </w:numPr>
        <w:spacing w:after="100"/>
      </w:pPr>
      <w:r>
        <w:rPr>
          <w:rFonts w:ascii="Arial" w:cs="Arial" w:eastAsia="Arial" w:hAnsi="Arial"/>
          <w:color w:val="222222"/>
          <w:sz w:val="22"/>
          <w:szCs w:val="22"/>
        </w:rPr>
        <w:t xml:space="preserve">Eurostat Energy Statistics : ec.europa.eu/eurostat &gt; Energy &gt; Share of renewable energy (donnees comparables europeennes)</w:t>
      </w:r>
    </w:p>
    <w:p>
      <w:pPr>
        <w:pBdr>
          <w:left w:val="single" w:color="1F4E79" w:sz="6" w:space="10"/>
        </w:pBdr>
        <w:spacing w:before="80" w:after="120"/>
        <w:ind w:left="200"/>
      </w:pPr>
      <w:r>
        <w:rPr>
          <w:rFonts w:ascii="Arial" w:cs="Arial" w:eastAsia="Arial" w:hAnsi="Arial"/>
          <w:i/>
          <w:iCs/>
          <w:color w:val="444444"/>
          <w:sz w:val="20"/>
          <w:szCs w:val="20"/>
        </w:rPr>
        <w:t xml:space="preserve">ren_share ne compte pas le nucleaire comme ENR (position eurostat). Le modele peut etre configure pour inclure le nucleaire si le client a une strategie "low-carbon" plutot que "100% renouvelable".</w:t>
      </w:r>
    </w:p>
    <w:p>
      <w:pPr>
        <w:spacing w:before="240" w:after="0"/>
      </w:pPr>
    </w:p>
    <w:p>
      <w:r>
        <w:br w:type="page"/>
      </w:r>
    </w:p>
    <w:p>
      <w:pPr>
        <w:pStyle w:val="Heading1"/>
        <w:spacing w:before="400" w:after="160"/>
      </w:pPr>
      <w:r>
        <w:rPr>
          <w:rFonts w:ascii="Arial" w:cs="Arial" w:eastAsia="Arial" w:hAnsi="Arial"/>
          <w:b/>
          <w:bCs/>
          <w:color w:val="1F4E79"/>
          <w:sz w:val="36"/>
          <w:szCs w:val="36"/>
        </w:rPr>
        <w:t xml:space="preserve">5. Tableau de synthese et guide de mise a jour</w:t>
      </w:r>
    </w:p>
    <w:p>
      <w:pPr>
        <w:spacing w:before="0" w:after="160"/>
      </w:pPr>
      <w:r>
        <w:rPr>
          <w:rFonts w:ascii="Arial" w:cs="Arial" w:eastAsia="Arial" w:hAnsi="Arial"/>
          <w:b w:val="false"/>
          <w:bCs w:val="false"/>
          <w:i w:val="false"/>
          <w:iCs w:val="false"/>
          <w:color w:val="222222"/>
          <w:sz w:val="22"/>
          <w:szCs w:val="22"/>
        </w:rPr>
        <w:t xml:space="preserve">Recapitulatif de toutes les variables, leur statut (reel vs projete) et leur frequence de mise a jour recommandee.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800"/>
        <w:gridCol w:w="28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Statut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Freq. mise a jour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Sensibilite modele</w:t>
            </w:r>
          </w:p>
        </w:tc>
        <w:tc>
          <w:tcPr>
            <w:tcW w:type="dxa" w:w="2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i w:val="false"/>
                <w:iCs w:val="false"/>
                <w:color w:val="FFFFFF"/>
                <w:sz w:val="20"/>
                <w:szCs w:val="20"/>
              </w:rPr>
              <w:t xml:space="preserve">URL source principale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solar_capex</w:t>
            </w:r>
          </w:p>
        </w:tc>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Projete (courbe d'apprentissage)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Annuelle (apres AO CRE)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C00000"/>
                <w:sz w:val="20"/>
                <w:szCs w:val="20"/>
              </w:rPr>
              <w:t xml:space="preserve">Forte — impacte LCOE et decision PPA vs reseau</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111111"/>
                <w:sz w:val="18"/>
                <w:szCs w:val="18"/>
              </w:rPr>
              <w:t xml:space="preserve">cre.fr + iea.org/reports/world-energy-outlook-2023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wind_capex</w:t>
            </w:r>
          </w:p>
        </w:tc>
        <w:tc>
          <w:tcPr>
            <w:tcW w:type="dxa" w:w="1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Projete (courbe d'apprentissage)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Annuelle (apres AO CRE)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C00000"/>
                <w:sz w:val="20"/>
                <w:szCs w:val="20"/>
              </w:rPr>
              <w:t xml:space="preserve">Tres forte — compose 60-80% du LCOE eolien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111111"/>
                <w:sz w:val="18"/>
                <w:szCs w:val="18"/>
              </w:rPr>
              <w:t xml:space="preserve">cre.fr &gt; eolien en mer + windeurope.org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co2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Reel 2023-2024, projete apres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Annuelle (janv, apres bilan RTE)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75623"/>
                <w:sz w:val="20"/>
                <w:szCs w:val="20"/>
              </w:rPr>
              <w:t xml:space="preserve">Faible sur decision PPA, fort sur reporting ESG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111111"/>
                <w:sz w:val="18"/>
                <w:szCs w:val="18"/>
              </w:rPr>
              <w:t xml:space="preserve">odre.opendatasoft.com + rte-france.com/bilan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ren_share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Reel 2023-2024, projete apres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11111"/>
                <w:sz w:val="20"/>
                <w:szCs w:val="20"/>
              </w:rPr>
              <w:t xml:space="preserve">Annuelle (janv, apres bilan RTE)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75623"/>
                <w:sz w:val="20"/>
                <w:szCs w:val="20"/>
              </w:rPr>
              <w:t xml:space="preserve">Faible sur decision PPA, utilise pour certification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iCs/>
                <w:color w:val="111111"/>
                <w:sz w:val="18"/>
                <w:szCs w:val="18"/>
              </w:rPr>
              <w:t xml:space="preserve">odre.opendatasoft.com &gt; taux_enr</w:t>
            </w:r>
          </w:p>
        </w:tc>
      </w:tr>
    </w:tbl>
    <w:sectPr>
      <w:headerReference w:type="default" r:id="rId6"/>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Documentation — grid_france.csv  |  Modele PPA France  |  v2024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2026-02-22T13:16:12.683Z</dcterms:created>
  <dcterms:modified xsi:type="dcterms:W3CDTF">2026-02-22T13:16:12.684Z</dcterms:modified>
</cp:coreProperties>
</file>

<file path=docProps/custom.xml><?xml version="1.0" encoding="utf-8"?>
<Properties xmlns="http://schemas.openxmlformats.org/officeDocument/2006/custom-properties" xmlns:vt="http://schemas.openxmlformats.org/officeDocument/2006/docPropsVTypes"/>
</file>