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60"/>
        <w:ind w:firstLine="0"/>
        <w:jc w:val="center"/>
      </w:pPr>
      <w:r>
        <w:rPr>
          <w:rFonts w:ascii="Times New Roman" w:hAnsi="Times New Roman" w:eastAsia="Times New Roman"/>
          <w:b/>
          <w:i w:val="0"/>
          <w:sz w:val="28"/>
        </w:rPr>
        <w:t>Equans IT Hubs</w:t>
      </w:r>
    </w:p>
    <w:p>
      <w:pPr>
        <w:spacing w:line="360" w:lineRule="auto" w:after="160"/>
        <w:ind w:firstLine="0"/>
        <w:jc w:val="center"/>
      </w:pPr>
      <w:r>
        <w:rPr>
          <w:rFonts w:ascii="Times New Roman" w:hAnsi="Times New Roman" w:eastAsia="Times New Roman"/>
          <w:b/>
          <w:i w:val="0"/>
          <w:sz w:val="30"/>
        </w:rPr>
        <w:t>Mise en œuvre Power BI du tableau de bord de pilotage SI</w:t>
      </w:r>
    </w:p>
    <w:p>
      <w:pPr>
        <w:spacing w:line="360" w:lineRule="auto" w:after="160"/>
        <w:ind w:firstLine="0"/>
        <w:jc w:val="center"/>
      </w:pPr>
      <w:r>
        <w:rPr>
          <w:rFonts w:ascii="Times New Roman" w:hAnsi="Times New Roman" w:eastAsia="Times New Roman"/>
          <w:b w:val="0"/>
          <w:i/>
          <w:sz w:val="24"/>
        </w:rPr>
        <w:t>Connexion ServiceNow + Salesforce — Hotline team / N2 / N3</w:t>
      </w:r>
    </w:p>
    <w:p>
      <w:pPr>
        <w:spacing w:line="360" w:lineRule="auto" w:after="160"/>
        <w:ind w:firstLine="0"/>
        <w:jc w:val="center"/>
      </w:pPr>
      <w:r>
        <w:rPr>
          <w:rFonts w:ascii="Times New Roman" w:hAnsi="Times New Roman" w:eastAsia="Times New Roman"/>
          <w:b w:val="0"/>
          <w:i w:val="0"/>
          <w:sz w:val="22"/>
        </w:rPr>
        <w:t>Mémoire Master PSI — BAHJI Mohammed — Octobre 2026</w:t>
      </w:r>
    </w:p>
    <w:p>
      <w:pPr>
        <w:pStyle w:val="Heading1"/>
        <w:ind w:firstLine="0"/>
      </w:pPr>
      <w:r>
        <w:rPr>
          <w:rFonts w:ascii="Times New Roman" w:hAnsi="Times New Roman" w:eastAsia="Times New Roman"/>
          <w:b/>
          <w:i w:val="0"/>
          <w:color w:val="1A3A5C"/>
          <w:sz w:val="32"/>
        </w:rPr>
        <w:t>1. Enjeu et positionnement</w:t>
      </w:r>
    </w:p>
    <w:p>
      <w:pPr>
        <w:spacing w:line="360" w:lineRule="auto" w:after="160"/>
        <w:ind w:firstLine="709"/>
        <w:jc w:val="both"/>
      </w:pPr>
      <w:r>
        <w:rPr>
          <w:rFonts w:ascii="Times New Roman" w:hAnsi="Times New Roman" w:eastAsia="Times New Roman"/>
          <w:b w:val="0"/>
          <w:i w:val="0"/>
          <w:sz w:val="24"/>
        </w:rPr>
        <w:t>Le tableau de bord de pilotage du SI ne doit pas rester un exercice théorique. Pour Equans IT Hubs, l'exigence managériale est de le matérialiser dans Power BI, alimenté par les outils de ticketing réellement utilisés : ServiceNow (socle ITSM Hotline / N2 / N3) et Salesforce (cases / CRM &amp; support applicatif). Cette section décrit l'architecture, le modèle de données, les connexions, les mesures DAX et le plan de déploiement — éléments directement intégrables à la Partie 3 du mémoire.</w:t>
      </w:r>
    </w:p>
    <w:p>
      <w:pPr>
        <w:pStyle w:val="Heading1"/>
        <w:ind w:firstLine="0"/>
      </w:pPr>
      <w:r>
        <w:rPr>
          <w:rFonts w:ascii="Times New Roman" w:hAnsi="Times New Roman" w:eastAsia="Times New Roman"/>
          <w:b/>
          <w:i w:val="0"/>
          <w:color w:val="1A3A5C"/>
          <w:sz w:val="32"/>
        </w:rPr>
        <w:t>2. Architecture cible</w:t>
      </w:r>
    </w:p>
    <w:p>
      <w:pPr>
        <w:ind w:firstLine="0"/>
        <w:jc w:val="center"/>
      </w:pPr>
      <w:r>
        <w:drawing>
          <wp:inline xmlns:a="http://schemas.openxmlformats.org/drawingml/2006/main" xmlns:pic="http://schemas.openxmlformats.org/drawingml/2006/picture">
            <wp:extent cx="5688000" cy="3833518"/>
            <wp:docPr id="1" name="Picture 1"/>
            <wp:cNvGraphicFramePr>
              <a:graphicFrameLocks noChangeAspect="1"/>
            </wp:cNvGraphicFramePr>
            <a:graphic>
              <a:graphicData uri="http://schemas.openxmlformats.org/drawingml/2006/picture">
                <pic:pic>
                  <pic:nvPicPr>
                    <pic:cNvPr id="0" name="architecture_powerbi_salesforce_servicenow.png"/>
                    <pic:cNvPicPr/>
                  </pic:nvPicPr>
                  <pic:blipFill>
                    <a:blip r:embed="rId10"/>
                    <a:stretch>
                      <a:fillRect/>
                    </a:stretch>
                  </pic:blipFill>
                  <pic:spPr>
                    <a:xfrm>
                      <a:off x="0" y="0"/>
                      <a:ext cx="5688000" cy="3833518"/>
                    </a:xfrm>
                    <a:prstGeom prst="rect"/>
                  </pic:spPr>
                </pic:pic>
              </a:graphicData>
            </a:graphic>
          </wp:inline>
        </w:drawing>
      </w:r>
    </w:p>
    <w:p>
      <w:pPr>
        <w:spacing w:after="240"/>
        <w:ind w:firstLine="0"/>
        <w:jc w:val="center"/>
      </w:pPr>
      <w:r>
        <w:rPr>
          <w:rFonts w:ascii="Times New Roman" w:hAnsi="Times New Roman" w:eastAsia="Times New Roman"/>
          <w:b w:val="0"/>
          <w:i/>
          <w:sz w:val="20"/>
        </w:rPr>
        <w:t>Figure — Architecture Power BI Equans : ServiceNow + Salesforce → modèle sémantique → dashboards</w:t>
      </w:r>
    </w:p>
    <w:p>
      <w:pPr>
        <w:spacing w:line="360" w:lineRule="auto" w:after="160"/>
        <w:ind w:firstLine="709"/>
        <w:jc w:val="both"/>
      </w:pPr>
      <w:r>
        <w:rPr>
          <w:rFonts w:ascii="Times New Roman" w:hAnsi="Times New Roman" w:eastAsia="Times New Roman"/>
          <w:b w:val="0"/>
          <w:i w:val="0"/>
          <w:sz w:val="24"/>
        </w:rPr>
        <w:t>Les sources opérationnelles restent ServiceNow et Salesforce. Power Query (ou Dataflows / Fabric) extrait, normalise et unifie les tickets. Le modèle sémantique Power BI porte les relations et les mesures DAX (SLA, escalades, CSAT). Les rapports sont publiés dans un workspace sécurisé (Azure AD / RLS).</w:t>
      </w:r>
    </w:p>
    <w:p>
      <w:pPr>
        <w:pStyle w:val="Heading1"/>
        <w:ind w:firstLine="0"/>
      </w:pPr>
      <w:r>
        <w:rPr>
          <w:rFonts w:ascii="Times New Roman" w:hAnsi="Times New Roman" w:eastAsia="Times New Roman"/>
          <w:b/>
          <w:i w:val="0"/>
          <w:color w:val="1A3A5C"/>
          <w:sz w:val="32"/>
        </w:rPr>
        <w:t>3. Connexion aux outils de ticketing</w:t>
      </w:r>
    </w:p>
    <w:p>
      <w:pPr>
        <w:pStyle w:val="Heading2"/>
        <w:ind w:firstLine="0"/>
      </w:pPr>
      <w:r>
        <w:rPr>
          <w:rFonts w:ascii="Times New Roman" w:hAnsi="Times New Roman" w:eastAsia="Times New Roman"/>
          <w:b/>
          <w:i w:val="0"/>
          <w:color w:val="1A3A5C"/>
          <w:sz w:val="26"/>
        </w:rPr>
        <w:t>3.1. ServiceNow</w:t>
      </w:r>
    </w:p>
    <w:p>
      <w:pPr>
        <w:pStyle w:val="ListBullet"/>
        <w:ind w:firstLine="0"/>
      </w:pPr>
      <w:r>
        <w:rPr>
          <w:rFonts w:ascii="Times New Roman" w:hAnsi="Times New Roman" w:eastAsia="Times New Roman"/>
          <w:b w:val="0"/>
          <w:i w:val="0"/>
          <w:sz w:val="24"/>
        </w:rPr>
        <w:t>Power BI Desktop → Obtenir des données → ServiceNow (ou OData/API REST).</w:t>
      </w:r>
    </w:p>
    <w:p>
      <w:pPr>
        <w:pStyle w:val="ListBullet"/>
        <w:ind w:firstLine="0"/>
      </w:pPr>
      <w:r>
        <w:rPr>
          <w:rFonts w:ascii="Times New Roman" w:hAnsi="Times New Roman" w:eastAsia="Times New Roman"/>
          <w:b w:val="0"/>
          <w:i w:val="0"/>
          <w:sz w:val="24"/>
        </w:rPr>
        <w:t>Tables clés : incident, task_sla, sys_user_group, metric / audit (pour historique d'escalade), surveys.</w:t>
      </w:r>
    </w:p>
    <w:p>
      <w:pPr>
        <w:pStyle w:val="ListBullet"/>
        <w:ind w:firstLine="0"/>
      </w:pPr>
      <w:r>
        <w:rPr>
          <w:rFonts w:ascii="Times New Roman" w:hAnsi="Times New Roman" w:eastAsia="Times New Roman"/>
          <w:b w:val="0"/>
          <w:i w:val="0"/>
          <w:sz w:val="24"/>
        </w:rPr>
        <w:t>Compte technique lecture seule ; filtrer le périmètre applicatif Equans (CRM, Quickdevis, SAP…).</w:t>
      </w:r>
    </w:p>
    <w:p>
      <w:pPr>
        <w:pStyle w:val="ListBullet"/>
        <w:ind w:firstLine="0"/>
      </w:pPr>
      <w:r>
        <w:rPr>
          <w:rFonts w:ascii="Times New Roman" w:hAnsi="Times New Roman" w:eastAsia="Times New Roman"/>
          <w:b w:val="0"/>
          <w:i w:val="0"/>
          <w:sz w:val="24"/>
        </w:rPr>
        <w:t>Mapper assignment_group → Hotline team / N2 / N3 via table de correspondance.</w:t>
      </w:r>
    </w:p>
    <w:p>
      <w:pPr>
        <w:pStyle w:val="Heading2"/>
        <w:ind w:firstLine="0"/>
      </w:pPr>
      <w:r>
        <w:rPr>
          <w:rFonts w:ascii="Times New Roman" w:hAnsi="Times New Roman" w:eastAsia="Times New Roman"/>
          <w:b/>
          <w:i w:val="0"/>
          <w:color w:val="1A3A5C"/>
          <w:sz w:val="26"/>
        </w:rPr>
        <w:t>3.2. Salesforce</w:t>
      </w:r>
    </w:p>
    <w:p>
      <w:pPr>
        <w:pStyle w:val="ListBullet"/>
        <w:ind w:firstLine="0"/>
      </w:pPr>
      <w:r>
        <w:rPr>
          <w:rFonts w:ascii="Times New Roman" w:hAnsi="Times New Roman" w:eastAsia="Times New Roman"/>
          <w:b w:val="0"/>
          <w:i w:val="0"/>
          <w:sz w:val="24"/>
        </w:rPr>
        <w:t>Power BI Desktop → Obtenir des données → Salesforce Objects.</w:t>
      </w:r>
    </w:p>
    <w:p>
      <w:pPr>
        <w:pStyle w:val="ListBullet"/>
        <w:ind w:firstLine="0"/>
      </w:pPr>
      <w:r>
        <w:rPr>
          <w:rFonts w:ascii="Times New Roman" w:hAnsi="Times New Roman" w:eastAsia="Times New Roman"/>
          <w:b w:val="0"/>
          <w:i w:val="0"/>
          <w:sz w:val="24"/>
        </w:rPr>
        <w:t>Objets clés : Case, User, Group/Queue, Entitlement, Milestone, Survey (CSAT).</w:t>
      </w:r>
    </w:p>
    <w:p>
      <w:pPr>
        <w:pStyle w:val="ListBullet"/>
        <w:ind w:firstLine="0"/>
      </w:pPr>
      <w:r>
        <w:rPr>
          <w:rFonts w:ascii="Times New Roman" w:hAnsi="Times New Roman" w:eastAsia="Times New Roman"/>
          <w:b w:val="0"/>
          <w:i w:val="0"/>
          <w:sz w:val="24"/>
        </w:rPr>
        <w:t>Auth OAuth dédiée (pas de compte personnel).</w:t>
      </w:r>
    </w:p>
    <w:p>
      <w:pPr>
        <w:pStyle w:val="ListBullet"/>
        <w:ind w:firstLine="0"/>
      </w:pPr>
      <w:r>
        <w:rPr>
          <w:rFonts w:ascii="Times New Roman" w:hAnsi="Times New Roman" w:eastAsia="Times New Roman"/>
          <w:b w:val="0"/>
          <w:i w:val="0"/>
          <w:sz w:val="24"/>
        </w:rPr>
        <w:t>Idéal : champ custom Support_Tier__c (Hotline / N2 / N3) alimenté par Flow / Omni-Channel.</w:t>
      </w:r>
    </w:p>
    <w:p>
      <w:pPr>
        <w:pStyle w:val="Heading2"/>
        <w:ind w:firstLine="0"/>
      </w:pPr>
      <w:r>
        <w:rPr>
          <w:rFonts w:ascii="Times New Roman" w:hAnsi="Times New Roman" w:eastAsia="Times New Roman"/>
          <w:b/>
          <w:i w:val="0"/>
          <w:color w:val="1A3A5C"/>
          <w:sz w:val="26"/>
        </w:rPr>
        <w:t>3.3. Stratégie d'unification</w:t>
      </w:r>
    </w:p>
    <w:p>
      <w:pPr>
        <w:spacing w:line="360" w:lineRule="auto" w:after="160"/>
        <w:ind w:firstLine="709"/>
        <w:jc w:val="both"/>
      </w:pPr>
      <w:r>
        <w:rPr>
          <w:rFonts w:ascii="Times New Roman" w:hAnsi="Times New Roman" w:eastAsia="Times New Roman"/>
          <w:b w:val="0"/>
          <w:i w:val="0"/>
          <w:sz w:val="24"/>
        </w:rPr>
        <w:t>Les deux sources sont appendées dans Fact_Tickets_Unified après normalisation des priorités (P1–P4), statuts, applications et niveaux. Les scripts Power Query fournis dans le kit (fichiers .pq) détaillent l'extraction ServiceNow, Salesforce et l'union.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A3A5C" w:val="clear"/>
          </w:tcPr>
          <w:p>
            <w:pPr>
              <w:ind w:firstLine="0"/>
              <w:jc w:val="center"/>
            </w:pPr>
            <w:r/>
            <w:r>
              <w:rPr>
                <w:rFonts w:ascii="Times New Roman" w:hAnsi="Times New Roman" w:eastAsia="Times New Roman"/>
                <w:b/>
                <w:i w:val="0"/>
                <w:color w:val="FFFFFF"/>
                <w:sz w:val="18"/>
              </w:rPr>
              <w:t>Étape</w:t>
            </w:r>
          </w:p>
        </w:tc>
        <w:tc>
          <w:tcPr>
            <w:tcW w:type="dxa" w:w="3249"/>
            <w:shd w:fill="1A3A5C" w:val="clear"/>
          </w:tcPr>
          <w:p>
            <w:pPr>
              <w:ind w:firstLine="0"/>
              <w:jc w:val="center"/>
            </w:pPr>
            <w:r/>
            <w:r>
              <w:rPr>
                <w:rFonts w:ascii="Times New Roman" w:hAnsi="Times New Roman" w:eastAsia="Times New Roman"/>
                <w:b/>
                <w:i w:val="0"/>
                <w:color w:val="FFFFFF"/>
                <w:sz w:val="18"/>
              </w:rPr>
              <w:t>Outil</w:t>
            </w:r>
          </w:p>
        </w:tc>
        <w:tc>
          <w:tcPr>
            <w:tcW w:type="dxa" w:w="3249"/>
            <w:shd w:fill="1A3A5C" w:val="clear"/>
          </w:tcPr>
          <w:p>
            <w:pPr>
              <w:ind w:firstLine="0"/>
              <w:jc w:val="center"/>
            </w:pPr>
            <w:r/>
            <w:r>
              <w:rPr>
                <w:rFonts w:ascii="Times New Roman" w:hAnsi="Times New Roman" w:eastAsia="Times New Roman"/>
                <w:b/>
                <w:i w:val="0"/>
                <w:color w:val="FFFFFF"/>
                <w:sz w:val="18"/>
              </w:rPr>
              <w:t>Livrable</w:t>
            </w:r>
          </w:p>
        </w:tc>
      </w:tr>
      <w:tr>
        <w:tc>
          <w:tcPr>
            <w:tcW w:type="dxa" w:w="3249"/>
          </w:tcPr>
          <w:p>
            <w:pPr>
              <w:ind w:firstLine="0"/>
            </w:pPr>
            <w:r/>
            <w:r>
              <w:rPr>
                <w:rFonts w:ascii="Times New Roman" w:hAnsi="Times New Roman" w:eastAsia="Times New Roman"/>
                <w:b w:val="0"/>
                <w:i w:val="0"/>
                <w:sz w:val="16"/>
              </w:rPr>
              <w:t>1. Connexion SN</w:t>
            </w:r>
          </w:p>
        </w:tc>
        <w:tc>
          <w:tcPr>
            <w:tcW w:type="dxa" w:w="3249"/>
          </w:tcPr>
          <w:p>
            <w:pPr>
              <w:ind w:firstLine="0"/>
            </w:pPr>
            <w:r/>
            <w:r>
              <w:rPr>
                <w:rFonts w:ascii="Times New Roman" w:hAnsi="Times New Roman" w:eastAsia="Times New Roman"/>
                <w:b w:val="0"/>
                <w:i w:val="0"/>
                <w:sz w:val="16"/>
              </w:rPr>
              <w:t>Power BI / Dataflow</w:t>
            </w:r>
          </w:p>
        </w:tc>
        <w:tc>
          <w:tcPr>
            <w:tcW w:type="dxa" w:w="3249"/>
          </w:tcPr>
          <w:p>
            <w:pPr>
              <w:ind w:firstLine="0"/>
            </w:pPr>
            <w:r/>
            <w:r>
              <w:rPr>
                <w:rFonts w:ascii="Times New Roman" w:hAnsi="Times New Roman" w:eastAsia="Times New Roman"/>
                <w:b w:val="0"/>
                <w:i w:val="0"/>
                <w:sz w:val="16"/>
              </w:rPr>
              <w:t>Requête ServiceNow_Incidents</w:t>
            </w:r>
          </w:p>
        </w:tc>
      </w:tr>
      <w:tr>
        <w:tc>
          <w:tcPr>
            <w:tcW w:type="dxa" w:w="3249"/>
            <w:shd w:fill="E8EEF4" w:val="clear"/>
          </w:tcPr>
          <w:p>
            <w:pPr>
              <w:ind w:firstLine="0"/>
            </w:pPr>
            <w:r/>
            <w:r>
              <w:rPr>
                <w:rFonts w:ascii="Times New Roman" w:hAnsi="Times New Roman" w:eastAsia="Times New Roman"/>
                <w:b w:val="0"/>
                <w:i w:val="0"/>
                <w:sz w:val="16"/>
              </w:rPr>
              <w:t>2. Connexion SF</w:t>
            </w:r>
          </w:p>
        </w:tc>
        <w:tc>
          <w:tcPr>
            <w:tcW w:type="dxa" w:w="3249"/>
            <w:shd w:fill="E8EEF4" w:val="clear"/>
          </w:tcPr>
          <w:p>
            <w:pPr>
              <w:ind w:firstLine="0"/>
            </w:pPr>
            <w:r/>
            <w:r>
              <w:rPr>
                <w:rFonts w:ascii="Times New Roman" w:hAnsi="Times New Roman" w:eastAsia="Times New Roman"/>
                <w:b w:val="0"/>
                <w:i w:val="0"/>
                <w:sz w:val="16"/>
              </w:rPr>
              <w:t>Power BI Salesforce connector</w:t>
            </w:r>
          </w:p>
        </w:tc>
        <w:tc>
          <w:tcPr>
            <w:tcW w:type="dxa" w:w="3249"/>
            <w:shd w:fill="E8EEF4" w:val="clear"/>
          </w:tcPr>
          <w:p>
            <w:pPr>
              <w:ind w:firstLine="0"/>
            </w:pPr>
            <w:r/>
            <w:r>
              <w:rPr>
                <w:rFonts w:ascii="Times New Roman" w:hAnsi="Times New Roman" w:eastAsia="Times New Roman"/>
                <w:b w:val="0"/>
                <w:i w:val="0"/>
                <w:sz w:val="16"/>
              </w:rPr>
              <w:t>Requête Salesforce_Cases</w:t>
            </w:r>
          </w:p>
        </w:tc>
      </w:tr>
      <w:tr>
        <w:tc>
          <w:tcPr>
            <w:tcW w:type="dxa" w:w="3249"/>
          </w:tcPr>
          <w:p>
            <w:pPr>
              <w:ind w:firstLine="0"/>
            </w:pPr>
            <w:r/>
            <w:r>
              <w:rPr>
                <w:rFonts w:ascii="Times New Roman" w:hAnsi="Times New Roman" w:eastAsia="Times New Roman"/>
                <w:b w:val="0"/>
                <w:i w:val="0"/>
                <w:sz w:val="16"/>
              </w:rPr>
              <w:t>3. Mapping niveaux</w:t>
            </w:r>
          </w:p>
        </w:tc>
        <w:tc>
          <w:tcPr>
            <w:tcW w:type="dxa" w:w="3249"/>
          </w:tcPr>
          <w:p>
            <w:pPr>
              <w:ind w:firstLine="0"/>
            </w:pPr>
            <w:r/>
            <w:r>
              <w:rPr>
                <w:rFonts w:ascii="Times New Roman" w:hAnsi="Times New Roman" w:eastAsia="Times New Roman"/>
                <w:b w:val="0"/>
                <w:i w:val="0"/>
                <w:sz w:val="16"/>
              </w:rPr>
              <w:t>Table Dim / PQ</w:t>
            </w:r>
          </w:p>
        </w:tc>
        <w:tc>
          <w:tcPr>
            <w:tcW w:type="dxa" w:w="3249"/>
          </w:tcPr>
          <w:p>
            <w:pPr>
              <w:ind w:firstLine="0"/>
            </w:pPr>
            <w:r/>
            <w:r>
              <w:rPr>
                <w:rFonts w:ascii="Times New Roman" w:hAnsi="Times New Roman" w:eastAsia="Times New Roman"/>
                <w:b w:val="0"/>
                <w:i w:val="0"/>
                <w:sz w:val="16"/>
              </w:rPr>
              <w:t>Hotline / N2 / N3</w:t>
            </w:r>
          </w:p>
        </w:tc>
      </w:tr>
      <w:tr>
        <w:tc>
          <w:tcPr>
            <w:tcW w:type="dxa" w:w="3249"/>
            <w:shd w:fill="E8EEF4" w:val="clear"/>
          </w:tcPr>
          <w:p>
            <w:pPr>
              <w:ind w:firstLine="0"/>
            </w:pPr>
            <w:r/>
            <w:r>
              <w:rPr>
                <w:rFonts w:ascii="Times New Roman" w:hAnsi="Times New Roman" w:eastAsia="Times New Roman"/>
                <w:b w:val="0"/>
                <w:i w:val="0"/>
                <w:sz w:val="16"/>
              </w:rPr>
              <w:t>4. Union</w:t>
            </w:r>
          </w:p>
        </w:tc>
        <w:tc>
          <w:tcPr>
            <w:tcW w:type="dxa" w:w="3249"/>
            <w:shd w:fill="E8EEF4" w:val="clear"/>
          </w:tcPr>
          <w:p>
            <w:pPr>
              <w:ind w:firstLine="0"/>
            </w:pPr>
            <w:r/>
            <w:r>
              <w:rPr>
                <w:rFonts w:ascii="Times New Roman" w:hAnsi="Times New Roman" w:eastAsia="Times New Roman"/>
                <w:b w:val="0"/>
                <w:i w:val="0"/>
                <w:sz w:val="16"/>
              </w:rPr>
              <w:t>Power Query Append</w:t>
            </w:r>
          </w:p>
        </w:tc>
        <w:tc>
          <w:tcPr>
            <w:tcW w:type="dxa" w:w="3249"/>
            <w:shd w:fill="E8EEF4" w:val="clear"/>
          </w:tcPr>
          <w:p>
            <w:pPr>
              <w:ind w:firstLine="0"/>
            </w:pPr>
            <w:r/>
            <w:r>
              <w:rPr>
                <w:rFonts w:ascii="Times New Roman" w:hAnsi="Times New Roman" w:eastAsia="Times New Roman"/>
                <w:b w:val="0"/>
                <w:i w:val="0"/>
                <w:sz w:val="16"/>
              </w:rPr>
              <w:t>Fact_Tickets_Unified</w:t>
            </w:r>
          </w:p>
        </w:tc>
      </w:tr>
      <w:tr>
        <w:tc>
          <w:tcPr>
            <w:tcW w:type="dxa" w:w="3249"/>
          </w:tcPr>
          <w:p>
            <w:pPr>
              <w:ind w:firstLine="0"/>
            </w:pPr>
            <w:r/>
            <w:r>
              <w:rPr>
                <w:rFonts w:ascii="Times New Roman" w:hAnsi="Times New Roman" w:eastAsia="Times New Roman"/>
                <w:b w:val="0"/>
                <w:i w:val="0"/>
                <w:sz w:val="16"/>
              </w:rPr>
              <w:t>5. Mesures</w:t>
            </w:r>
          </w:p>
        </w:tc>
        <w:tc>
          <w:tcPr>
            <w:tcW w:type="dxa" w:w="3249"/>
          </w:tcPr>
          <w:p>
            <w:pPr>
              <w:ind w:firstLine="0"/>
            </w:pPr>
            <w:r/>
            <w:r>
              <w:rPr>
                <w:rFonts w:ascii="Times New Roman" w:hAnsi="Times New Roman" w:eastAsia="Times New Roman"/>
                <w:b w:val="0"/>
                <w:i w:val="0"/>
                <w:sz w:val="16"/>
              </w:rPr>
              <w:t>DAX</w:t>
            </w:r>
          </w:p>
        </w:tc>
        <w:tc>
          <w:tcPr>
            <w:tcW w:type="dxa" w:w="3249"/>
          </w:tcPr>
          <w:p>
            <w:pPr>
              <w:ind w:firstLine="0"/>
            </w:pPr>
            <w:r/>
            <w:r>
              <w:rPr>
                <w:rFonts w:ascii="Times New Roman" w:hAnsi="Times New Roman" w:eastAsia="Times New Roman"/>
                <w:b w:val="0"/>
                <w:i w:val="0"/>
                <w:sz w:val="16"/>
              </w:rPr>
              <w:t>Escalades, SLA, CSAT</w:t>
            </w:r>
          </w:p>
        </w:tc>
      </w:tr>
      <w:tr>
        <w:tc>
          <w:tcPr>
            <w:tcW w:type="dxa" w:w="3249"/>
            <w:shd w:fill="E8EEF4" w:val="clear"/>
          </w:tcPr>
          <w:p>
            <w:pPr>
              <w:ind w:firstLine="0"/>
            </w:pPr>
            <w:r/>
            <w:r>
              <w:rPr>
                <w:rFonts w:ascii="Times New Roman" w:hAnsi="Times New Roman" w:eastAsia="Times New Roman"/>
                <w:b w:val="0"/>
                <w:i w:val="0"/>
                <w:sz w:val="16"/>
              </w:rPr>
              <w:t>6. Publication</w:t>
            </w:r>
          </w:p>
        </w:tc>
        <w:tc>
          <w:tcPr>
            <w:tcW w:type="dxa" w:w="3249"/>
            <w:shd w:fill="E8EEF4" w:val="clear"/>
          </w:tcPr>
          <w:p>
            <w:pPr>
              <w:ind w:firstLine="0"/>
            </w:pPr>
            <w:r/>
            <w:r>
              <w:rPr>
                <w:rFonts w:ascii="Times New Roman" w:hAnsi="Times New Roman" w:eastAsia="Times New Roman"/>
                <w:b w:val="0"/>
                <w:i w:val="0"/>
                <w:sz w:val="16"/>
              </w:rPr>
              <w:t>Power BI Service</w:t>
            </w:r>
          </w:p>
        </w:tc>
        <w:tc>
          <w:tcPr>
            <w:tcW w:type="dxa" w:w="3249"/>
            <w:shd w:fill="E8EEF4" w:val="clear"/>
          </w:tcPr>
          <w:p>
            <w:pPr>
              <w:ind w:firstLine="0"/>
            </w:pPr>
            <w:r/>
            <w:r>
              <w:rPr>
                <w:rFonts w:ascii="Times New Roman" w:hAnsi="Times New Roman" w:eastAsia="Times New Roman"/>
                <w:b w:val="0"/>
                <w:i w:val="0"/>
                <w:sz w:val="16"/>
              </w:rPr>
              <w:t>Workspace Equans + RLS</w:t>
            </w:r>
          </w:p>
        </w:tc>
      </w:tr>
    </w:tbl>
    <w:p/>
    <w:p>
      <w:pPr>
        <w:pStyle w:val="Heading1"/>
        <w:ind w:firstLine="0"/>
      </w:pPr>
      <w:r>
        <w:rPr>
          <w:rFonts w:ascii="Times New Roman" w:hAnsi="Times New Roman" w:eastAsia="Times New Roman"/>
          <w:b/>
          <w:i w:val="0"/>
          <w:color w:val="1A3A5C"/>
          <w:sz w:val="32"/>
        </w:rPr>
        <w:t>4. Modèle de données (étoile)</w:t>
      </w:r>
    </w:p>
    <w:p>
      <w:pPr>
        <w:ind w:firstLine="0"/>
        <w:jc w:val="center"/>
      </w:pPr>
      <w:r>
        <w:drawing>
          <wp:inline xmlns:a="http://schemas.openxmlformats.org/drawingml/2006/main" xmlns:pic="http://schemas.openxmlformats.org/drawingml/2006/picture">
            <wp:extent cx="5220000" cy="3245673"/>
            <wp:docPr id="2" name="Picture 2"/>
            <wp:cNvGraphicFramePr>
              <a:graphicFrameLocks noChangeAspect="1"/>
            </wp:cNvGraphicFramePr>
            <a:graphic>
              <a:graphicData uri="http://schemas.openxmlformats.org/drawingml/2006/picture">
                <pic:pic>
                  <pic:nvPicPr>
                    <pic:cNvPr id="0" name="modele_etoile_powerbi.png"/>
                    <pic:cNvPicPr/>
                  </pic:nvPicPr>
                  <pic:blipFill>
                    <a:blip r:embed="rId11"/>
                    <a:stretch>
                      <a:fillRect/>
                    </a:stretch>
                  </pic:blipFill>
                  <pic:spPr>
                    <a:xfrm>
                      <a:off x="0" y="0"/>
                      <a:ext cx="5220000" cy="3245673"/>
                    </a:xfrm>
                    <a:prstGeom prst="rect"/>
                  </pic:spPr>
                </pic:pic>
              </a:graphicData>
            </a:graphic>
          </wp:inline>
        </w:drawing>
      </w:r>
    </w:p>
    <w:p>
      <w:pPr>
        <w:spacing w:after="240"/>
        <w:ind w:firstLine="0"/>
        <w:jc w:val="center"/>
      </w:pPr>
      <w:r>
        <w:rPr>
          <w:rFonts w:ascii="Times New Roman" w:hAnsi="Times New Roman" w:eastAsia="Times New Roman"/>
          <w:b w:val="0"/>
          <w:i/>
          <w:sz w:val="20"/>
        </w:rPr>
        <w:t>Figure — Modèle en étoile Fact_Tickets_Unified</w:t>
      </w:r>
    </w:p>
    <w:p>
      <w:pPr>
        <w:spacing w:line="360" w:lineRule="auto" w:after="160"/>
        <w:ind w:firstLine="709"/>
        <w:jc w:val="both"/>
      </w:pPr>
      <w:r>
        <w:rPr>
          <w:rFonts w:ascii="Times New Roman" w:hAnsi="Times New Roman" w:eastAsia="Times New Roman"/>
          <w:b w:val="0"/>
          <w:i w:val="0"/>
          <w:sz w:val="24"/>
        </w:rPr>
        <w:t>Le fait central Fact_Tickets_Unified contient un ticket par ligne, avec les flags EscalatedToN2 et EscalatedToN3 indispensables au calcul des taux d'escalade Hotline→N2 et N2→N3. Les dimensions permettent les analyses croisées (priorité, application, source, calendrier, niveau).</w:t>
      </w:r>
    </w:p>
    <w:p>
      <w:pPr>
        <w:pStyle w:val="Heading1"/>
        <w:ind w:firstLine="0"/>
      </w:pPr>
      <w:r>
        <w:rPr>
          <w:rFonts w:ascii="Times New Roman" w:hAnsi="Times New Roman" w:eastAsia="Times New Roman"/>
          <w:b/>
          <w:i w:val="0"/>
          <w:color w:val="1A3A5C"/>
          <w:sz w:val="32"/>
        </w:rPr>
        <w:t>5. Indicateurs DAX prioritaires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A3A5C" w:val="clear"/>
          </w:tcPr>
          <w:p>
            <w:pPr>
              <w:ind w:firstLine="0"/>
              <w:jc w:val="center"/>
            </w:pPr>
            <w:r/>
            <w:r>
              <w:rPr>
                <w:rFonts w:ascii="Times New Roman" w:hAnsi="Times New Roman" w:eastAsia="Times New Roman"/>
                <w:b/>
                <w:i w:val="0"/>
                <w:color w:val="FFFFFF"/>
                <w:sz w:val="18"/>
              </w:rPr>
              <w:t>Mesure Power BI</w:t>
            </w:r>
          </w:p>
        </w:tc>
        <w:tc>
          <w:tcPr>
            <w:tcW w:type="dxa" w:w="3249"/>
            <w:shd w:fill="1A3A5C" w:val="clear"/>
          </w:tcPr>
          <w:p>
            <w:pPr>
              <w:ind w:firstLine="0"/>
              <w:jc w:val="center"/>
            </w:pPr>
            <w:r/>
            <w:r>
              <w:rPr>
                <w:rFonts w:ascii="Times New Roman" w:hAnsi="Times New Roman" w:eastAsia="Times New Roman"/>
                <w:b/>
                <w:i w:val="0"/>
                <w:color w:val="FFFFFF"/>
                <w:sz w:val="18"/>
              </w:rPr>
              <w:t>Formule métier</w:t>
            </w:r>
          </w:p>
        </w:tc>
        <w:tc>
          <w:tcPr>
            <w:tcW w:type="dxa" w:w="3249"/>
            <w:shd w:fill="1A3A5C" w:val="clear"/>
          </w:tcPr>
          <w:p>
            <w:pPr>
              <w:ind w:firstLine="0"/>
              <w:jc w:val="center"/>
            </w:pPr>
            <w:r/>
            <w:r>
              <w:rPr>
                <w:rFonts w:ascii="Times New Roman" w:hAnsi="Times New Roman" w:eastAsia="Times New Roman"/>
                <w:b/>
                <w:i w:val="0"/>
                <w:color w:val="FFFFFF"/>
                <w:sz w:val="18"/>
              </w:rPr>
              <w:t>Cible</w:t>
            </w:r>
          </w:p>
        </w:tc>
      </w:tr>
      <w:tr>
        <w:tc>
          <w:tcPr>
            <w:tcW w:type="dxa" w:w="3249"/>
          </w:tcPr>
          <w:p>
            <w:pPr>
              <w:ind w:firstLine="0"/>
            </w:pPr>
            <w:r/>
            <w:r>
              <w:rPr>
                <w:rFonts w:ascii="Times New Roman" w:hAnsi="Times New Roman" w:eastAsia="Times New Roman"/>
                <w:b w:val="0"/>
                <w:i w:val="0"/>
                <w:sz w:val="16"/>
              </w:rPr>
              <w:t>Escalade Hotline vers N2 %</w:t>
            </w:r>
          </w:p>
        </w:tc>
        <w:tc>
          <w:tcPr>
            <w:tcW w:type="dxa" w:w="3249"/>
          </w:tcPr>
          <w:p>
            <w:pPr>
              <w:ind w:firstLine="0"/>
            </w:pPr>
            <w:r/>
            <w:r>
              <w:rPr>
                <w:rFonts w:ascii="Times New Roman" w:hAnsi="Times New Roman" w:eastAsia="Times New Roman"/>
                <w:b w:val="0"/>
                <w:i w:val="0"/>
                <w:sz w:val="16"/>
              </w:rPr>
              <w:t>Tickets escaladés N2 / Tickets Hotline</w:t>
            </w:r>
          </w:p>
        </w:tc>
        <w:tc>
          <w:tcPr>
            <w:tcW w:type="dxa" w:w="3249"/>
          </w:tcPr>
          <w:p>
            <w:pPr>
              <w:ind w:firstLine="0"/>
            </w:pPr>
            <w:r/>
            <w:r>
              <w:rPr>
                <w:rFonts w:ascii="Times New Roman" w:hAnsi="Times New Roman" w:eastAsia="Times New Roman"/>
                <w:b w:val="0"/>
                <w:i w:val="0"/>
                <w:sz w:val="16"/>
              </w:rPr>
              <w:t>≤ 30 %</w:t>
            </w:r>
          </w:p>
        </w:tc>
      </w:tr>
      <w:tr>
        <w:tc>
          <w:tcPr>
            <w:tcW w:type="dxa" w:w="3249"/>
            <w:shd w:fill="E8EEF4" w:val="clear"/>
          </w:tcPr>
          <w:p>
            <w:pPr>
              <w:ind w:firstLine="0"/>
            </w:pPr>
            <w:r/>
            <w:r>
              <w:rPr>
                <w:rFonts w:ascii="Times New Roman" w:hAnsi="Times New Roman" w:eastAsia="Times New Roman"/>
                <w:b w:val="0"/>
                <w:i w:val="0"/>
                <w:sz w:val="16"/>
              </w:rPr>
              <w:t>Escalade N2 vers N3 %</w:t>
            </w:r>
          </w:p>
        </w:tc>
        <w:tc>
          <w:tcPr>
            <w:tcW w:type="dxa" w:w="3249"/>
            <w:shd w:fill="E8EEF4" w:val="clear"/>
          </w:tcPr>
          <w:p>
            <w:pPr>
              <w:ind w:firstLine="0"/>
            </w:pPr>
            <w:r/>
            <w:r>
              <w:rPr>
                <w:rFonts w:ascii="Times New Roman" w:hAnsi="Times New Roman" w:eastAsia="Times New Roman"/>
                <w:b w:val="0"/>
                <w:i w:val="0"/>
                <w:sz w:val="16"/>
              </w:rPr>
              <w:t>Tickets escaladés N3 / Tickets N2</w:t>
            </w:r>
          </w:p>
        </w:tc>
        <w:tc>
          <w:tcPr>
            <w:tcW w:type="dxa" w:w="3249"/>
            <w:shd w:fill="E8EEF4" w:val="clear"/>
          </w:tcPr>
          <w:p>
            <w:pPr>
              <w:ind w:firstLine="0"/>
            </w:pPr>
            <w:r/>
            <w:r>
              <w:rPr>
                <w:rFonts w:ascii="Times New Roman" w:hAnsi="Times New Roman" w:eastAsia="Times New Roman"/>
                <w:b w:val="0"/>
                <w:i w:val="0"/>
                <w:sz w:val="16"/>
              </w:rPr>
              <w:t>≤ 20 %</w:t>
            </w:r>
          </w:p>
        </w:tc>
      </w:tr>
      <w:tr>
        <w:tc>
          <w:tcPr>
            <w:tcW w:type="dxa" w:w="3249"/>
          </w:tcPr>
          <w:p>
            <w:pPr>
              <w:ind w:firstLine="0"/>
            </w:pPr>
            <w:r/>
            <w:r>
              <w:rPr>
                <w:rFonts w:ascii="Times New Roman" w:hAnsi="Times New Roman" w:eastAsia="Times New Roman"/>
                <w:b w:val="0"/>
                <w:i w:val="0"/>
                <w:sz w:val="16"/>
              </w:rPr>
              <w:t>SLA Resolution %</w:t>
            </w:r>
          </w:p>
        </w:tc>
        <w:tc>
          <w:tcPr>
            <w:tcW w:type="dxa" w:w="3249"/>
          </w:tcPr>
          <w:p>
            <w:pPr>
              <w:ind w:firstLine="0"/>
            </w:pPr>
            <w:r/>
            <w:r>
              <w:rPr>
                <w:rFonts w:ascii="Times New Roman" w:hAnsi="Times New Roman" w:eastAsia="Times New Roman"/>
                <w:b w:val="0"/>
                <w:i w:val="0"/>
                <w:sz w:val="16"/>
              </w:rPr>
              <w:t>Moyenne SLA_Resolution_OK</w:t>
            </w:r>
          </w:p>
        </w:tc>
        <w:tc>
          <w:tcPr>
            <w:tcW w:type="dxa" w:w="3249"/>
          </w:tcPr>
          <w:p>
            <w:pPr>
              <w:ind w:firstLine="0"/>
            </w:pPr>
            <w:r/>
            <w:r>
              <w:rPr>
                <w:rFonts w:ascii="Times New Roman" w:hAnsi="Times New Roman" w:eastAsia="Times New Roman"/>
                <w:b w:val="0"/>
                <w:i w:val="0"/>
                <w:sz w:val="16"/>
              </w:rPr>
              <w:t>≥ 90 %</w:t>
            </w:r>
          </w:p>
        </w:tc>
      </w:tr>
      <w:tr>
        <w:tc>
          <w:tcPr>
            <w:tcW w:type="dxa" w:w="3249"/>
            <w:shd w:fill="E8EEF4" w:val="clear"/>
          </w:tcPr>
          <w:p>
            <w:pPr>
              <w:ind w:firstLine="0"/>
            </w:pPr>
            <w:r/>
            <w:r>
              <w:rPr>
                <w:rFonts w:ascii="Times New Roman" w:hAnsi="Times New Roman" w:eastAsia="Times New Roman"/>
                <w:b w:val="0"/>
                <w:i w:val="0"/>
                <w:sz w:val="16"/>
              </w:rPr>
              <w:t>Taux Resolution Hotline %</w:t>
            </w:r>
          </w:p>
        </w:tc>
        <w:tc>
          <w:tcPr>
            <w:tcW w:type="dxa" w:w="3249"/>
            <w:shd w:fill="E8EEF4" w:val="clear"/>
          </w:tcPr>
          <w:p>
            <w:pPr>
              <w:ind w:firstLine="0"/>
            </w:pPr>
            <w:r/>
            <w:r>
              <w:rPr>
                <w:rFonts w:ascii="Times New Roman" w:hAnsi="Times New Roman" w:eastAsia="Times New Roman"/>
                <w:b w:val="0"/>
                <w:i w:val="0"/>
                <w:sz w:val="16"/>
              </w:rPr>
              <w:t>Clos au Hotline / Tickets Hotline</w:t>
            </w:r>
          </w:p>
        </w:tc>
        <w:tc>
          <w:tcPr>
            <w:tcW w:type="dxa" w:w="3249"/>
            <w:shd w:fill="E8EEF4" w:val="clear"/>
          </w:tcPr>
          <w:p>
            <w:pPr>
              <w:ind w:firstLine="0"/>
            </w:pPr>
            <w:r/>
            <w:r>
              <w:rPr>
                <w:rFonts w:ascii="Times New Roman" w:hAnsi="Times New Roman" w:eastAsia="Times New Roman"/>
                <w:b w:val="0"/>
                <w:i w:val="0"/>
                <w:sz w:val="16"/>
              </w:rPr>
              <w:t>≥ 70 %</w:t>
            </w:r>
          </w:p>
        </w:tc>
      </w:tr>
      <w:tr>
        <w:tc>
          <w:tcPr>
            <w:tcW w:type="dxa" w:w="3249"/>
          </w:tcPr>
          <w:p>
            <w:pPr>
              <w:ind w:firstLine="0"/>
            </w:pPr>
            <w:r/>
            <w:r>
              <w:rPr>
                <w:rFonts w:ascii="Times New Roman" w:hAnsi="Times New Roman" w:eastAsia="Times New Roman"/>
                <w:b w:val="0"/>
                <w:i w:val="0"/>
                <w:sz w:val="16"/>
              </w:rPr>
              <w:t>Taux Resolution au N2 %</w:t>
            </w:r>
          </w:p>
        </w:tc>
        <w:tc>
          <w:tcPr>
            <w:tcW w:type="dxa" w:w="3249"/>
          </w:tcPr>
          <w:p>
            <w:pPr>
              <w:ind w:firstLine="0"/>
            </w:pPr>
            <w:r/>
            <w:r>
              <w:rPr>
                <w:rFonts w:ascii="Times New Roman" w:hAnsi="Times New Roman" w:eastAsia="Times New Roman"/>
                <w:b w:val="0"/>
                <w:i w:val="0"/>
                <w:sz w:val="16"/>
              </w:rPr>
              <w:t>Clos N2 / Tickets N2</w:t>
            </w:r>
          </w:p>
        </w:tc>
        <w:tc>
          <w:tcPr>
            <w:tcW w:type="dxa" w:w="3249"/>
          </w:tcPr>
          <w:p>
            <w:pPr>
              <w:ind w:firstLine="0"/>
            </w:pPr>
            <w:r/>
            <w:r>
              <w:rPr>
                <w:rFonts w:ascii="Times New Roman" w:hAnsi="Times New Roman" w:eastAsia="Times New Roman"/>
                <w:b w:val="0"/>
                <w:i w:val="0"/>
                <w:sz w:val="16"/>
              </w:rPr>
              <w:t>≥ 75 %</w:t>
            </w:r>
          </w:p>
        </w:tc>
      </w:tr>
      <w:tr>
        <w:tc>
          <w:tcPr>
            <w:tcW w:type="dxa" w:w="3249"/>
            <w:shd w:fill="E8EEF4" w:val="clear"/>
          </w:tcPr>
          <w:p>
            <w:pPr>
              <w:ind w:firstLine="0"/>
            </w:pPr>
            <w:r/>
            <w:r>
              <w:rPr>
                <w:rFonts w:ascii="Times New Roman" w:hAnsi="Times New Roman" w:eastAsia="Times New Roman"/>
                <w:b w:val="0"/>
                <w:i w:val="0"/>
                <w:sz w:val="16"/>
              </w:rPr>
              <w:t>Taux Reouverture %</w:t>
            </w:r>
          </w:p>
        </w:tc>
        <w:tc>
          <w:tcPr>
            <w:tcW w:type="dxa" w:w="3249"/>
            <w:shd w:fill="E8EEF4" w:val="clear"/>
          </w:tcPr>
          <w:p>
            <w:pPr>
              <w:ind w:firstLine="0"/>
            </w:pPr>
            <w:r/>
            <w:r>
              <w:rPr>
                <w:rFonts w:ascii="Times New Roman" w:hAnsi="Times New Roman" w:eastAsia="Times New Roman"/>
                <w:b w:val="0"/>
                <w:i w:val="0"/>
                <w:sz w:val="16"/>
              </w:rPr>
              <w:t>Moyenne Reopened</w:t>
            </w:r>
          </w:p>
        </w:tc>
        <w:tc>
          <w:tcPr>
            <w:tcW w:type="dxa" w:w="3249"/>
            <w:shd w:fill="E8EEF4" w:val="clear"/>
          </w:tcPr>
          <w:p>
            <w:pPr>
              <w:ind w:firstLine="0"/>
            </w:pPr>
            <w:r/>
            <w:r>
              <w:rPr>
                <w:rFonts w:ascii="Times New Roman" w:hAnsi="Times New Roman" w:eastAsia="Times New Roman"/>
                <w:b w:val="0"/>
                <w:i w:val="0"/>
                <w:sz w:val="16"/>
              </w:rPr>
              <w:t>≤ 5 %</w:t>
            </w:r>
          </w:p>
        </w:tc>
      </w:tr>
      <w:tr>
        <w:tc>
          <w:tcPr>
            <w:tcW w:type="dxa" w:w="3249"/>
          </w:tcPr>
          <w:p>
            <w:pPr>
              <w:ind w:firstLine="0"/>
            </w:pPr>
            <w:r/>
            <w:r>
              <w:rPr>
                <w:rFonts w:ascii="Times New Roman" w:hAnsi="Times New Roman" w:eastAsia="Times New Roman"/>
                <w:b w:val="0"/>
                <w:i w:val="0"/>
                <w:sz w:val="16"/>
              </w:rPr>
              <w:t>CSAT Moyen</w:t>
            </w:r>
          </w:p>
        </w:tc>
        <w:tc>
          <w:tcPr>
            <w:tcW w:type="dxa" w:w="3249"/>
          </w:tcPr>
          <w:p>
            <w:pPr>
              <w:ind w:firstLine="0"/>
            </w:pPr>
            <w:r/>
            <w:r>
              <w:rPr>
                <w:rFonts w:ascii="Times New Roman" w:hAnsi="Times New Roman" w:eastAsia="Times New Roman"/>
                <w:b w:val="0"/>
                <w:i w:val="0"/>
                <w:sz w:val="16"/>
              </w:rPr>
              <w:t>Moyenne CSAT</w:t>
            </w:r>
          </w:p>
        </w:tc>
        <w:tc>
          <w:tcPr>
            <w:tcW w:type="dxa" w:w="3249"/>
          </w:tcPr>
          <w:p>
            <w:pPr>
              <w:ind w:firstLine="0"/>
            </w:pPr>
            <w:r/>
            <w:r>
              <w:rPr>
                <w:rFonts w:ascii="Times New Roman" w:hAnsi="Times New Roman" w:eastAsia="Times New Roman"/>
                <w:b w:val="0"/>
                <w:i w:val="0"/>
                <w:sz w:val="16"/>
              </w:rPr>
              <w:t>≥ 4,0 / 5</w:t>
            </w:r>
          </w:p>
        </w:tc>
      </w:tr>
    </w:tbl>
    <w:p/>
    <w:p>
      <w:pPr>
        <w:spacing w:line="360" w:lineRule="auto" w:after="160"/>
        <w:ind w:firstLine="0"/>
        <w:jc w:val="both"/>
      </w:pPr>
      <w:r>
        <w:rPr>
          <w:rFonts w:ascii="Times New Roman" w:hAnsi="Times New Roman" w:eastAsia="Times New Roman"/>
          <w:b w:val="0"/>
          <w:i/>
          <w:sz w:val="24"/>
        </w:rPr>
        <w:t>Le détail complet des mesures se trouve dans le fichier Mesures_DAX.txt du kit. Il suffit de les coller dans Power BI Desktop (Vue Modèle → Nouvelle mesure).</w:t>
      </w:r>
    </w:p>
    <w:p>
      <w:pPr>
        <w:pStyle w:val="Heading1"/>
        <w:ind w:firstLine="0"/>
      </w:pPr>
      <w:r>
        <w:rPr>
          <w:rFonts w:ascii="Times New Roman" w:hAnsi="Times New Roman" w:eastAsia="Times New Roman"/>
          <w:b/>
          <w:i w:val="0"/>
          <w:color w:val="1A3A5C"/>
          <w:sz w:val="32"/>
        </w:rPr>
        <w:t>6. Pages du rapport Power BI recommandées</w:t>
      </w:r>
    </w:p>
    <w:p>
      <w:pPr>
        <w:pStyle w:val="ListBullet"/>
        <w:ind w:firstLine="0"/>
      </w:pPr>
      <w:r>
        <w:rPr>
          <w:rFonts w:ascii="Times New Roman" w:hAnsi="Times New Roman" w:eastAsia="Times New Roman"/>
          <w:b w:val="0"/>
          <w:i w:val="0"/>
          <w:sz w:val="24"/>
        </w:rPr>
        <w:t>Page 1 — Executive Equans : volume, SLA global, escalade Hotline→N2, escalade N2→N3, CSAT.</w:t>
      </w:r>
    </w:p>
    <w:p>
      <w:pPr>
        <w:pStyle w:val="ListBullet"/>
        <w:ind w:firstLine="0"/>
      </w:pPr>
      <w:r>
        <w:rPr>
          <w:rFonts w:ascii="Times New Roman" w:hAnsi="Times New Roman" w:eastAsia="Times New Roman"/>
          <w:b w:val="0"/>
          <w:i w:val="0"/>
          <w:sz w:val="24"/>
        </w:rPr>
        <w:t>Page 2 — Hotline team : files, SLA 1ère réponse, taux résolution, top catégories, mauvaise qualification.</w:t>
      </w:r>
    </w:p>
    <w:p>
      <w:pPr>
        <w:pStyle w:val="ListBullet"/>
        <w:ind w:firstLine="0"/>
      </w:pPr>
      <w:r>
        <w:rPr>
          <w:rFonts w:ascii="Times New Roman" w:hAnsi="Times New Roman" w:eastAsia="Times New Roman"/>
          <w:b w:val="0"/>
          <w:i w:val="0"/>
          <w:sz w:val="24"/>
        </w:rPr>
        <w:t>Page 3 — Support N2 / N3 : charge, résolution par niveau, backlog, dépendance éditeur.</w:t>
      </w:r>
    </w:p>
    <w:p>
      <w:pPr>
        <w:pStyle w:val="ListBullet"/>
        <w:ind w:firstLine="0"/>
      </w:pPr>
      <w:r>
        <w:rPr>
          <w:rFonts w:ascii="Times New Roman" w:hAnsi="Times New Roman" w:eastAsia="Times New Roman"/>
          <w:b w:val="0"/>
          <w:i w:val="0"/>
          <w:sz w:val="24"/>
        </w:rPr>
        <w:t>Page 4 — Escalades : funnel, causes, évolution mensuelle, seuils Vert/Orange/Rouge.</w:t>
      </w:r>
    </w:p>
    <w:p>
      <w:pPr>
        <w:pStyle w:val="ListBullet"/>
        <w:ind w:firstLine="0"/>
      </w:pPr>
      <w:r>
        <w:rPr>
          <w:rFonts w:ascii="Times New Roman" w:hAnsi="Times New Roman" w:eastAsia="Times New Roman"/>
          <w:b w:val="0"/>
          <w:i w:val="0"/>
          <w:sz w:val="24"/>
        </w:rPr>
        <w:t>Page 5 — Stratégique : adoption CRM, qualité data, applications les plus incidentogènes.</w:t>
      </w:r>
    </w:p>
    <w:p>
      <w:pPr>
        <w:pStyle w:val="Heading1"/>
        <w:ind w:firstLine="0"/>
      </w:pPr>
      <w:r>
        <w:rPr>
          <w:rFonts w:ascii="Times New Roman" w:hAnsi="Times New Roman" w:eastAsia="Times New Roman"/>
          <w:b/>
          <w:i w:val="0"/>
          <w:color w:val="1A3A5C"/>
          <w:sz w:val="32"/>
        </w:rPr>
        <w:t>7. Plan de mise en œuvre (feuille de route)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A3A5C" w:val="clear"/>
          </w:tcPr>
          <w:p>
            <w:pPr>
              <w:ind w:firstLine="0"/>
              <w:jc w:val="center"/>
            </w:pPr>
            <w:r/>
            <w:r>
              <w:rPr>
                <w:rFonts w:ascii="Times New Roman" w:hAnsi="Times New Roman" w:eastAsia="Times New Roman"/>
                <w:b/>
                <w:i w:val="0"/>
                <w:color w:val="FFFFFF"/>
                <w:sz w:val="18"/>
              </w:rPr>
              <w:t>Phase</w:t>
            </w:r>
          </w:p>
        </w:tc>
        <w:tc>
          <w:tcPr>
            <w:tcW w:type="dxa" w:w="2436"/>
            <w:shd w:fill="1A3A5C" w:val="clear"/>
          </w:tcPr>
          <w:p>
            <w:pPr>
              <w:ind w:firstLine="0"/>
              <w:jc w:val="center"/>
            </w:pPr>
            <w:r/>
            <w:r>
              <w:rPr>
                <w:rFonts w:ascii="Times New Roman" w:hAnsi="Times New Roman" w:eastAsia="Times New Roman"/>
                <w:b/>
                <w:i w:val="0"/>
                <w:color w:val="FFFFFF"/>
                <w:sz w:val="18"/>
              </w:rPr>
              <w:t>Durée</w:t>
            </w:r>
          </w:p>
        </w:tc>
        <w:tc>
          <w:tcPr>
            <w:tcW w:type="dxa" w:w="2436"/>
            <w:shd w:fill="1A3A5C" w:val="clear"/>
          </w:tcPr>
          <w:p>
            <w:pPr>
              <w:ind w:firstLine="0"/>
              <w:jc w:val="center"/>
            </w:pPr>
            <w:r/>
            <w:r>
              <w:rPr>
                <w:rFonts w:ascii="Times New Roman" w:hAnsi="Times New Roman" w:eastAsia="Times New Roman"/>
                <w:b/>
                <w:i w:val="0"/>
                <w:color w:val="FFFFFF"/>
                <w:sz w:val="18"/>
              </w:rPr>
              <w:t>Actions</w:t>
            </w:r>
          </w:p>
        </w:tc>
        <w:tc>
          <w:tcPr>
            <w:tcW w:type="dxa" w:w="2436"/>
            <w:shd w:fill="1A3A5C" w:val="clear"/>
          </w:tcPr>
          <w:p>
            <w:pPr>
              <w:ind w:firstLine="0"/>
              <w:jc w:val="center"/>
            </w:pPr>
            <w:r/>
            <w:r>
              <w:rPr>
                <w:rFonts w:ascii="Times New Roman" w:hAnsi="Times New Roman" w:eastAsia="Times New Roman"/>
                <w:b/>
                <w:i w:val="0"/>
                <w:color w:val="FFFFFF"/>
                <w:sz w:val="18"/>
              </w:rPr>
              <w:t>Résultat</w:t>
            </w:r>
          </w:p>
        </w:tc>
      </w:tr>
      <w:tr>
        <w:tc>
          <w:tcPr>
            <w:tcW w:type="dxa" w:w="2436"/>
          </w:tcPr>
          <w:p>
            <w:pPr>
              <w:ind w:firstLine="0"/>
            </w:pPr>
            <w:r/>
            <w:r>
              <w:rPr>
                <w:rFonts w:ascii="Times New Roman" w:hAnsi="Times New Roman" w:eastAsia="Times New Roman"/>
                <w:b w:val="0"/>
                <w:i w:val="0"/>
                <w:sz w:val="16"/>
              </w:rPr>
              <w:t>0. Cadrage</w:t>
            </w:r>
          </w:p>
        </w:tc>
        <w:tc>
          <w:tcPr>
            <w:tcW w:type="dxa" w:w="2436"/>
          </w:tcPr>
          <w:p>
            <w:pPr>
              <w:ind w:firstLine="0"/>
            </w:pPr>
            <w:r/>
            <w:r>
              <w:rPr>
                <w:rFonts w:ascii="Times New Roman" w:hAnsi="Times New Roman" w:eastAsia="Times New Roman"/>
                <w:b w:val="0"/>
                <w:i w:val="0"/>
                <w:sz w:val="16"/>
              </w:rPr>
              <w:t>1–2 sem.</w:t>
            </w:r>
          </w:p>
        </w:tc>
        <w:tc>
          <w:tcPr>
            <w:tcW w:type="dxa" w:w="2436"/>
          </w:tcPr>
          <w:p>
            <w:pPr>
              <w:ind w:firstLine="0"/>
            </w:pPr>
            <w:r/>
            <w:r>
              <w:rPr>
                <w:rFonts w:ascii="Times New Roman" w:hAnsi="Times New Roman" w:eastAsia="Times New Roman"/>
                <w:b w:val="0"/>
                <w:i w:val="0"/>
                <w:sz w:val="16"/>
              </w:rPr>
              <w:t>Accès SN/SF, mapping groupes Hotline/N2/N3, RLS</w:t>
            </w:r>
          </w:p>
        </w:tc>
        <w:tc>
          <w:tcPr>
            <w:tcW w:type="dxa" w:w="2436"/>
          </w:tcPr>
          <w:p>
            <w:pPr>
              <w:ind w:firstLine="0"/>
            </w:pPr>
            <w:r/>
            <w:r>
              <w:rPr>
                <w:rFonts w:ascii="Times New Roman" w:hAnsi="Times New Roman" w:eastAsia="Times New Roman"/>
                <w:b w:val="0"/>
                <w:i w:val="0"/>
                <w:sz w:val="16"/>
              </w:rPr>
              <w:t>Backlog technique</w:t>
            </w:r>
          </w:p>
        </w:tc>
      </w:tr>
      <w:tr>
        <w:tc>
          <w:tcPr>
            <w:tcW w:type="dxa" w:w="2436"/>
            <w:shd w:fill="E8EEF4" w:val="clear"/>
          </w:tcPr>
          <w:p>
            <w:pPr>
              <w:ind w:firstLine="0"/>
            </w:pPr>
            <w:r/>
            <w:r>
              <w:rPr>
                <w:rFonts w:ascii="Times New Roman" w:hAnsi="Times New Roman" w:eastAsia="Times New Roman"/>
                <w:b w:val="0"/>
                <w:i w:val="0"/>
                <w:sz w:val="16"/>
              </w:rPr>
              <w:t>1. Prototype</w:t>
            </w:r>
          </w:p>
        </w:tc>
        <w:tc>
          <w:tcPr>
            <w:tcW w:type="dxa" w:w="2436"/>
            <w:shd w:fill="E8EEF4" w:val="clear"/>
          </w:tcPr>
          <w:p>
            <w:pPr>
              <w:ind w:firstLine="0"/>
            </w:pPr>
            <w:r/>
            <w:r>
              <w:rPr>
                <w:rFonts w:ascii="Times New Roman" w:hAnsi="Times New Roman" w:eastAsia="Times New Roman"/>
                <w:b w:val="0"/>
                <w:i w:val="0"/>
                <w:sz w:val="16"/>
              </w:rPr>
              <w:t>2–3 sem.</w:t>
            </w:r>
          </w:p>
        </w:tc>
        <w:tc>
          <w:tcPr>
            <w:tcW w:type="dxa" w:w="2436"/>
            <w:shd w:fill="E8EEF4" w:val="clear"/>
          </w:tcPr>
          <w:p>
            <w:pPr>
              <w:ind w:firstLine="0"/>
            </w:pPr>
            <w:r/>
            <w:r>
              <w:rPr>
                <w:rFonts w:ascii="Times New Roman" w:hAnsi="Times New Roman" w:eastAsia="Times New Roman"/>
                <w:b w:val="0"/>
                <w:i w:val="0"/>
                <w:sz w:val="16"/>
              </w:rPr>
              <w:t>Excel démo + DAX + 2 pages PBI</w:t>
            </w:r>
          </w:p>
        </w:tc>
        <w:tc>
          <w:tcPr>
            <w:tcW w:type="dxa" w:w="2436"/>
            <w:shd w:fill="E8EEF4" w:val="clear"/>
          </w:tcPr>
          <w:p>
            <w:pPr>
              <w:ind w:firstLine="0"/>
            </w:pPr>
            <w:r/>
            <w:r>
              <w:rPr>
                <w:rFonts w:ascii="Times New Roman" w:hAnsi="Times New Roman" w:eastAsia="Times New Roman"/>
                <w:b w:val="0"/>
                <w:i w:val="0"/>
                <w:sz w:val="16"/>
              </w:rPr>
              <w:t>POC validé comité</w:t>
            </w:r>
          </w:p>
        </w:tc>
      </w:tr>
      <w:tr>
        <w:tc>
          <w:tcPr>
            <w:tcW w:type="dxa" w:w="2436"/>
          </w:tcPr>
          <w:p>
            <w:pPr>
              <w:ind w:firstLine="0"/>
            </w:pPr>
            <w:r/>
            <w:r>
              <w:rPr>
                <w:rFonts w:ascii="Times New Roman" w:hAnsi="Times New Roman" w:eastAsia="Times New Roman"/>
                <w:b w:val="0"/>
                <w:i w:val="0"/>
                <w:sz w:val="16"/>
              </w:rPr>
              <w:t>2. Connexions live</w:t>
            </w:r>
          </w:p>
        </w:tc>
        <w:tc>
          <w:tcPr>
            <w:tcW w:type="dxa" w:w="2436"/>
          </w:tcPr>
          <w:p>
            <w:pPr>
              <w:ind w:firstLine="0"/>
            </w:pPr>
            <w:r/>
            <w:r>
              <w:rPr>
                <w:rFonts w:ascii="Times New Roman" w:hAnsi="Times New Roman" w:eastAsia="Times New Roman"/>
                <w:b w:val="0"/>
                <w:i w:val="0"/>
                <w:sz w:val="16"/>
              </w:rPr>
              <w:t>2–4 sem.</w:t>
            </w:r>
          </w:p>
        </w:tc>
        <w:tc>
          <w:tcPr>
            <w:tcW w:type="dxa" w:w="2436"/>
          </w:tcPr>
          <w:p>
            <w:pPr>
              <w:ind w:firstLine="0"/>
            </w:pPr>
            <w:r/>
            <w:r>
              <w:rPr>
                <w:rFonts w:ascii="Times New Roman" w:hAnsi="Times New Roman" w:eastAsia="Times New Roman"/>
                <w:b w:val="0"/>
                <w:i w:val="0"/>
                <w:sz w:val="16"/>
              </w:rPr>
              <w:t>Connecteurs SN+SF, Dataflow, tests SLA/escalade</w:t>
            </w:r>
          </w:p>
        </w:tc>
        <w:tc>
          <w:tcPr>
            <w:tcW w:type="dxa" w:w="2436"/>
          </w:tcPr>
          <w:p>
            <w:pPr>
              <w:ind w:firstLine="0"/>
            </w:pPr>
            <w:r/>
            <w:r>
              <w:rPr>
                <w:rFonts w:ascii="Times New Roman" w:hAnsi="Times New Roman" w:eastAsia="Times New Roman"/>
                <w:b w:val="0"/>
                <w:i w:val="0"/>
                <w:sz w:val="16"/>
              </w:rPr>
              <w:t>Données réelles</w:t>
            </w:r>
          </w:p>
        </w:tc>
      </w:tr>
      <w:tr>
        <w:tc>
          <w:tcPr>
            <w:tcW w:type="dxa" w:w="2436"/>
            <w:shd w:fill="E8EEF4" w:val="clear"/>
          </w:tcPr>
          <w:p>
            <w:pPr>
              <w:ind w:firstLine="0"/>
            </w:pPr>
            <w:r/>
            <w:r>
              <w:rPr>
                <w:rFonts w:ascii="Times New Roman" w:hAnsi="Times New Roman" w:eastAsia="Times New Roman"/>
                <w:b w:val="0"/>
                <w:i w:val="0"/>
                <w:sz w:val="16"/>
              </w:rPr>
              <w:t>3. Industrialisation</w:t>
            </w:r>
          </w:p>
        </w:tc>
        <w:tc>
          <w:tcPr>
            <w:tcW w:type="dxa" w:w="2436"/>
            <w:shd w:fill="E8EEF4" w:val="clear"/>
          </w:tcPr>
          <w:p>
            <w:pPr>
              <w:ind w:firstLine="0"/>
            </w:pPr>
            <w:r/>
            <w:r>
              <w:rPr>
                <w:rFonts w:ascii="Times New Roman" w:hAnsi="Times New Roman" w:eastAsia="Times New Roman"/>
                <w:b w:val="0"/>
                <w:i w:val="0"/>
                <w:sz w:val="16"/>
              </w:rPr>
              <w:t>3–4 sem.</w:t>
            </w:r>
          </w:p>
        </w:tc>
        <w:tc>
          <w:tcPr>
            <w:tcW w:type="dxa" w:w="2436"/>
            <w:shd w:fill="E8EEF4" w:val="clear"/>
          </w:tcPr>
          <w:p>
            <w:pPr>
              <w:ind w:firstLine="0"/>
            </w:pPr>
            <w:r/>
            <w:r>
              <w:rPr>
                <w:rFonts w:ascii="Times New Roman" w:hAnsi="Times New Roman" w:eastAsia="Times New Roman"/>
                <w:b w:val="0"/>
                <w:i w:val="0"/>
                <w:sz w:val="16"/>
              </w:rPr>
              <w:t>Workspace, gateway, refresh, RLS BU, formation</w:t>
            </w:r>
          </w:p>
        </w:tc>
        <w:tc>
          <w:tcPr>
            <w:tcW w:type="dxa" w:w="2436"/>
            <w:shd w:fill="E8EEF4" w:val="clear"/>
          </w:tcPr>
          <w:p>
            <w:pPr>
              <w:ind w:firstLine="0"/>
            </w:pPr>
            <w:r/>
            <w:r>
              <w:rPr>
                <w:rFonts w:ascii="Times New Roman" w:hAnsi="Times New Roman" w:eastAsia="Times New Roman"/>
                <w:b w:val="0"/>
                <w:i w:val="0"/>
                <w:sz w:val="16"/>
              </w:rPr>
              <w:t>Dashboard prod</w:t>
            </w:r>
          </w:p>
        </w:tc>
      </w:tr>
      <w:tr>
        <w:tc>
          <w:tcPr>
            <w:tcW w:type="dxa" w:w="2436"/>
          </w:tcPr>
          <w:p>
            <w:pPr>
              <w:ind w:firstLine="0"/>
            </w:pPr>
            <w:r/>
            <w:r>
              <w:rPr>
                <w:rFonts w:ascii="Times New Roman" w:hAnsi="Times New Roman" w:eastAsia="Times New Roman"/>
                <w:b w:val="0"/>
                <w:i w:val="0"/>
                <w:sz w:val="16"/>
              </w:rPr>
              <w:t>4. Amélioration</w:t>
            </w:r>
          </w:p>
        </w:tc>
        <w:tc>
          <w:tcPr>
            <w:tcW w:type="dxa" w:w="2436"/>
          </w:tcPr>
          <w:p>
            <w:pPr>
              <w:ind w:firstLine="0"/>
            </w:pPr>
            <w:r/>
            <w:r>
              <w:rPr>
                <w:rFonts w:ascii="Times New Roman" w:hAnsi="Times New Roman" w:eastAsia="Times New Roman"/>
                <w:b w:val="0"/>
                <w:i w:val="0"/>
                <w:sz w:val="16"/>
              </w:rPr>
              <w:t>Continu</w:t>
            </w:r>
          </w:p>
        </w:tc>
        <w:tc>
          <w:tcPr>
            <w:tcW w:type="dxa" w:w="2436"/>
          </w:tcPr>
          <w:p>
            <w:pPr>
              <w:ind w:firstLine="0"/>
            </w:pPr>
            <w:r/>
            <w:r>
              <w:rPr>
                <w:rFonts w:ascii="Times New Roman" w:hAnsi="Times New Roman" w:eastAsia="Times New Roman"/>
                <w:b w:val="0"/>
                <w:i w:val="0"/>
                <w:sz w:val="16"/>
              </w:rPr>
              <w:t>Problem mgmt, alertes Teams, maturité SI</w:t>
            </w:r>
          </w:p>
        </w:tc>
        <w:tc>
          <w:tcPr>
            <w:tcW w:type="dxa" w:w="2436"/>
          </w:tcPr>
          <w:p>
            <w:pPr>
              <w:ind w:firstLine="0"/>
            </w:pPr>
            <w:r/>
            <w:r>
              <w:rPr>
                <w:rFonts w:ascii="Times New Roman" w:hAnsi="Times New Roman" w:eastAsia="Times New Roman"/>
                <w:b w:val="0"/>
                <w:i w:val="0"/>
                <w:sz w:val="16"/>
              </w:rPr>
              <w:t>Pilotage pérenne</w:t>
            </w:r>
          </w:p>
        </w:tc>
      </w:tr>
    </w:tbl>
    <w:p/>
    <w:p>
      <w:pPr>
        <w:pStyle w:val="Heading1"/>
        <w:ind w:firstLine="0"/>
      </w:pPr>
      <w:r>
        <w:rPr>
          <w:rFonts w:ascii="Times New Roman" w:hAnsi="Times New Roman" w:eastAsia="Times New Roman"/>
          <w:b/>
          <w:i w:val="0"/>
          <w:color w:val="1A3A5C"/>
          <w:sz w:val="32"/>
        </w:rPr>
        <w:t>8. Prérequis techniques et sécurité</w:t>
      </w:r>
    </w:p>
    <w:p>
      <w:pPr>
        <w:pStyle w:val="ListBullet"/>
        <w:ind w:firstLine="0"/>
      </w:pPr>
      <w:r>
        <w:rPr>
          <w:rFonts w:ascii="Times New Roman" w:hAnsi="Times New Roman" w:eastAsia="Times New Roman"/>
          <w:b w:val="0"/>
          <w:i w:val="0"/>
          <w:sz w:val="24"/>
        </w:rPr>
        <w:t>Licences Power BI Pro (ou Premium/PPU si incremental refresh large volume).</w:t>
      </w:r>
    </w:p>
    <w:p>
      <w:pPr>
        <w:pStyle w:val="ListBullet"/>
        <w:ind w:firstLine="0"/>
      </w:pPr>
      <w:r>
        <w:rPr>
          <w:rFonts w:ascii="Times New Roman" w:hAnsi="Times New Roman" w:eastAsia="Times New Roman"/>
          <w:b w:val="0"/>
          <w:i w:val="0"/>
          <w:sz w:val="24"/>
        </w:rPr>
        <w:t>Droits API ServiceNow (incident_read, sla_read) + profil Salesforce API Enabled.</w:t>
      </w:r>
    </w:p>
    <w:p>
      <w:pPr>
        <w:pStyle w:val="ListBullet"/>
        <w:ind w:firstLine="0"/>
      </w:pPr>
      <w:r>
        <w:rPr>
          <w:rFonts w:ascii="Times New Roman" w:hAnsi="Times New Roman" w:eastAsia="Times New Roman"/>
          <w:b w:val="0"/>
          <w:i w:val="0"/>
          <w:sz w:val="24"/>
        </w:rPr>
        <w:t>Consentement DSI / RSSI : compte de service, journalisation, pas de données personnelles inutiles.</w:t>
      </w:r>
    </w:p>
    <w:p>
      <w:pPr>
        <w:pStyle w:val="ListBullet"/>
        <w:ind w:firstLine="0"/>
      </w:pPr>
      <w:r>
        <w:rPr>
          <w:rFonts w:ascii="Times New Roman" w:hAnsi="Times New Roman" w:eastAsia="Times New Roman"/>
          <w:b w:val="0"/>
          <w:i w:val="0"/>
          <w:sz w:val="24"/>
        </w:rPr>
        <w:t>RLS : filtrer par BusinessUnit / assignment_group pour les managers locaux.</w:t>
      </w:r>
    </w:p>
    <w:p>
      <w:pPr>
        <w:pStyle w:val="ListBullet"/>
        <w:ind w:firstLine="0"/>
      </w:pPr>
      <w:r>
        <w:rPr>
          <w:rFonts w:ascii="Times New Roman" w:hAnsi="Times New Roman" w:eastAsia="Times New Roman"/>
          <w:b w:val="0"/>
          <w:i w:val="0"/>
          <w:sz w:val="24"/>
        </w:rPr>
        <w:t>Documentation du dictionnaire de données (mapping fourni dans le classeur Excel).</w:t>
      </w:r>
    </w:p>
    <w:p>
      <w:pPr>
        <w:pStyle w:val="Heading1"/>
        <w:ind w:firstLine="0"/>
      </w:pPr>
      <w:r>
        <w:rPr>
          <w:rFonts w:ascii="Times New Roman" w:hAnsi="Times New Roman" w:eastAsia="Times New Roman"/>
          <w:b/>
          <w:i w:val="0"/>
          <w:color w:val="1A3A5C"/>
          <w:sz w:val="32"/>
        </w:rPr>
        <w:t>9. Mode démo pour le mémoire (sans accès prod)</w:t>
      </w:r>
    </w:p>
    <w:p>
      <w:pPr>
        <w:spacing w:line="360" w:lineRule="auto" w:after="160"/>
        <w:ind w:firstLine="709"/>
        <w:jc w:val="both"/>
      </w:pPr>
      <w:r>
        <w:rPr>
          <w:rFonts w:ascii="Times New Roman" w:hAnsi="Times New Roman" w:eastAsia="Times New Roman"/>
          <w:b w:val="0"/>
          <w:i w:val="0"/>
          <w:sz w:val="24"/>
        </w:rPr>
        <w:t>En attendant les habilitations ServiceNow/Salesforce, le kit fournit un jeu de données anonymisé (400 tickets) au format Excel/CSV, déjà structuré comme le modèle unifié. Il permet de construire immédiatement le rapport Power BI, de capturer les écrans pour le mémoire, puis de basculer la source vers les connecteurs live sans refaire les visuels.</w:t>
      </w:r>
    </w:p>
    <w:p>
      <w:pPr>
        <w:pStyle w:val="ListBullet"/>
        <w:ind w:firstLine="0"/>
      </w:pPr>
      <w:r>
        <w:rPr>
          <w:rFonts w:ascii="Times New Roman" w:hAnsi="Times New Roman" w:eastAsia="Times New Roman"/>
          <w:b w:val="0"/>
          <w:i w:val="0"/>
          <w:sz w:val="24"/>
        </w:rPr>
        <w:t>Fichier : data/Equans_PowerBI_Pilotage_SI_Modele_Demo.xlsx</w:t>
      </w:r>
    </w:p>
    <w:p>
      <w:pPr>
        <w:pStyle w:val="ListBullet"/>
        <w:ind w:firstLine="0"/>
      </w:pPr>
      <w:r>
        <w:rPr>
          <w:rFonts w:ascii="Times New Roman" w:hAnsi="Times New Roman" w:eastAsia="Times New Roman"/>
          <w:b w:val="0"/>
          <w:i w:val="0"/>
          <w:sz w:val="24"/>
        </w:rPr>
        <w:t>Power BI → Obtenir des données → Excel → sélectionner Fact_Tickets_Unified + Dim_*</w:t>
      </w:r>
    </w:p>
    <w:p>
      <w:pPr>
        <w:pStyle w:val="ListBullet"/>
        <w:ind w:firstLine="0"/>
      </w:pPr>
      <w:r>
        <w:rPr>
          <w:rFonts w:ascii="Times New Roman" w:hAnsi="Times New Roman" w:eastAsia="Times New Roman"/>
          <w:b w:val="0"/>
          <w:i w:val="0"/>
          <w:sz w:val="24"/>
        </w:rPr>
        <w:t>Créer les relations (feuille Modele_Relations) puis coller les mesures DAX.</w:t>
      </w:r>
    </w:p>
    <w:p>
      <w:pPr>
        <w:pStyle w:val="Heading1"/>
        <w:ind w:firstLine="0"/>
      </w:pPr>
      <w:r>
        <w:rPr>
          <w:rFonts w:ascii="Times New Roman" w:hAnsi="Times New Roman" w:eastAsia="Times New Roman"/>
          <w:b/>
          <w:i w:val="0"/>
          <w:color w:val="1A3A5C"/>
          <w:sz w:val="32"/>
        </w:rPr>
        <w:t>10. Apport pour le mémoire et pour Equans</w:t>
      </w:r>
    </w:p>
    <w:p>
      <w:pPr>
        <w:spacing w:line="360" w:lineRule="auto" w:after="160"/>
        <w:ind w:firstLine="709"/>
        <w:jc w:val="both"/>
      </w:pPr>
      <w:r>
        <w:rPr>
          <w:rFonts w:ascii="Times New Roman" w:hAnsi="Times New Roman" w:eastAsia="Times New Roman"/>
          <w:b w:val="0"/>
          <w:i w:val="0"/>
          <w:sz w:val="24"/>
        </w:rPr>
        <w:t>Cette mise en œuvre Power BI démontre la capacité à passer du diagnostic à un outil de pilotage actionnable. Elle opérationnalise les hypothèses du mémoire : gouvernance par indicateurs, objectivation des escalades Hotline→N2 et N2→N3, et alignement support / stratégie via un dashboard unique alimenté par les systèmes de production Equans.</w:t>
      </w:r>
    </w:p>
    <w:p>
      <w:pPr>
        <w:ind w:firstLine="0"/>
        <w:jc w:val="center"/>
      </w:pPr>
      <w:r>
        <w:rPr>
          <w:rFonts w:ascii="Times New Roman" w:hAnsi="Times New Roman" w:eastAsia="Times New Roman"/>
          <w:b w:val="0"/>
          <w:i/>
          <w:color w:val="666666"/>
          <w:sz w:val="18"/>
        </w:rPr>
        <w:br/>
        <w:t>— Kit Power BI Equans — ServiceNow + Salesforce — Hotline team / N2 / N3 — BAHJI Mohammed —</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drawing>
        <wp:inline xmlns:a="http://schemas.openxmlformats.org/drawingml/2006/main" xmlns:pic="http://schemas.openxmlformats.org/drawingml/2006/picture">
          <wp:extent cx="1260000" cy="539237"/>
          <wp:docPr id="1" name="Picture 1"/>
          <wp:cNvGraphicFramePr>
            <a:graphicFrameLocks noChangeAspect="1"/>
          </wp:cNvGraphicFramePr>
          <a:graphic>
            <a:graphicData uri="http://schemas.openxmlformats.org/drawingml/2006/picture">
              <pic:pic>
                <pic:nvPicPr>
                  <pic:cNvPr id="0" name="logo_equans.png"/>
                  <pic:cNvPicPr/>
                </pic:nvPicPr>
                <pic:blipFill>
                  <a:blip r:embed="rId1"/>
                  <a:stretch>
                    <a:fillRect/>
                  </a:stretch>
                </pic:blipFill>
                <pic:spPr>
                  <a:xfrm>
                    <a:off x="0" y="0"/>
                    <a:ext cx="1260000" cy="53923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