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HQ</w:t>
      </w:r>
      <w:r w:rsidDel="00000000" w:rsidR="00000000" w:rsidRPr="00000000">
        <w:rPr>
          <w:rtl w:val="0"/>
        </w:rPr>
        <w:t xml:space="preserve">: HeadQuarters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Ops</w:t>
      </w:r>
      <w:r w:rsidDel="00000000" w:rsidR="00000000" w:rsidRPr="00000000">
        <w:rPr>
          <w:rtl w:val="0"/>
        </w:rPr>
        <w:t xml:space="preserve">: Operations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CP</w:t>
      </w:r>
      <w:r w:rsidDel="00000000" w:rsidR="00000000" w:rsidRPr="00000000">
        <w:rPr>
          <w:rtl w:val="0"/>
        </w:rPr>
        <w:t xml:space="preserve">: Command Post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ISR</w:t>
      </w:r>
      <w:r w:rsidDel="00000000" w:rsidR="00000000" w:rsidRPr="00000000">
        <w:rPr>
          <w:rtl w:val="0"/>
        </w:rPr>
        <w:t xml:space="preserve">: Intelligence, Surveillance, Reconnaissance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1000 Operations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1001 HQ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1002 Command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1003 Ops/Staff/CP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1004 Technology (IT/Net/Signal/Comms/C4I)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1005 Security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1006 ISR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2000 Combat Arms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2001 Infantry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2002 Cavalry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2003 Artillery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2004 Combined Arms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