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6"/>
        </w:rPr>
      </w:pPr>
      <w:r>
        <w:rPr/>
        <w:pict>
          <v:group style="position:absolute;margin-left:0pt;margin-top:16.924824pt;width:595.25pt;height:825pt;mso-position-horizontal-relative:page;mso-position-vertical-relative:page;z-index:-15772672" coordorigin="0,338" coordsize="11905,16500">
            <v:shape style="position:absolute;left:0;top:338;width:11905;height:16500" type="#_x0000_t75" stroked="false">
              <v:imagedata r:id="rId5" o:title=""/>
            </v:shape>
            <v:rect style="position:absolute;left:4599;top:12750;width:2706;height:12" filled="true" fillcolor="#000000" stroked="false">
              <v:fill type="solid"/>
            </v:rect>
            <v:rect style="position:absolute;left:7107;top:15302;width:1839;height:12" filled="true" fillcolor="#0000ff" stroked="false">
              <v:fill type="solid"/>
            </v:rect>
            <w10:wrap type="none"/>
          </v:group>
        </w:pict>
      </w:r>
    </w:p>
    <w:p>
      <w:pPr>
        <w:pStyle w:val="BodyText"/>
        <w:ind w:left="91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8.25pt;height:245.7pt;mso-position-horizontal-relative:char;mso-position-vertical-relative:line" type="#_x0000_t202" filled="false" stroked="true" strokeweight="2pt" strokecolor="#6460a9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37"/>
                    </w:rPr>
                  </w:pPr>
                </w:p>
                <w:p>
                  <w:pPr>
                    <w:spacing w:before="0"/>
                    <w:ind w:left="2550" w:right="2512" w:firstLine="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6460A9"/>
                      <w:sz w:val="32"/>
                    </w:rPr>
                    <w:t>Communication</w:t>
                  </w:r>
                  <w:r>
                    <w:rPr>
                      <w:rFonts w:ascii="Arial"/>
                      <w:b/>
                      <w:color w:val="6460A9"/>
                      <w:spacing w:val="1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32"/>
                    </w:rPr>
                    <w:t>du</w:t>
                  </w:r>
                  <w:r>
                    <w:rPr>
                      <w:rFonts w:ascii="Arial"/>
                      <w:b/>
                      <w:color w:val="6460A9"/>
                      <w:spacing w:val="-4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32"/>
                    </w:rPr>
                    <w:t>groupe</w:t>
                  </w:r>
                  <w:r>
                    <w:rPr>
                      <w:rFonts w:ascii="Arial"/>
                      <w:b/>
                      <w:color w:val="6460A9"/>
                      <w:spacing w:val="-2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32"/>
                    </w:rPr>
                    <w:t>Casino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3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Arial"/>
                      <w:b/>
                      <w:sz w:val="40"/>
                    </w:rPr>
                  </w:pPr>
                </w:p>
                <w:p>
                  <w:pPr>
                    <w:pStyle w:val="BodyText"/>
                    <w:ind w:left="361"/>
                    <w:jc w:val="both"/>
                  </w:pPr>
                  <w:r>
                    <w:rPr>
                      <w:w w:val="85"/>
                    </w:rPr>
                    <w:t>Paris,</w:t>
                  </w:r>
                  <w:r>
                    <w:rPr>
                      <w:spacing w:val="10"/>
                      <w:w w:val="85"/>
                    </w:rPr>
                    <w:t> </w:t>
                  </w:r>
                  <w:r>
                    <w:rPr>
                      <w:w w:val="85"/>
                    </w:rPr>
                    <w:t>le</w:t>
                  </w:r>
                  <w:r>
                    <w:rPr>
                      <w:spacing w:val="14"/>
                      <w:w w:val="85"/>
                    </w:rPr>
                    <w:t> </w:t>
                  </w:r>
                  <w:r>
                    <w:rPr>
                      <w:w w:val="85"/>
                    </w:rPr>
                    <w:t>01</w:t>
                  </w:r>
                  <w:r>
                    <w:rPr>
                      <w:spacing w:val="11"/>
                      <w:w w:val="85"/>
                    </w:rPr>
                    <w:t> </w:t>
                  </w:r>
                  <w:r>
                    <w:rPr>
                      <w:w w:val="85"/>
                    </w:rPr>
                    <w:t>février</w:t>
                  </w:r>
                  <w:r>
                    <w:rPr>
                      <w:spacing w:val="15"/>
                      <w:w w:val="85"/>
                    </w:rPr>
                    <w:t> </w:t>
                  </w:r>
                  <w:r>
                    <w:rPr>
                      <w:w w:val="85"/>
                    </w:rPr>
                    <w:t>2023</w:t>
                  </w:r>
                </w:p>
                <w:p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361" w:right="320"/>
                    <w:jc w:val="both"/>
                  </w:pPr>
                  <w:r>
                    <w:rPr>
                      <w:spacing w:val="-1"/>
                    </w:rPr>
                    <w:t>En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</w:rPr>
                    <w:t>réponse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aux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</w:rPr>
                    <w:t>rumeurs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dont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la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presse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s’est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faite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</w:rPr>
                    <w:t>l’écho,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</w:rPr>
                    <w:t>le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groupe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Casino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confirme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avoir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engagé avec TERACT des discussions exploratoires qui pourraient mener au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rapprochement des activités de distribution des deux groupes en France au sein d’une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même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entité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contrôlée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par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Casino,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mise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place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d’une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entité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nouvellement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créée</w:t>
                  </w:r>
                  <w:r>
                    <w:rPr>
                      <w:spacing w:val="-75"/>
                    </w:rPr>
                    <w:t> </w:t>
                  </w:r>
                  <w:r>
                    <w:rPr>
                      <w:w w:val="95"/>
                    </w:rPr>
                    <w:t>contrôlée par les actionnaires de TERACT et en charge notamment de l'approvisionnement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en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produits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agricoles,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locaux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w w:val="95"/>
                    </w:rPr>
                    <w:t>et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circuit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court.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361"/>
                    <w:jc w:val="both"/>
                  </w:pPr>
                  <w:r>
                    <w:rPr>
                      <w:w w:val="95"/>
                    </w:rPr>
                    <w:t>Ces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discussions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sont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préliminaires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w w:val="95"/>
                    </w:rPr>
                    <w:t>et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pourraient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ne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pas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w w:val="95"/>
                    </w:rPr>
                    <w:t>aboutir.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spacing w:before="99"/>
        <w:ind w:left="492" w:right="0" w:firstLine="0"/>
        <w:jc w:val="both"/>
        <w:rPr>
          <w:b/>
          <w:sz w:val="20"/>
        </w:rPr>
      </w:pPr>
      <w:r>
        <w:rPr>
          <w:b/>
          <w:w w:val="80"/>
          <w:sz w:val="20"/>
        </w:rPr>
        <w:t>Information</w:t>
      </w:r>
      <w:r>
        <w:rPr>
          <w:b/>
          <w:spacing w:val="33"/>
          <w:w w:val="80"/>
          <w:sz w:val="20"/>
        </w:rPr>
        <w:t> </w:t>
      </w:r>
      <w:r>
        <w:rPr>
          <w:b/>
          <w:w w:val="80"/>
          <w:sz w:val="20"/>
        </w:rPr>
        <w:t>importante</w:t>
      </w:r>
    </w:p>
    <w:p>
      <w:pPr>
        <w:spacing w:before="122"/>
        <w:ind w:left="492" w:right="461" w:firstLine="0"/>
        <w:jc w:val="both"/>
        <w:rPr>
          <w:i/>
          <w:sz w:val="20"/>
        </w:rPr>
      </w:pPr>
      <w:r>
        <w:rPr>
          <w:i/>
          <w:sz w:val="20"/>
        </w:rPr>
        <w:t>Ce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communiqué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été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préparé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uniquement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titre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informatif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doit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pas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être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interprété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comme</w:t>
      </w:r>
      <w:r>
        <w:rPr>
          <w:i/>
          <w:spacing w:val="-68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sollicitation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d'achat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valeurs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mobilières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instruments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financiers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connexes.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même,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il ne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donne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pas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et ne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doit pas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être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traité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comme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un</w:t>
      </w:r>
      <w:r>
        <w:rPr>
          <w:i/>
          <w:spacing w:val="-1"/>
          <w:w w:val="95"/>
          <w:sz w:val="20"/>
        </w:rPr>
        <w:t> </w:t>
      </w:r>
      <w:r>
        <w:rPr>
          <w:i/>
          <w:w w:val="95"/>
          <w:sz w:val="20"/>
        </w:rPr>
        <w:t>conseil d'investissement.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6"/>
        </w:rPr>
      </w:pPr>
    </w:p>
    <w:p>
      <w:pPr>
        <w:pStyle w:val="Heading1"/>
        <w:ind w:right="1971"/>
      </w:pPr>
      <w:r>
        <w:rPr>
          <w:color w:val="6460A9"/>
        </w:rPr>
        <w:t>CONTACTS 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spacing w:before="48"/>
        <w:ind w:left="3090" w:right="3053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4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3"/>
          <w:w w:val="80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spacing w:before="3"/>
        <w:ind w:left="2005" w:right="1969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40"/>
        <w:ind w:left="2005" w:right="1970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8"/>
        <w:ind w:left="2005" w:right="1971" w:firstLine="0"/>
        <w:jc w:val="center"/>
        <w:rPr>
          <w:sz w:val="20"/>
        </w:rPr>
      </w:pPr>
      <w:hyperlink r:id="rId7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1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92"/>
        <w:ind w:left="2005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spacing w:before="8"/>
        <w:ind w:left="2003" w:right="1971" w:firstLine="0"/>
        <w:jc w:val="center"/>
        <w:rPr>
          <w:b/>
          <w:sz w:val="20"/>
        </w:rPr>
      </w:pPr>
      <w:r>
        <w:rPr>
          <w:b/>
          <w:w w:val="85"/>
          <w:sz w:val="20"/>
        </w:rPr>
        <w:t>Groupe</w:t>
      </w:r>
      <w:r>
        <w:rPr>
          <w:b/>
          <w:spacing w:val="15"/>
          <w:w w:val="85"/>
          <w:sz w:val="20"/>
        </w:rPr>
        <w:t> </w:t>
      </w:r>
      <w:r>
        <w:rPr>
          <w:b/>
          <w:w w:val="85"/>
          <w:sz w:val="20"/>
        </w:rPr>
        <w:t>Casino</w:t>
      </w:r>
      <w:r>
        <w:rPr>
          <w:b/>
          <w:spacing w:val="19"/>
          <w:w w:val="85"/>
          <w:sz w:val="20"/>
        </w:rPr>
        <w:t> </w:t>
      </w:r>
      <w:r>
        <w:rPr>
          <w:b/>
          <w:w w:val="85"/>
          <w:sz w:val="20"/>
        </w:rPr>
        <w:t>–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Direction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Communication</w:t>
      </w:r>
    </w:p>
    <w:p>
      <w:pPr>
        <w:spacing w:before="1"/>
        <w:ind w:left="2005" w:right="1970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2"/>
        <w:ind w:left="2005" w:right="1969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2"/>
        <w:ind w:left="2005" w:right="1971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9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1"/>
        <w:rPr>
          <w:sz w:val="12"/>
        </w:rPr>
      </w:pPr>
    </w:p>
    <w:p>
      <w:pPr>
        <w:spacing w:before="100"/>
        <w:ind w:left="2005" w:right="1970" w:firstLine="0"/>
        <w:jc w:val="center"/>
        <w:rPr>
          <w:b/>
          <w:sz w:val="20"/>
        </w:rPr>
      </w:pPr>
      <w:r>
        <w:rPr>
          <w:b/>
          <w:w w:val="90"/>
          <w:sz w:val="20"/>
        </w:rPr>
        <w:t>Agence</w:t>
      </w:r>
      <w:r>
        <w:rPr>
          <w:b/>
          <w:spacing w:val="-8"/>
          <w:w w:val="90"/>
          <w:sz w:val="20"/>
        </w:rPr>
        <w:t> </w:t>
      </w:r>
      <w:r>
        <w:rPr>
          <w:b/>
          <w:w w:val="90"/>
          <w:sz w:val="20"/>
        </w:rPr>
        <w:t>IMAGE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7</w:t>
      </w:r>
    </w:p>
    <w:p>
      <w:pPr>
        <w:spacing w:before="4"/>
        <w:ind w:left="2005" w:right="1970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2005" w:right="1970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100"/>
        <w:ind w:left="524" w:right="0" w:firstLine="0"/>
        <w:jc w:val="left"/>
        <w:rPr>
          <w:b/>
          <w:sz w:val="20"/>
        </w:rPr>
      </w:pPr>
      <w:r>
        <w:rPr>
          <w:w w:val="90"/>
          <w:sz w:val="20"/>
        </w:rPr>
        <w:t>Mercredi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01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février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2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6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580" w:bottom="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03" w:right="1957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2550" w:right="2512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2023-12-07T10:12:56Z</dcterms:created>
  <dcterms:modified xsi:type="dcterms:W3CDTF">2023-12-07T10:12:56Z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2023-12-07T00:00:00Z</vt:filetime>
  </property>
</Properties>
</file>