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9"/>
        </w:rPr>
      </w:pPr>
      <w:r>
        <w:rPr/>
        <w:pict>
          <v:group style="position:absolute;margin-left:1.4499pt;margin-top:16.924824pt;width:593.9pt;height:825pt;mso-position-horizontal-relative:page;mso-position-vertical-relative:page;z-index:-15769600" coordorigin="29,338" coordsize="11878,16500">
            <v:shape style="position:absolute;left:29;top:338;width:11878;height:16500" type="#_x0000_t75" stroked="false">
              <v:imagedata r:id="rId5" o:title=""/>
            </v:shape>
            <v:rect style="position:absolute;left:4599;top:11961;width:2706;height:12" filled="true" fillcolor="#000000" stroked="false">
              <v:fill type="solid"/>
            </v:rect>
            <v:rect style="position:absolute;left:7107;top:14512;width:1839;height:12" filled="true" fillcolor="#0000ff" stroked="false">
              <v:fill type="solid"/>
            </v:rect>
            <v:rect style="position:absolute;left:1132;top:15758;width:2881;height:10" filled="true" fillcolor="#000000" stroked="false">
              <v:fill type="solid"/>
            </v:rect>
            <v:rect style="position:absolute;left:780;top:1669;width:10365;height:7056" filled="false" stroked="true" strokeweight="2pt" strokecolor="#6460a9">
              <v:stroke dashstyle="solid"/>
            </v:rect>
            <w10:wrap type="none"/>
          </v:group>
        </w:pict>
      </w:r>
    </w:p>
    <w:p>
      <w:pPr>
        <w:pStyle w:val="Title"/>
      </w:pPr>
      <w:r>
        <w:rPr>
          <w:color w:val="6460A9"/>
        </w:rPr>
        <w:t>Prix de cession d’une partie de la participation de Casino dans</w:t>
      </w:r>
      <w:r>
        <w:rPr>
          <w:color w:val="6460A9"/>
          <w:spacing w:val="-87"/>
        </w:rPr>
        <w:t> </w:t>
      </w:r>
      <w:r>
        <w:rPr>
          <w:color w:val="6460A9"/>
        </w:rPr>
        <w:t>Assaí</w:t>
      </w:r>
    </w:p>
    <w:p>
      <w:pPr>
        <w:pStyle w:val="BodyText"/>
        <w:spacing w:before="6"/>
        <w:rPr>
          <w:rFonts w:ascii="Arial"/>
          <w:b/>
          <w:sz w:val="34"/>
        </w:rPr>
      </w:pPr>
    </w:p>
    <w:p>
      <w:pPr>
        <w:pStyle w:val="BodyText"/>
        <w:ind w:left="112"/>
        <w:jc w:val="both"/>
      </w:pPr>
      <w:r>
        <w:rPr>
          <w:w w:val="85"/>
        </w:rPr>
        <w:t>Paris,</w:t>
      </w:r>
      <w:r>
        <w:rPr>
          <w:spacing w:val="9"/>
          <w:w w:val="85"/>
        </w:rPr>
        <w:t> </w:t>
      </w:r>
      <w:r>
        <w:rPr>
          <w:w w:val="85"/>
        </w:rPr>
        <w:t>le</w:t>
      </w:r>
      <w:r>
        <w:rPr>
          <w:spacing w:val="13"/>
          <w:w w:val="85"/>
        </w:rPr>
        <w:t> </w:t>
      </w:r>
      <w:r>
        <w:rPr>
          <w:w w:val="85"/>
        </w:rPr>
        <w:t>17</w:t>
      </w:r>
      <w:r>
        <w:rPr>
          <w:spacing w:val="11"/>
          <w:w w:val="85"/>
        </w:rPr>
        <w:t> </w:t>
      </w:r>
      <w:r>
        <w:rPr>
          <w:w w:val="85"/>
        </w:rPr>
        <w:t>mars</w:t>
      </w:r>
      <w:r>
        <w:rPr>
          <w:spacing w:val="12"/>
          <w:w w:val="85"/>
        </w:rPr>
        <w:t> </w:t>
      </w:r>
      <w:r>
        <w:rPr>
          <w:w w:val="85"/>
        </w:rPr>
        <w:t>2023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278" w:lineRule="auto"/>
        <w:ind w:left="112" w:right="110"/>
        <w:jc w:val="both"/>
      </w:pPr>
      <w:r>
        <w:rPr/>
        <w:t>Groupe Casino annonce ce jour avoir finalisé le processus de book building en vue du</w:t>
      </w:r>
      <w:r>
        <w:rPr>
          <w:spacing w:val="1"/>
        </w:rPr>
        <w:t> </w:t>
      </w:r>
      <w:r>
        <w:rPr>
          <w:w w:val="95"/>
        </w:rPr>
        <w:t>placement</w:t>
      </w:r>
      <w:r>
        <w:rPr>
          <w:spacing w:val="-11"/>
          <w:w w:val="95"/>
        </w:rPr>
        <w:t> </w:t>
      </w:r>
      <w:r>
        <w:rPr>
          <w:w w:val="95"/>
        </w:rPr>
        <w:t>secondaire</w:t>
      </w:r>
      <w:r>
        <w:rPr>
          <w:spacing w:val="-12"/>
          <w:w w:val="95"/>
        </w:rPr>
        <w:t> </w:t>
      </w:r>
      <w:r>
        <w:rPr>
          <w:w w:val="95"/>
        </w:rPr>
        <w:t>d’actions</w:t>
      </w:r>
      <w:r>
        <w:rPr>
          <w:spacing w:val="-9"/>
          <w:w w:val="95"/>
        </w:rPr>
        <w:t> </w:t>
      </w:r>
      <w:r>
        <w:rPr>
          <w:w w:val="95"/>
        </w:rPr>
        <w:t>Assaí</w:t>
      </w:r>
      <w:r>
        <w:rPr>
          <w:spacing w:val="-8"/>
          <w:w w:val="95"/>
        </w:rPr>
        <w:t> </w:t>
      </w:r>
      <w:r>
        <w:rPr>
          <w:w w:val="95"/>
        </w:rPr>
        <w:t>annoncé</w:t>
      </w:r>
      <w:r>
        <w:rPr>
          <w:spacing w:val="-9"/>
          <w:w w:val="95"/>
        </w:rPr>
        <w:t> </w:t>
      </w:r>
      <w:r>
        <w:rPr>
          <w:w w:val="95"/>
        </w:rPr>
        <w:t>le</w:t>
      </w:r>
      <w:r>
        <w:rPr>
          <w:spacing w:val="-6"/>
          <w:w w:val="95"/>
        </w:rPr>
        <w:t> </w:t>
      </w:r>
      <w:r>
        <w:rPr>
          <w:w w:val="95"/>
        </w:rPr>
        <w:t>14</w:t>
      </w:r>
      <w:r>
        <w:rPr>
          <w:spacing w:val="-10"/>
          <w:w w:val="95"/>
        </w:rPr>
        <w:t> </w:t>
      </w:r>
      <w:r>
        <w:rPr>
          <w:w w:val="95"/>
        </w:rPr>
        <w:t>mars</w:t>
      </w:r>
      <w:r>
        <w:rPr>
          <w:spacing w:val="-9"/>
          <w:w w:val="95"/>
        </w:rPr>
        <w:t> </w:t>
      </w:r>
      <w:r>
        <w:rPr>
          <w:w w:val="95"/>
        </w:rPr>
        <w:t>2023.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78" w:lineRule="auto" w:before="1"/>
        <w:ind w:left="112" w:right="109"/>
        <w:jc w:val="both"/>
      </w:pPr>
      <w:r>
        <w:rPr>
          <w:spacing w:val="-1"/>
        </w:rPr>
        <w:t>Dans</w:t>
      </w:r>
      <w:r>
        <w:rPr>
          <w:spacing w:val="-18"/>
        </w:rPr>
        <w:t> </w:t>
      </w:r>
      <w:r>
        <w:rPr>
          <w:spacing w:val="-1"/>
        </w:rPr>
        <w:t>le</w:t>
      </w:r>
      <w:r>
        <w:rPr>
          <w:spacing w:val="-17"/>
        </w:rPr>
        <w:t> </w:t>
      </w:r>
      <w:r>
        <w:rPr>
          <w:spacing w:val="-1"/>
        </w:rPr>
        <w:t>cadre</w:t>
      </w:r>
      <w:r>
        <w:rPr>
          <w:spacing w:val="-16"/>
        </w:rPr>
        <w:t> </w:t>
      </w:r>
      <w:r>
        <w:rPr>
          <w:spacing w:val="-1"/>
        </w:rPr>
        <w:t>du</w:t>
      </w:r>
      <w:r>
        <w:rPr>
          <w:spacing w:val="-17"/>
        </w:rPr>
        <w:t> </w:t>
      </w:r>
      <w:r>
        <w:rPr>
          <w:spacing w:val="-1"/>
        </w:rPr>
        <w:t>placement,</w:t>
      </w:r>
      <w:r>
        <w:rPr>
          <w:spacing w:val="-18"/>
        </w:rPr>
        <w:t> </w:t>
      </w:r>
      <w:r>
        <w:rPr>
          <w:spacing w:val="-1"/>
        </w:rPr>
        <w:t>254</w:t>
      </w:r>
      <w:r>
        <w:rPr>
          <w:spacing w:val="-17"/>
        </w:rPr>
        <w:t> </w:t>
      </w:r>
      <w:r>
        <w:rPr>
          <w:spacing w:val="-1"/>
        </w:rPr>
        <w:t>millions</w:t>
      </w:r>
      <w:r>
        <w:rPr>
          <w:spacing w:val="-18"/>
        </w:rPr>
        <w:t> </w:t>
      </w:r>
      <w:r>
        <w:rPr>
          <w:spacing w:val="-1"/>
        </w:rPr>
        <w:t>actions</w:t>
      </w:r>
      <w:r>
        <w:rPr>
          <w:spacing w:val="-16"/>
        </w:rPr>
        <w:t> </w:t>
      </w:r>
      <w:r>
        <w:rPr>
          <w:spacing w:val="-1"/>
        </w:rPr>
        <w:t>Assaí</w:t>
      </w:r>
      <w:r>
        <w:rPr>
          <w:spacing w:val="-16"/>
        </w:rPr>
        <w:t> </w:t>
      </w:r>
      <w:r>
        <w:rPr/>
        <w:t>détenues</w:t>
      </w:r>
      <w:r>
        <w:rPr>
          <w:spacing w:val="-18"/>
        </w:rPr>
        <w:t> </w:t>
      </w:r>
      <w:r>
        <w:rPr/>
        <w:t>par</w:t>
      </w:r>
      <w:r>
        <w:rPr>
          <w:spacing w:val="-17"/>
        </w:rPr>
        <w:t> </w:t>
      </w:r>
      <w:r>
        <w:rPr/>
        <w:t>le</w:t>
      </w:r>
      <w:r>
        <w:rPr>
          <w:spacing w:val="-17"/>
        </w:rPr>
        <w:t> </w:t>
      </w:r>
      <w:r>
        <w:rPr/>
        <w:t>Groupe</w:t>
      </w:r>
      <w:r>
        <w:rPr>
          <w:spacing w:val="-18"/>
        </w:rPr>
        <w:t> </w:t>
      </w:r>
      <w:r>
        <w:rPr/>
        <w:t>Casino</w:t>
      </w:r>
      <w:r>
        <w:rPr>
          <w:spacing w:val="-13"/>
        </w:rPr>
        <w:t> </w:t>
      </w:r>
      <w:r>
        <w:rPr/>
        <w:t>(y</w:t>
      </w:r>
      <w:r>
        <w:rPr>
          <w:spacing w:val="-75"/>
        </w:rPr>
        <w:t> </w:t>
      </w:r>
      <w:r>
        <w:rPr/>
        <w:t>compris 2,3 million actions sous forme d’ADS, chaque ADS étant composé de 5 actions</w:t>
      </w:r>
      <w:r>
        <w:rPr>
          <w:spacing w:val="-76"/>
        </w:rPr>
        <w:t> </w:t>
      </w:r>
      <w:r>
        <w:rPr>
          <w:w w:val="95"/>
        </w:rPr>
        <w:t>Assaí), représentant 18,8% du capital d’Assaí, ont été allouées à un prix de BRL 16,00 par</w:t>
      </w:r>
      <w:r>
        <w:rPr>
          <w:spacing w:val="1"/>
          <w:w w:val="95"/>
        </w:rPr>
        <w:t> </w:t>
      </w:r>
      <w:r>
        <w:rPr>
          <w:w w:val="90"/>
        </w:rPr>
        <w:t>action (USD 15,13 par ADS), soit un montant total du placement de BRL 4 064,0 millions (EUR</w:t>
      </w:r>
      <w:r>
        <w:rPr>
          <w:spacing w:val="1"/>
          <w:w w:val="90"/>
        </w:rPr>
        <w:t> </w:t>
      </w:r>
      <w:r>
        <w:rPr/>
        <w:t>723,2</w:t>
      </w:r>
      <w:r>
        <w:rPr>
          <w:spacing w:val="-19"/>
        </w:rPr>
        <w:t> </w:t>
      </w:r>
      <w:r>
        <w:rPr/>
        <w:t>millions</w:t>
      </w:r>
      <w:r>
        <w:rPr>
          <w:position w:val="6"/>
          <w:sz w:val="14"/>
        </w:rPr>
        <w:t>1</w:t>
      </w:r>
      <w:r>
        <w:rPr/>
        <w:t>).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2"/>
        <w:jc w:val="both"/>
      </w:pPr>
      <w:r>
        <w:rPr>
          <w:w w:val="90"/>
        </w:rPr>
        <w:t>Le</w:t>
      </w:r>
      <w:r>
        <w:rPr>
          <w:spacing w:val="11"/>
          <w:w w:val="90"/>
        </w:rPr>
        <w:t> </w:t>
      </w:r>
      <w:r>
        <w:rPr>
          <w:w w:val="90"/>
        </w:rPr>
        <w:t>réglement-livraison</w:t>
      </w:r>
      <w:r>
        <w:rPr>
          <w:spacing w:val="7"/>
          <w:w w:val="90"/>
        </w:rPr>
        <w:t> </w:t>
      </w:r>
      <w:r>
        <w:rPr>
          <w:w w:val="90"/>
        </w:rPr>
        <w:t>des</w:t>
      </w:r>
      <w:r>
        <w:rPr>
          <w:spacing w:val="12"/>
          <w:w w:val="90"/>
        </w:rPr>
        <w:t> </w:t>
      </w:r>
      <w:r>
        <w:rPr>
          <w:w w:val="90"/>
        </w:rPr>
        <w:t>titres</w:t>
      </w:r>
      <w:r>
        <w:rPr>
          <w:spacing w:val="8"/>
          <w:w w:val="90"/>
        </w:rPr>
        <w:t> </w:t>
      </w:r>
      <w:r>
        <w:rPr>
          <w:w w:val="90"/>
        </w:rPr>
        <w:t>cédés</w:t>
      </w:r>
      <w:r>
        <w:rPr>
          <w:spacing w:val="15"/>
          <w:w w:val="90"/>
        </w:rPr>
        <w:t> </w:t>
      </w:r>
      <w:r>
        <w:rPr>
          <w:w w:val="90"/>
        </w:rPr>
        <w:t>est</w:t>
      </w:r>
      <w:r>
        <w:rPr>
          <w:spacing w:val="10"/>
          <w:w w:val="90"/>
        </w:rPr>
        <w:t> </w:t>
      </w:r>
      <w:r>
        <w:rPr>
          <w:w w:val="90"/>
        </w:rPr>
        <w:t>prévu</w:t>
      </w:r>
      <w:r>
        <w:rPr>
          <w:spacing w:val="8"/>
          <w:w w:val="90"/>
        </w:rPr>
        <w:t> </w:t>
      </w:r>
      <w:r>
        <w:rPr>
          <w:w w:val="90"/>
        </w:rPr>
        <w:t>le</w:t>
      </w:r>
      <w:r>
        <w:rPr>
          <w:spacing w:val="12"/>
          <w:w w:val="90"/>
        </w:rPr>
        <w:t> </w:t>
      </w:r>
      <w:r>
        <w:rPr>
          <w:w w:val="90"/>
        </w:rPr>
        <w:t>21</w:t>
      </w:r>
      <w:r>
        <w:rPr>
          <w:spacing w:val="11"/>
          <w:w w:val="90"/>
        </w:rPr>
        <w:t> </w:t>
      </w:r>
      <w:r>
        <w:rPr>
          <w:w w:val="90"/>
        </w:rPr>
        <w:t>mars</w:t>
      </w:r>
      <w:r>
        <w:rPr>
          <w:spacing w:val="12"/>
          <w:w w:val="90"/>
        </w:rPr>
        <w:t> </w:t>
      </w:r>
      <w:r>
        <w:rPr>
          <w:w w:val="90"/>
        </w:rPr>
        <w:t>2023.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8" w:lineRule="auto" w:before="1"/>
        <w:ind w:left="112" w:right="108"/>
        <w:jc w:val="both"/>
      </w:pPr>
      <w:r>
        <w:rPr/>
        <w:t>A l’issue de la transaction, le Groupe Casino détiendra une participation de 11,7 % du</w:t>
      </w:r>
      <w:r>
        <w:rPr>
          <w:spacing w:val="1"/>
        </w:rPr>
        <w:t> </w:t>
      </w:r>
      <w:r>
        <w:rPr>
          <w:spacing w:val="-1"/>
        </w:rPr>
        <w:t>capital</w:t>
      </w:r>
      <w:r>
        <w:rPr>
          <w:spacing w:val="-16"/>
        </w:rPr>
        <w:t> </w:t>
      </w:r>
      <w:r>
        <w:rPr>
          <w:spacing w:val="-1"/>
        </w:rPr>
        <w:t>Assaí</w:t>
      </w:r>
      <w:r>
        <w:rPr>
          <w:spacing w:val="-16"/>
        </w:rPr>
        <w:t> </w:t>
      </w:r>
      <w:r>
        <w:rPr>
          <w:spacing w:val="-1"/>
        </w:rPr>
        <w:t>et</w:t>
      </w:r>
      <w:r>
        <w:rPr>
          <w:spacing w:val="-18"/>
        </w:rPr>
        <w:t> </w:t>
      </w:r>
      <w:r>
        <w:rPr>
          <w:spacing w:val="-1"/>
        </w:rPr>
        <w:t>donc</w:t>
      </w:r>
      <w:r>
        <w:rPr>
          <w:spacing w:val="-17"/>
        </w:rPr>
        <w:t> </w:t>
      </w:r>
      <w:r>
        <w:rPr>
          <w:spacing w:val="-1"/>
        </w:rPr>
        <w:t>ne</w:t>
      </w:r>
      <w:r>
        <w:rPr>
          <w:spacing w:val="-17"/>
        </w:rPr>
        <w:t> </w:t>
      </w:r>
      <w:r>
        <w:rPr>
          <w:spacing w:val="-1"/>
        </w:rPr>
        <w:t>controlera</w:t>
      </w:r>
      <w:r>
        <w:rPr>
          <w:spacing w:val="-17"/>
        </w:rPr>
        <w:t> </w:t>
      </w:r>
      <w:r>
        <w:rPr/>
        <w:t>plus</w:t>
      </w:r>
      <w:r>
        <w:rPr>
          <w:spacing w:val="-20"/>
        </w:rPr>
        <w:t> </w:t>
      </w:r>
      <w:r>
        <w:rPr/>
        <w:t>la</w:t>
      </w:r>
      <w:r>
        <w:rPr>
          <w:spacing w:val="-17"/>
        </w:rPr>
        <w:t> </w:t>
      </w:r>
      <w:r>
        <w:rPr/>
        <w:t>société.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78" w:lineRule="auto"/>
        <w:ind w:left="112" w:right="109"/>
        <w:jc w:val="both"/>
      </w:pPr>
      <w:r>
        <w:rPr>
          <w:w w:val="95"/>
        </w:rPr>
        <w:t>Pour plus de détails, il convient de se référer au communiqué de presse diffusé par Sendas</w:t>
      </w:r>
      <w:r>
        <w:rPr>
          <w:spacing w:val="-71"/>
          <w:w w:val="95"/>
        </w:rPr>
        <w:t> </w:t>
      </w:r>
      <w:r>
        <w:rPr>
          <w:w w:val="90"/>
        </w:rPr>
        <w:t>Distribuidora</w:t>
      </w:r>
      <w:r>
        <w:rPr>
          <w:spacing w:val="-8"/>
          <w:w w:val="90"/>
        </w:rPr>
        <w:t> </w:t>
      </w:r>
      <w:r>
        <w:rPr>
          <w:w w:val="90"/>
        </w:rPr>
        <w:t>S.A.</w:t>
      </w:r>
      <w:r>
        <w:rPr>
          <w:spacing w:val="-6"/>
          <w:w w:val="90"/>
        </w:rPr>
        <w:t> </w:t>
      </w:r>
      <w:r>
        <w:rPr>
          <w:w w:val="90"/>
        </w:rPr>
        <w:t>en</w:t>
      </w:r>
      <w:r>
        <w:rPr>
          <w:spacing w:val="-9"/>
          <w:w w:val="90"/>
        </w:rPr>
        <w:t> </w:t>
      </w:r>
      <w:r>
        <w:rPr>
          <w:w w:val="90"/>
        </w:rPr>
        <w:t>date</w:t>
      </w:r>
      <w:r>
        <w:rPr>
          <w:spacing w:val="-9"/>
          <w:w w:val="90"/>
        </w:rPr>
        <w:t> </w:t>
      </w:r>
      <w:r>
        <w:rPr>
          <w:w w:val="90"/>
        </w:rPr>
        <w:t>du</w:t>
      </w:r>
      <w:r>
        <w:rPr>
          <w:spacing w:val="-8"/>
          <w:w w:val="90"/>
        </w:rPr>
        <w:t> </w:t>
      </w:r>
      <w:r>
        <w:rPr>
          <w:w w:val="90"/>
        </w:rPr>
        <w:t>16</w:t>
      </w:r>
      <w:r>
        <w:rPr>
          <w:spacing w:val="-9"/>
          <w:w w:val="90"/>
        </w:rPr>
        <w:t> </w:t>
      </w:r>
      <w:r>
        <w:rPr>
          <w:w w:val="90"/>
        </w:rPr>
        <w:t>mars</w:t>
      </w:r>
      <w:r>
        <w:rPr>
          <w:spacing w:val="-7"/>
          <w:w w:val="90"/>
        </w:rPr>
        <w:t> </w:t>
      </w:r>
      <w:r>
        <w:rPr>
          <w:w w:val="90"/>
        </w:rPr>
        <w:t>2023.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spacing w:line="242" w:lineRule="auto" w:before="1"/>
        <w:ind w:left="112" w:right="112" w:firstLine="0"/>
        <w:jc w:val="both"/>
        <w:rPr>
          <w:i/>
          <w:sz w:val="20"/>
        </w:rPr>
      </w:pPr>
      <w:r>
        <w:rPr>
          <w:i/>
          <w:sz w:val="20"/>
        </w:rPr>
        <w:t>Ce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communiqué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est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diffusé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fins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informatives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exclusivement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constitue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ni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une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offre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8"/>
          <w:sz w:val="20"/>
        </w:rPr>
        <w:t> </w:t>
      </w:r>
      <w:r>
        <w:rPr>
          <w:i/>
          <w:w w:val="95"/>
          <w:sz w:val="20"/>
        </w:rPr>
        <w:t>vente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ni</w:t>
      </w:r>
      <w:r>
        <w:rPr>
          <w:i/>
          <w:spacing w:val="-3"/>
          <w:w w:val="95"/>
          <w:sz w:val="20"/>
        </w:rPr>
        <w:t> </w:t>
      </w:r>
      <w:r>
        <w:rPr>
          <w:i/>
          <w:w w:val="95"/>
          <w:sz w:val="20"/>
        </w:rPr>
        <w:t>la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sollicitation</w:t>
      </w:r>
      <w:r>
        <w:rPr>
          <w:i/>
          <w:spacing w:val="-7"/>
          <w:w w:val="95"/>
          <w:sz w:val="20"/>
        </w:rPr>
        <w:t> </w:t>
      </w:r>
      <w:r>
        <w:rPr>
          <w:i/>
          <w:w w:val="95"/>
          <w:sz w:val="20"/>
        </w:rPr>
        <w:t>d’une</w:t>
      </w:r>
      <w:r>
        <w:rPr>
          <w:i/>
          <w:spacing w:val="-7"/>
          <w:w w:val="95"/>
          <w:sz w:val="20"/>
        </w:rPr>
        <w:t> </w:t>
      </w:r>
      <w:r>
        <w:rPr>
          <w:i/>
          <w:w w:val="95"/>
          <w:sz w:val="20"/>
        </w:rPr>
        <w:t>offre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d’achat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relativement aux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instruments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financiers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qui</w:t>
      </w:r>
      <w:r>
        <w:rPr>
          <w:i/>
          <w:spacing w:val="-3"/>
          <w:w w:val="95"/>
          <w:sz w:val="20"/>
        </w:rPr>
        <w:t> </w:t>
      </w:r>
      <w:r>
        <w:rPr>
          <w:i/>
          <w:w w:val="95"/>
          <w:sz w:val="20"/>
        </w:rPr>
        <w:t>y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sont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décrits,</w:t>
      </w:r>
      <w:r>
        <w:rPr>
          <w:i/>
          <w:spacing w:val="-64"/>
          <w:w w:val="95"/>
          <w:sz w:val="20"/>
        </w:rPr>
        <w:t> </w:t>
      </w:r>
      <w:r>
        <w:rPr>
          <w:i/>
          <w:sz w:val="20"/>
        </w:rPr>
        <w:t>et il n’y aura aucune vente desdits instruments financiers dans une quelconque juridiction dans</w:t>
      </w:r>
      <w:r>
        <w:rPr>
          <w:i/>
          <w:spacing w:val="-68"/>
          <w:sz w:val="20"/>
        </w:rPr>
        <w:t> </w:t>
      </w:r>
      <w:r>
        <w:rPr>
          <w:i/>
          <w:w w:val="95"/>
          <w:sz w:val="20"/>
        </w:rPr>
        <w:t>laquelle</w:t>
      </w:r>
      <w:r>
        <w:rPr>
          <w:i/>
          <w:spacing w:val="-12"/>
          <w:w w:val="95"/>
          <w:sz w:val="20"/>
        </w:rPr>
        <w:t> </w:t>
      </w:r>
      <w:r>
        <w:rPr>
          <w:i/>
          <w:w w:val="95"/>
          <w:sz w:val="20"/>
        </w:rPr>
        <w:t>une</w:t>
      </w:r>
      <w:r>
        <w:rPr>
          <w:i/>
          <w:spacing w:val="-12"/>
          <w:w w:val="95"/>
          <w:sz w:val="20"/>
        </w:rPr>
        <w:t> </w:t>
      </w:r>
      <w:r>
        <w:rPr>
          <w:i/>
          <w:w w:val="95"/>
          <w:sz w:val="20"/>
        </w:rPr>
        <w:t>telle</w:t>
      </w:r>
      <w:r>
        <w:rPr>
          <w:i/>
          <w:spacing w:val="-12"/>
          <w:w w:val="95"/>
          <w:sz w:val="20"/>
        </w:rPr>
        <w:t> </w:t>
      </w:r>
      <w:r>
        <w:rPr>
          <w:i/>
          <w:w w:val="95"/>
          <w:sz w:val="20"/>
        </w:rPr>
        <w:t>offre,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solicitation,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ou</w:t>
      </w:r>
      <w:r>
        <w:rPr>
          <w:i/>
          <w:spacing w:val="-13"/>
          <w:w w:val="95"/>
          <w:sz w:val="20"/>
        </w:rPr>
        <w:t> </w:t>
      </w:r>
      <w:r>
        <w:rPr>
          <w:i/>
          <w:w w:val="95"/>
          <w:sz w:val="20"/>
        </w:rPr>
        <w:t>vente</w:t>
      </w:r>
      <w:r>
        <w:rPr>
          <w:i/>
          <w:spacing w:val="-12"/>
          <w:w w:val="95"/>
          <w:sz w:val="20"/>
        </w:rPr>
        <w:t> </w:t>
      </w:r>
      <w:r>
        <w:rPr>
          <w:i/>
          <w:w w:val="95"/>
          <w:sz w:val="20"/>
        </w:rPr>
        <w:t>serait</w:t>
      </w:r>
      <w:r>
        <w:rPr>
          <w:i/>
          <w:spacing w:val="-12"/>
          <w:w w:val="95"/>
          <w:sz w:val="20"/>
        </w:rPr>
        <w:t> </w:t>
      </w:r>
      <w:r>
        <w:rPr>
          <w:i/>
          <w:w w:val="95"/>
          <w:sz w:val="20"/>
        </w:rPr>
        <w:t>illégale.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1"/>
        <w:ind w:right="1629"/>
      </w:pPr>
      <w:r>
        <w:rPr>
          <w:color w:val="6460A9"/>
        </w:rPr>
        <w:t>CONTACTS 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5"/>
        </w:rPr>
        <w:t> </w:t>
      </w:r>
      <w:r>
        <w:rPr>
          <w:color w:val="6460A9"/>
        </w:rPr>
        <w:t>INVESTISSEURS</w:t>
      </w:r>
    </w:p>
    <w:p>
      <w:pPr>
        <w:spacing w:line="244" w:lineRule="auto" w:before="45"/>
        <w:ind w:left="2710" w:right="2713" w:firstLine="0"/>
        <w:jc w:val="center"/>
        <w:rPr>
          <w:sz w:val="20"/>
        </w:rPr>
      </w:pPr>
      <w:r>
        <w:rPr>
          <w:b/>
          <w:w w:val="80"/>
          <w:sz w:val="20"/>
        </w:rPr>
        <w:t>Christopher</w:t>
      </w:r>
      <w:r>
        <w:rPr>
          <w:b/>
          <w:spacing w:val="13"/>
          <w:w w:val="80"/>
          <w:sz w:val="20"/>
        </w:rPr>
        <w:t> </w:t>
      </w:r>
      <w:r>
        <w:rPr>
          <w:b/>
          <w:w w:val="80"/>
          <w:sz w:val="20"/>
        </w:rPr>
        <w:t>WELTON</w:t>
      </w:r>
      <w:r>
        <w:rPr>
          <w:b/>
          <w:spacing w:val="13"/>
          <w:w w:val="80"/>
          <w:sz w:val="20"/>
        </w:rPr>
        <w:t> </w:t>
      </w:r>
      <w:r>
        <w:rPr>
          <w:w w:val="80"/>
          <w:sz w:val="20"/>
        </w:rPr>
        <w:t>–</w:t>
      </w:r>
      <w:r>
        <w:rPr>
          <w:spacing w:val="13"/>
          <w:w w:val="80"/>
          <w:sz w:val="20"/>
        </w:rPr>
        <w:t> </w:t>
      </w:r>
      <w:r>
        <w:rPr>
          <w:w w:val="80"/>
          <w:sz w:val="20"/>
        </w:rPr>
        <w:t>Tél</w:t>
      </w:r>
      <w:r>
        <w:rPr>
          <w:spacing w:val="15"/>
          <w:w w:val="80"/>
          <w:sz w:val="20"/>
        </w:rPr>
        <w:t> </w:t>
      </w:r>
      <w:r>
        <w:rPr>
          <w:w w:val="80"/>
          <w:sz w:val="20"/>
        </w:rPr>
        <w:t>: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+33</w:t>
      </w:r>
      <w:r>
        <w:rPr>
          <w:spacing w:val="14"/>
          <w:w w:val="80"/>
          <w:sz w:val="20"/>
        </w:rPr>
        <w:t> </w:t>
      </w:r>
      <w:r>
        <w:rPr>
          <w:w w:val="80"/>
          <w:sz w:val="20"/>
        </w:rPr>
        <w:t>(0)1</w:t>
      </w:r>
      <w:r>
        <w:rPr>
          <w:spacing w:val="13"/>
          <w:w w:val="80"/>
          <w:sz w:val="20"/>
        </w:rPr>
        <w:t> </w:t>
      </w:r>
      <w:r>
        <w:rPr>
          <w:w w:val="80"/>
          <w:sz w:val="20"/>
        </w:rPr>
        <w:t>53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65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64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17</w:t>
      </w:r>
      <w:r>
        <w:rPr>
          <w:spacing w:val="-54"/>
          <w:w w:val="80"/>
          <w:sz w:val="20"/>
        </w:rPr>
        <w:t> </w:t>
      </w:r>
      <w:hyperlink r:id="rId6">
        <w:r>
          <w:rPr>
            <w:w w:val="95"/>
            <w:sz w:val="20"/>
            <w:u w:val="single"/>
          </w:rPr>
          <w:t>cwelton.exterieur@groupe-casino.fr</w:t>
        </w:r>
      </w:hyperlink>
    </w:p>
    <w:p>
      <w:pPr>
        <w:spacing w:line="240" w:lineRule="exact" w:before="0"/>
        <w:ind w:left="1626" w:right="1627" w:firstLine="0"/>
        <w:jc w:val="center"/>
        <w:rPr>
          <w:b/>
          <w:sz w:val="20"/>
        </w:rPr>
      </w:pPr>
      <w:r>
        <w:rPr>
          <w:b/>
          <w:sz w:val="20"/>
        </w:rPr>
        <w:t>ou</w:t>
      </w:r>
    </w:p>
    <w:p>
      <w:pPr>
        <w:spacing w:before="38"/>
        <w:ind w:left="1626" w:right="1628" w:firstLine="0"/>
        <w:jc w:val="center"/>
        <w:rPr>
          <w:sz w:val="20"/>
        </w:rPr>
      </w:pPr>
      <w:r>
        <w:rPr>
          <w:w w:val="85"/>
          <w:sz w:val="20"/>
        </w:rPr>
        <w:t>+33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24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spacing w:before="40"/>
        <w:ind w:left="1626" w:right="1629" w:firstLine="0"/>
        <w:jc w:val="center"/>
        <w:rPr>
          <w:sz w:val="20"/>
        </w:rPr>
      </w:pPr>
      <w:hyperlink r:id="rId7">
        <w:r>
          <w:rPr>
            <w:spacing w:val="2"/>
            <w:w w:val="53"/>
            <w:sz w:val="20"/>
          </w:rPr>
          <w:t>I</w:t>
        </w:r>
        <w:r>
          <w:rPr>
            <w:spacing w:val="-1"/>
            <w:w w:val="86"/>
            <w:sz w:val="20"/>
          </w:rPr>
          <w:t>R</w:t>
        </w:r>
        <w:r>
          <w:rPr>
            <w:spacing w:val="1"/>
            <w:w w:val="78"/>
            <w:sz w:val="20"/>
          </w:rPr>
          <w:t>_</w:t>
        </w:r>
        <w:r>
          <w:rPr>
            <w:spacing w:val="-2"/>
            <w:w w:val="115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-1"/>
            <w:w w:val="107"/>
            <w:sz w:val="20"/>
          </w:rPr>
          <w:t>o</w:t>
        </w:r>
        <w:r>
          <w:rPr>
            <w:spacing w:val="-1"/>
            <w:w w:val="93"/>
            <w:sz w:val="20"/>
          </w:rPr>
          <w:t>@gr</w:t>
        </w:r>
        <w:r>
          <w:rPr>
            <w:spacing w:val="1"/>
            <w:w w:val="93"/>
            <w:sz w:val="20"/>
          </w:rPr>
          <w:t>o</w:t>
        </w:r>
        <w:r>
          <w:rPr>
            <w:spacing w:val="-2"/>
            <w:w w:val="95"/>
            <w:sz w:val="20"/>
          </w:rPr>
          <w:t>u</w:t>
        </w:r>
        <w:r>
          <w:rPr>
            <w:w w:val="109"/>
            <w:sz w:val="20"/>
          </w:rPr>
          <w:t>p</w:t>
        </w:r>
        <w:r>
          <w:rPr>
            <w:spacing w:val="1"/>
            <w:w w:val="108"/>
            <w:sz w:val="20"/>
          </w:rPr>
          <w:t>e</w:t>
        </w:r>
        <w:r>
          <w:rPr>
            <w:spacing w:val="1"/>
            <w:w w:val="72"/>
            <w:sz w:val="20"/>
          </w:rPr>
          <w:t>-</w:t>
        </w:r>
        <w:r>
          <w:rPr>
            <w:w w:val="123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1"/>
            <w:w w:val="107"/>
            <w:sz w:val="20"/>
          </w:rPr>
          <w:t>o</w:t>
        </w:r>
        <w:r>
          <w:rPr>
            <w:spacing w:val="-3"/>
            <w:w w:val="75"/>
            <w:sz w:val="20"/>
          </w:rPr>
          <w:t>.</w:t>
        </w:r>
        <w:r>
          <w:rPr>
            <w:w w:val="78"/>
            <w:sz w:val="20"/>
          </w:rPr>
          <w:t>fr</w:t>
        </w:r>
      </w:hyperlink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92"/>
        <w:ind w:left="1626"/>
      </w:pPr>
      <w:r>
        <w:rPr>
          <w:color w:val="6460A9"/>
          <w:spacing w:val="-10"/>
        </w:rPr>
        <w:t>CONTACTS</w:t>
      </w:r>
      <w:r>
        <w:rPr>
          <w:color w:val="6460A9"/>
          <w:spacing w:val="-16"/>
        </w:rPr>
        <w:t> </w:t>
      </w:r>
      <w:r>
        <w:rPr>
          <w:color w:val="6460A9"/>
          <w:spacing w:val="-9"/>
        </w:rPr>
        <w:t>PRESSE</w:t>
      </w:r>
    </w:p>
    <w:p>
      <w:pPr>
        <w:spacing w:before="7"/>
        <w:ind w:left="1624" w:right="1629" w:firstLine="0"/>
        <w:jc w:val="center"/>
        <w:rPr>
          <w:b/>
          <w:sz w:val="20"/>
        </w:rPr>
      </w:pPr>
      <w:r>
        <w:rPr>
          <w:b/>
          <w:w w:val="85"/>
          <w:sz w:val="20"/>
        </w:rPr>
        <w:t>Groupe</w:t>
      </w:r>
      <w:r>
        <w:rPr>
          <w:b/>
          <w:spacing w:val="15"/>
          <w:w w:val="85"/>
          <w:sz w:val="20"/>
        </w:rPr>
        <w:t> </w:t>
      </w:r>
      <w:r>
        <w:rPr>
          <w:b/>
          <w:w w:val="85"/>
          <w:sz w:val="20"/>
        </w:rPr>
        <w:t>Casino</w:t>
      </w:r>
      <w:r>
        <w:rPr>
          <w:b/>
          <w:spacing w:val="19"/>
          <w:w w:val="85"/>
          <w:sz w:val="20"/>
        </w:rPr>
        <w:t> </w:t>
      </w:r>
      <w:r>
        <w:rPr>
          <w:b/>
          <w:w w:val="85"/>
          <w:sz w:val="20"/>
        </w:rPr>
        <w:t>–</w:t>
      </w:r>
      <w:r>
        <w:rPr>
          <w:b/>
          <w:spacing w:val="18"/>
          <w:w w:val="85"/>
          <w:sz w:val="20"/>
        </w:rPr>
        <w:t> </w:t>
      </w:r>
      <w:r>
        <w:rPr>
          <w:b/>
          <w:w w:val="85"/>
          <w:sz w:val="20"/>
        </w:rPr>
        <w:t>Direction</w:t>
      </w:r>
      <w:r>
        <w:rPr>
          <w:b/>
          <w:spacing w:val="18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17"/>
          <w:w w:val="85"/>
          <w:sz w:val="20"/>
        </w:rPr>
        <w:t> </w:t>
      </w:r>
      <w:r>
        <w:rPr>
          <w:b/>
          <w:w w:val="85"/>
          <w:sz w:val="20"/>
        </w:rPr>
        <w:t>la</w:t>
      </w:r>
      <w:r>
        <w:rPr>
          <w:b/>
          <w:spacing w:val="17"/>
          <w:w w:val="85"/>
          <w:sz w:val="20"/>
        </w:rPr>
        <w:t> </w:t>
      </w:r>
      <w:r>
        <w:rPr>
          <w:b/>
          <w:w w:val="85"/>
          <w:sz w:val="20"/>
        </w:rPr>
        <w:t>Communication</w:t>
      </w:r>
    </w:p>
    <w:p>
      <w:pPr>
        <w:spacing w:before="2"/>
        <w:ind w:left="1626" w:right="1628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13"/>
          <w:w w:val="90"/>
          <w:sz w:val="20"/>
        </w:rPr>
        <w:t> </w:t>
      </w:r>
      <w:hyperlink r:id="rId8">
        <w:r>
          <w:rPr>
            <w:w w:val="90"/>
            <w:sz w:val="20"/>
          </w:rPr>
          <w:t>sabadie@groupe-casino.fr</w:t>
        </w:r>
        <w:r>
          <w:rPr>
            <w:spacing w:val="14"/>
            <w:w w:val="90"/>
            <w:sz w:val="20"/>
          </w:rPr>
          <w:t> </w:t>
        </w:r>
      </w:hyperlink>
      <w:r>
        <w:rPr>
          <w:w w:val="90"/>
          <w:sz w:val="20"/>
        </w:rPr>
        <w:t>-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+33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26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27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37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05</w:t>
      </w:r>
    </w:p>
    <w:p>
      <w:pPr>
        <w:spacing w:before="4"/>
        <w:ind w:left="1626" w:right="1627" w:firstLine="0"/>
        <w:jc w:val="center"/>
        <w:rPr>
          <w:b/>
          <w:sz w:val="20"/>
        </w:rPr>
      </w:pPr>
      <w:r>
        <w:rPr>
          <w:b/>
          <w:sz w:val="20"/>
        </w:rPr>
        <w:t>ou</w:t>
      </w:r>
    </w:p>
    <w:p>
      <w:pPr>
        <w:spacing w:before="2"/>
        <w:ind w:left="1626" w:right="1629" w:firstLine="0"/>
        <w:jc w:val="center"/>
        <w:rPr>
          <w:sz w:val="20"/>
        </w:rPr>
      </w:pPr>
      <w:r>
        <w:rPr>
          <w:spacing w:val="-1"/>
          <w:w w:val="95"/>
          <w:sz w:val="20"/>
        </w:rPr>
        <w:t>+33(0)1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53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65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24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78</w:t>
      </w:r>
      <w:r>
        <w:rPr>
          <w:spacing w:val="-10"/>
          <w:w w:val="95"/>
          <w:sz w:val="20"/>
        </w:rPr>
        <w:t> </w:t>
      </w:r>
      <w:r>
        <w:rPr>
          <w:spacing w:val="-1"/>
          <w:w w:val="95"/>
          <w:sz w:val="20"/>
        </w:rPr>
        <w:t>-</w:t>
      </w:r>
      <w:r>
        <w:rPr>
          <w:spacing w:val="-11"/>
          <w:w w:val="95"/>
          <w:sz w:val="20"/>
        </w:rPr>
        <w:t> </w:t>
      </w:r>
      <w:hyperlink r:id="rId9">
        <w:r>
          <w:rPr>
            <w:spacing w:val="-1"/>
            <w:w w:val="95"/>
            <w:sz w:val="20"/>
            <w:u w:val="single"/>
          </w:rPr>
          <w:t>directiondelacommunication@groupe-casino.fr</w:t>
        </w:r>
      </w:hyperlink>
    </w:p>
    <w:p>
      <w:pPr>
        <w:pStyle w:val="BodyText"/>
        <w:spacing w:before="1"/>
        <w:rPr>
          <w:sz w:val="12"/>
        </w:rPr>
      </w:pPr>
    </w:p>
    <w:p>
      <w:pPr>
        <w:spacing w:before="100"/>
        <w:ind w:left="1626" w:right="1628" w:firstLine="0"/>
        <w:jc w:val="center"/>
        <w:rPr>
          <w:b/>
          <w:sz w:val="20"/>
        </w:rPr>
      </w:pPr>
      <w:r>
        <w:rPr>
          <w:b/>
          <w:w w:val="90"/>
          <w:sz w:val="20"/>
        </w:rPr>
        <w:t>Agence</w:t>
      </w:r>
      <w:r>
        <w:rPr>
          <w:b/>
          <w:spacing w:val="-8"/>
          <w:w w:val="90"/>
          <w:sz w:val="20"/>
        </w:rPr>
        <w:t> </w:t>
      </w:r>
      <w:r>
        <w:rPr>
          <w:b/>
          <w:w w:val="90"/>
          <w:sz w:val="20"/>
        </w:rPr>
        <w:t>IMAGE</w:t>
      </w:r>
      <w:r>
        <w:rPr>
          <w:b/>
          <w:spacing w:val="-4"/>
          <w:w w:val="90"/>
          <w:sz w:val="20"/>
        </w:rPr>
        <w:t> </w:t>
      </w:r>
      <w:r>
        <w:rPr>
          <w:b/>
          <w:w w:val="90"/>
          <w:sz w:val="20"/>
        </w:rPr>
        <w:t>7</w:t>
      </w:r>
    </w:p>
    <w:p>
      <w:pPr>
        <w:spacing w:before="1"/>
        <w:ind w:left="1626" w:right="1628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70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10"/>
          <w:w w:val="85"/>
          <w:sz w:val="20"/>
        </w:rPr>
        <w:t> </w:t>
      </w:r>
      <w:hyperlink r:id="rId10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before="5"/>
        <w:ind w:left="1626" w:right="1628" w:firstLine="0"/>
        <w:jc w:val="center"/>
        <w:rPr>
          <w:sz w:val="20"/>
        </w:rPr>
      </w:pPr>
      <w:r>
        <w:rPr>
          <w:spacing w:val="-1"/>
          <w:w w:val="90"/>
          <w:sz w:val="20"/>
        </w:rPr>
        <w:t>Laurent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16"/>
          <w:w w:val="90"/>
          <w:sz w:val="20"/>
        </w:rPr>
        <w:t> </w:t>
      </w:r>
      <w:hyperlink r:id="rId11">
        <w:r>
          <w:rPr>
            <w:color w:val="0000FF"/>
            <w:spacing w:val="-1"/>
            <w:w w:val="90"/>
            <w:sz w:val="20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line="412" w:lineRule="auto" w:before="0"/>
        <w:ind w:left="144" w:right="3483" w:hanging="32"/>
        <w:jc w:val="left"/>
        <w:rPr>
          <w:b/>
          <w:sz w:val="20"/>
        </w:rPr>
      </w:pPr>
      <w:r>
        <w:rPr>
          <w:color w:val="0D0D0D"/>
          <w:w w:val="95"/>
          <w:position w:val="5"/>
          <w:sz w:val="13"/>
        </w:rPr>
        <w:t>1</w:t>
      </w:r>
      <w:r>
        <w:rPr>
          <w:color w:val="0D0D0D"/>
          <w:spacing w:val="1"/>
          <w:w w:val="95"/>
          <w:position w:val="5"/>
          <w:sz w:val="13"/>
        </w:rPr>
        <w:t> </w:t>
      </w:r>
      <w:r>
        <w:rPr>
          <w:color w:val="0D0D0D"/>
          <w:w w:val="95"/>
          <w:sz w:val="20"/>
        </w:rPr>
        <w:t>En considérant un taux de change de 5,62 BRL par euro</w:t>
      </w:r>
      <w:r>
        <w:rPr>
          <w:color w:val="0D0D0D"/>
          <w:spacing w:val="-65"/>
          <w:w w:val="95"/>
          <w:sz w:val="20"/>
        </w:rPr>
        <w:t> </w:t>
      </w:r>
      <w:r>
        <w:rPr>
          <w:w w:val="90"/>
          <w:sz w:val="20"/>
        </w:rPr>
        <w:t>Vendredi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17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mars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-4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-5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1</w:t>
      </w:r>
    </w:p>
    <w:sectPr>
      <w:type w:val="continuous"/>
      <w:pgSz w:w="11910" w:h="16840"/>
      <w:pgMar w:top="158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624" w:right="1618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67" w:right="169"/>
      <w:jc w:val="center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2023-12-07T10:14:44Z</dcterms:created>
  <dcterms:modified xsi:type="dcterms:W3CDTF">2023-12-07T10:14:44Z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LastSaved">
    <vt:filetime>2023-12-07T00:00:00Z</vt:filetime>
  </property>
</Properties>
</file>