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400002pt;margin-top:65.599983pt;width:518.25pt;height:366.1pt;mso-position-horizontal-relative:page;mso-position-vertical-relative:page;z-index:-15794176" filled="false" stroked="true" strokeweight="2pt" strokecolor="#6460a9">
            <v:stroke dashstyle="solid"/>
            <w10:wrap type="none"/>
          </v:rect>
        </w:pict>
      </w:r>
    </w:p>
    <w:p>
      <w:pPr>
        <w:pStyle w:val="Title"/>
        <w:spacing w:before="89"/>
        <w:ind w:firstLine="1"/>
      </w:pPr>
      <w:r>
        <w:rPr>
          <w:color w:val="6460A9"/>
        </w:rPr>
        <w:t>Prolongation de la période de consultation de certains</w:t>
      </w:r>
      <w:r>
        <w:rPr>
          <w:color w:val="6460A9"/>
          <w:spacing w:val="1"/>
        </w:rPr>
        <w:t> </w:t>
      </w:r>
      <w:r>
        <w:rPr>
          <w:color w:val="6460A9"/>
        </w:rPr>
        <w:t>créanciers bancaires et porteurs d’emprunts obligataires</w:t>
      </w:r>
      <w:r>
        <w:rPr>
          <w:color w:val="6460A9"/>
          <w:spacing w:val="-86"/>
        </w:rPr>
        <w:t> </w:t>
      </w:r>
      <w:r>
        <w:rPr>
          <w:color w:val="6460A9"/>
        </w:rPr>
        <w:t>du</w:t>
      </w:r>
      <w:r>
        <w:rPr>
          <w:color w:val="6460A9"/>
          <w:spacing w:val="-3"/>
        </w:rPr>
        <w:t> </w:t>
      </w:r>
      <w:r>
        <w:rPr>
          <w:color w:val="6460A9"/>
        </w:rPr>
        <w:t>groupe</w:t>
      </w:r>
      <w:r>
        <w:rPr>
          <w:color w:val="6460A9"/>
          <w:spacing w:val="-2"/>
        </w:rPr>
        <w:t> </w:t>
      </w:r>
      <w:r>
        <w:rPr>
          <w:color w:val="6460A9"/>
        </w:rPr>
        <w:t>Casino</w:t>
      </w:r>
      <w:r>
        <w:rPr>
          <w:color w:val="6460A9"/>
          <w:spacing w:val="-3"/>
        </w:rPr>
        <w:t> </w:t>
      </w:r>
      <w:r>
        <w:rPr>
          <w:color w:val="6460A9"/>
        </w:rPr>
        <w:t>concernant</w:t>
      </w:r>
      <w:r>
        <w:rPr>
          <w:color w:val="6460A9"/>
          <w:spacing w:val="-2"/>
        </w:rPr>
        <w:t> </w:t>
      </w:r>
      <w:r>
        <w:rPr>
          <w:color w:val="6460A9"/>
        </w:rPr>
        <w:t>la</w:t>
      </w:r>
      <w:r>
        <w:rPr>
          <w:color w:val="6460A9"/>
          <w:spacing w:val="-2"/>
        </w:rPr>
        <w:t> </w:t>
      </w:r>
      <w:r>
        <w:rPr>
          <w:color w:val="6460A9"/>
        </w:rPr>
        <w:t>possibilité</w:t>
      </w:r>
      <w:r>
        <w:rPr>
          <w:color w:val="6460A9"/>
          <w:spacing w:val="-1"/>
        </w:rPr>
        <w:t> </w:t>
      </w:r>
      <w:r>
        <w:rPr>
          <w:color w:val="6460A9"/>
        </w:rPr>
        <w:t>d’initier</w:t>
      </w:r>
    </w:p>
    <w:p>
      <w:pPr>
        <w:pStyle w:val="Title"/>
        <w:ind w:left="1626" w:right="1627"/>
      </w:pPr>
      <w:r>
        <w:rPr>
          <w:color w:val="6460A9"/>
        </w:rPr>
        <w:t>une</w:t>
      </w:r>
      <w:r>
        <w:rPr>
          <w:color w:val="6460A9"/>
          <w:spacing w:val="-1"/>
        </w:rPr>
        <w:t> </w:t>
      </w:r>
      <w:r>
        <w:rPr>
          <w:color w:val="6460A9"/>
        </w:rPr>
        <w:t>procédure</w:t>
      </w:r>
      <w:r>
        <w:rPr>
          <w:color w:val="6460A9"/>
          <w:spacing w:val="-1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conciliation</w:t>
      </w: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spacing w:before="0"/>
        <w:ind w:left="112" w:right="0" w:firstLine="0"/>
        <w:jc w:val="both"/>
        <w:rPr>
          <w:sz w:val="22"/>
        </w:rPr>
      </w:pPr>
      <w:r>
        <w:rPr>
          <w:w w:val="90"/>
          <w:sz w:val="22"/>
        </w:rPr>
        <w:t>Paris,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16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mai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2023</w:t>
      </w:r>
    </w:p>
    <w:p>
      <w:pPr>
        <w:pStyle w:val="BodyText"/>
        <w:spacing w:before="5"/>
        <w:rPr>
          <w:sz w:val="23"/>
        </w:rPr>
      </w:pPr>
    </w:p>
    <w:p>
      <w:pPr>
        <w:spacing w:line="278" w:lineRule="auto" w:before="0"/>
        <w:ind w:left="112" w:right="110" w:firstLine="0"/>
        <w:jc w:val="both"/>
        <w:rPr>
          <w:sz w:val="22"/>
        </w:rPr>
      </w:pP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réponse</w:t>
      </w:r>
      <w:r>
        <w:rPr>
          <w:spacing w:val="-14"/>
          <w:sz w:val="22"/>
        </w:rPr>
        <w:t> </w:t>
      </w:r>
      <w:r>
        <w:rPr>
          <w:sz w:val="22"/>
        </w:rPr>
        <w:t>aux</w:t>
      </w:r>
      <w:r>
        <w:rPr>
          <w:spacing w:val="-14"/>
          <w:sz w:val="22"/>
        </w:rPr>
        <w:t> </w:t>
      </w:r>
      <w:r>
        <w:rPr>
          <w:sz w:val="22"/>
        </w:rPr>
        <w:t>rumeurs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ce</w:t>
      </w:r>
      <w:r>
        <w:rPr>
          <w:spacing w:val="-14"/>
          <w:sz w:val="22"/>
        </w:rPr>
        <w:t> </w:t>
      </w:r>
      <w:r>
        <w:rPr>
          <w:sz w:val="22"/>
        </w:rPr>
        <w:t>jour</w:t>
      </w:r>
      <w:r>
        <w:rPr>
          <w:spacing w:val="-13"/>
          <w:sz w:val="22"/>
        </w:rPr>
        <w:t> </w:t>
      </w:r>
      <w:r>
        <w:rPr>
          <w:sz w:val="22"/>
        </w:rPr>
        <w:t>dont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presse</w:t>
      </w:r>
      <w:r>
        <w:rPr>
          <w:spacing w:val="-14"/>
          <w:sz w:val="22"/>
        </w:rPr>
        <w:t> </w:t>
      </w:r>
      <w:r>
        <w:rPr>
          <w:sz w:val="22"/>
        </w:rPr>
        <w:t>et</w:t>
      </w:r>
      <w:r>
        <w:rPr>
          <w:spacing w:val="-14"/>
          <w:sz w:val="22"/>
        </w:rPr>
        <w:t> </w:t>
      </w:r>
      <w:r>
        <w:rPr>
          <w:sz w:val="22"/>
        </w:rPr>
        <w:t>les</w:t>
      </w:r>
      <w:r>
        <w:rPr>
          <w:spacing w:val="-13"/>
          <w:sz w:val="22"/>
        </w:rPr>
        <w:t> </w:t>
      </w:r>
      <w:r>
        <w:rPr>
          <w:sz w:val="22"/>
        </w:rPr>
        <w:t>médias</w:t>
      </w:r>
      <w:r>
        <w:rPr>
          <w:spacing w:val="-13"/>
          <w:sz w:val="22"/>
        </w:rPr>
        <w:t> </w:t>
      </w:r>
      <w:r>
        <w:rPr>
          <w:sz w:val="22"/>
        </w:rPr>
        <w:t>audiovisuels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sont</w:t>
      </w:r>
      <w:r>
        <w:rPr>
          <w:spacing w:val="-14"/>
          <w:sz w:val="22"/>
        </w:rPr>
        <w:t> </w:t>
      </w:r>
      <w:r>
        <w:rPr>
          <w:sz w:val="22"/>
        </w:rPr>
        <w:t>fait</w:t>
      </w:r>
      <w:r>
        <w:rPr>
          <w:spacing w:val="-75"/>
          <w:sz w:val="22"/>
        </w:rPr>
        <w:t> </w:t>
      </w:r>
      <w:r>
        <w:rPr>
          <w:w w:val="95"/>
          <w:sz w:val="22"/>
        </w:rPr>
        <w:t>l’écho et dans le prolongement du communiqué du 24 avril 2023 relatif à la sollicitation de</w:t>
      </w:r>
      <w:r>
        <w:rPr>
          <w:spacing w:val="1"/>
          <w:w w:val="95"/>
          <w:sz w:val="22"/>
        </w:rPr>
        <w:t> </w:t>
      </w:r>
      <w:r>
        <w:rPr>
          <w:sz w:val="22"/>
        </w:rPr>
        <w:t>l’accord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certains</w:t>
      </w:r>
      <w:r>
        <w:rPr>
          <w:spacing w:val="-4"/>
          <w:sz w:val="22"/>
        </w:rPr>
        <w:t> </w:t>
      </w:r>
      <w:r>
        <w:rPr>
          <w:sz w:val="22"/>
        </w:rPr>
        <w:t>créanciers</w:t>
      </w:r>
      <w:r>
        <w:rPr>
          <w:spacing w:val="-5"/>
          <w:sz w:val="22"/>
        </w:rPr>
        <w:t> </w:t>
      </w:r>
      <w:r>
        <w:rPr>
          <w:sz w:val="22"/>
        </w:rPr>
        <w:t>bancaires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porteurs</w:t>
      </w:r>
      <w:r>
        <w:rPr>
          <w:spacing w:val="-7"/>
          <w:sz w:val="22"/>
        </w:rPr>
        <w:t> </w:t>
      </w:r>
      <w:r>
        <w:rPr>
          <w:sz w:val="22"/>
        </w:rPr>
        <w:t>d’emprunts</w:t>
      </w:r>
      <w:r>
        <w:rPr>
          <w:spacing w:val="-7"/>
          <w:sz w:val="22"/>
        </w:rPr>
        <w:t> </w:t>
      </w:r>
      <w:r>
        <w:rPr>
          <w:sz w:val="22"/>
        </w:rPr>
        <w:t>obligataires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groupe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Casino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concernant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possibilité</w:t>
      </w:r>
      <w:r>
        <w:rPr>
          <w:spacing w:val="-16"/>
          <w:sz w:val="22"/>
        </w:rPr>
        <w:t> </w:t>
      </w:r>
      <w:r>
        <w:rPr>
          <w:sz w:val="22"/>
        </w:rPr>
        <w:t>d’initier</w:t>
      </w:r>
      <w:r>
        <w:rPr>
          <w:spacing w:val="-15"/>
          <w:sz w:val="22"/>
        </w:rPr>
        <w:t> </w:t>
      </w:r>
      <w:r>
        <w:rPr>
          <w:sz w:val="22"/>
        </w:rPr>
        <w:t>une</w:t>
      </w:r>
      <w:r>
        <w:rPr>
          <w:spacing w:val="-18"/>
          <w:sz w:val="22"/>
        </w:rPr>
        <w:t> </w:t>
      </w:r>
      <w:r>
        <w:rPr>
          <w:sz w:val="22"/>
        </w:rPr>
        <w:t>procédure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conciliation</w:t>
      </w:r>
      <w:r>
        <w:rPr>
          <w:spacing w:val="-16"/>
          <w:sz w:val="22"/>
        </w:rPr>
        <w:t> </w:t>
      </w:r>
      <w:r>
        <w:rPr>
          <w:sz w:val="22"/>
        </w:rPr>
        <w:t>pour</w:t>
      </w:r>
      <w:r>
        <w:rPr>
          <w:spacing w:val="-16"/>
          <w:sz w:val="22"/>
        </w:rPr>
        <w:t> </w:t>
      </w:r>
      <w:r>
        <w:rPr>
          <w:sz w:val="22"/>
        </w:rPr>
        <w:t>encadrer</w:t>
      </w:r>
      <w:r>
        <w:rPr>
          <w:spacing w:val="-15"/>
          <w:sz w:val="22"/>
        </w:rPr>
        <w:t> </w:t>
      </w:r>
      <w:r>
        <w:rPr>
          <w:sz w:val="22"/>
        </w:rPr>
        <w:t>des</w:t>
      </w:r>
      <w:r>
        <w:rPr>
          <w:spacing w:val="-75"/>
          <w:sz w:val="22"/>
        </w:rPr>
        <w:t> </w:t>
      </w:r>
      <w:r>
        <w:rPr>
          <w:w w:val="95"/>
          <w:sz w:val="22"/>
        </w:rPr>
        <w:t>discussions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venir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avec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créanciers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lien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avec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projet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TERACT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proposition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EP</w:t>
      </w:r>
      <w:r>
        <w:rPr>
          <w:spacing w:val="-71"/>
          <w:w w:val="95"/>
          <w:sz w:val="22"/>
        </w:rPr>
        <w:t> </w:t>
      </w:r>
      <w:r>
        <w:rPr>
          <w:spacing w:val="-1"/>
          <w:w w:val="102"/>
          <w:sz w:val="22"/>
        </w:rPr>
        <w:t>G</w:t>
      </w:r>
      <w:r>
        <w:rPr>
          <w:w w:val="102"/>
          <w:sz w:val="22"/>
        </w:rPr>
        <w:t>l</w:t>
      </w:r>
      <w:r>
        <w:rPr>
          <w:w w:val="109"/>
          <w:sz w:val="22"/>
        </w:rPr>
        <w:t>o</w:t>
      </w:r>
      <w:r>
        <w:rPr>
          <w:spacing w:val="-3"/>
          <w:w w:val="109"/>
          <w:sz w:val="22"/>
        </w:rPr>
        <w:t>b</w:t>
      </w:r>
      <w:r>
        <w:rPr>
          <w:spacing w:val="-1"/>
          <w:w w:val="101"/>
          <w:sz w:val="22"/>
        </w:rPr>
        <w:t>a</w:t>
      </w:r>
      <w:r>
        <w:rPr>
          <w:w w:val="101"/>
          <w:sz w:val="22"/>
        </w:rPr>
        <w:t>l</w:t>
      </w:r>
      <w:r>
        <w:rPr>
          <w:spacing w:val="5"/>
          <w:sz w:val="22"/>
        </w:rPr>
        <w:t> </w:t>
      </w:r>
      <w:r>
        <w:rPr>
          <w:w w:val="106"/>
          <w:sz w:val="22"/>
        </w:rPr>
        <w:t>Co</w:t>
      </w:r>
      <w:r>
        <w:rPr>
          <w:spacing w:val="-1"/>
          <w:w w:val="106"/>
          <w:sz w:val="22"/>
        </w:rPr>
        <w:t>m</w:t>
      </w:r>
      <w:r>
        <w:rPr>
          <w:spacing w:val="-4"/>
          <w:w w:val="96"/>
          <w:sz w:val="22"/>
        </w:rPr>
        <w:t>m</w:t>
      </w:r>
      <w:r>
        <w:rPr>
          <w:w w:val="93"/>
          <w:sz w:val="22"/>
        </w:rPr>
        <w:t>e</w:t>
      </w:r>
      <w:r>
        <w:rPr>
          <w:spacing w:val="-2"/>
          <w:w w:val="93"/>
          <w:sz w:val="22"/>
        </w:rPr>
        <w:t>r</w:t>
      </w:r>
      <w:r>
        <w:rPr>
          <w:w w:val="124"/>
          <w:sz w:val="22"/>
        </w:rPr>
        <w:t>c</w:t>
      </w:r>
      <w:r>
        <w:rPr>
          <w:w w:val="109"/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a.</w:t>
      </w:r>
      <w:r>
        <w:rPr>
          <w:spacing w:val="-2"/>
          <w:w w:val="74"/>
          <w:sz w:val="22"/>
        </w:rPr>
        <w:t>s</w:t>
      </w:r>
      <w:r>
        <w:rPr>
          <w:spacing w:val="-2"/>
          <w:w w:val="76"/>
          <w:sz w:val="22"/>
        </w:rPr>
        <w:t>.</w:t>
      </w:r>
      <w:r>
        <w:rPr>
          <w:w w:val="76"/>
          <w:sz w:val="22"/>
        </w:rPr>
        <w:t>,</w:t>
      </w:r>
      <w:r>
        <w:rPr>
          <w:spacing w:val="3"/>
          <w:sz w:val="22"/>
        </w:rPr>
        <w:t> </w:t>
      </w:r>
      <w:r>
        <w:rPr>
          <w:w w:val="115"/>
          <w:sz w:val="22"/>
        </w:rPr>
        <w:t>Ca</w:t>
      </w:r>
      <w:r>
        <w:rPr>
          <w:w w:val="74"/>
          <w:sz w:val="22"/>
        </w:rPr>
        <w:t>s</w:t>
      </w:r>
      <w:r>
        <w:rPr>
          <w:spacing w:val="1"/>
          <w:w w:val="73"/>
          <w:sz w:val="22"/>
        </w:rPr>
        <w:t>i</w:t>
      </w:r>
      <w:r>
        <w:rPr>
          <w:w w:val="102"/>
          <w:sz w:val="22"/>
        </w:rPr>
        <w:t>no</w:t>
      </w:r>
      <w:r>
        <w:rPr>
          <w:sz w:val="22"/>
        </w:rPr>
        <w:t> </w:t>
      </w:r>
      <w:r>
        <w:rPr>
          <w:spacing w:val="1"/>
          <w:w w:val="73"/>
          <w:sz w:val="22"/>
        </w:rPr>
        <w:t>i</w:t>
      </w:r>
      <w:r>
        <w:rPr>
          <w:w w:val="98"/>
          <w:sz w:val="22"/>
        </w:rPr>
        <w:t>nd</w:t>
      </w:r>
      <w:r>
        <w:rPr>
          <w:spacing w:val="-2"/>
          <w:w w:val="98"/>
          <w:sz w:val="22"/>
        </w:rPr>
        <w:t>i</w:t>
      </w:r>
      <w:r>
        <w:rPr>
          <w:spacing w:val="-1"/>
          <w:w w:val="103"/>
          <w:sz w:val="22"/>
        </w:rPr>
        <w:t>q</w:t>
      </w:r>
      <w:r>
        <w:rPr>
          <w:spacing w:val="-2"/>
          <w:w w:val="103"/>
          <w:sz w:val="22"/>
        </w:rPr>
        <w:t>u</w:t>
      </w:r>
      <w:r>
        <w:rPr>
          <w:w w:val="109"/>
          <w:sz w:val="22"/>
        </w:rPr>
        <w:t>e</w:t>
      </w:r>
      <w:r>
        <w:rPr>
          <w:spacing w:val="4"/>
          <w:sz w:val="22"/>
        </w:rPr>
        <w:t> </w:t>
      </w:r>
      <w:r>
        <w:rPr>
          <w:spacing w:val="-1"/>
          <w:w w:val="93"/>
          <w:sz w:val="22"/>
        </w:rPr>
        <w:t>p</w:t>
      </w:r>
      <w:r>
        <w:rPr>
          <w:spacing w:val="1"/>
          <w:w w:val="93"/>
          <w:sz w:val="22"/>
        </w:rPr>
        <w:t>r</w:t>
      </w:r>
      <w:r>
        <w:rPr>
          <w:spacing w:val="-4"/>
          <w:w w:val="108"/>
          <w:sz w:val="22"/>
        </w:rPr>
        <w:t>o</w:t>
      </w:r>
      <w:r>
        <w:rPr>
          <w:spacing w:val="1"/>
          <w:w w:val="73"/>
          <w:sz w:val="22"/>
        </w:rPr>
        <w:t>l</w:t>
      </w:r>
      <w:r>
        <w:rPr>
          <w:spacing w:val="-4"/>
          <w:w w:val="108"/>
          <w:sz w:val="22"/>
        </w:rPr>
        <w:t>o</w:t>
      </w:r>
      <w:r>
        <w:rPr>
          <w:w w:val="98"/>
          <w:sz w:val="22"/>
        </w:rPr>
        <w:t>nger</w:t>
      </w:r>
      <w:r>
        <w:rPr>
          <w:spacing w:val="2"/>
          <w:sz w:val="22"/>
        </w:rPr>
        <w:t> </w:t>
      </w:r>
      <w:r>
        <w:rPr>
          <w:spacing w:val="1"/>
          <w:w w:val="73"/>
          <w:sz w:val="22"/>
        </w:rPr>
        <w:t>l</w:t>
      </w:r>
      <w:r>
        <w:rPr>
          <w:w w:val="114"/>
          <w:sz w:val="22"/>
        </w:rPr>
        <w:t>a</w:t>
      </w:r>
      <w:r>
        <w:rPr>
          <w:spacing w:val="4"/>
          <w:sz w:val="22"/>
        </w:rPr>
        <w:t> </w:t>
      </w:r>
      <w:r>
        <w:rPr>
          <w:spacing w:val="-2"/>
          <w:w w:val="109"/>
          <w:sz w:val="22"/>
        </w:rPr>
        <w:t>p</w:t>
      </w:r>
      <w:r>
        <w:rPr>
          <w:w w:val="93"/>
          <w:sz w:val="22"/>
        </w:rPr>
        <w:t>é</w:t>
      </w:r>
      <w:r>
        <w:rPr>
          <w:spacing w:val="-2"/>
          <w:w w:val="93"/>
          <w:sz w:val="22"/>
        </w:rPr>
        <w:t>r</w:t>
      </w:r>
      <w:r>
        <w:rPr>
          <w:spacing w:val="1"/>
          <w:w w:val="73"/>
          <w:sz w:val="22"/>
        </w:rPr>
        <w:t>i</w:t>
      </w:r>
      <w:r>
        <w:rPr>
          <w:w w:val="109"/>
          <w:sz w:val="22"/>
        </w:rPr>
        <w:t>o</w:t>
      </w:r>
      <w:r>
        <w:rPr>
          <w:spacing w:val="-4"/>
          <w:w w:val="109"/>
          <w:sz w:val="22"/>
        </w:rPr>
        <w:t>d</w:t>
      </w:r>
      <w:r>
        <w:rPr>
          <w:w w:val="109"/>
          <w:sz w:val="22"/>
        </w:rPr>
        <w:t>e</w:t>
      </w:r>
      <w:r>
        <w:rPr>
          <w:spacing w:val="9"/>
          <w:sz w:val="22"/>
        </w:rPr>
        <w:t> </w:t>
      </w:r>
      <w:r>
        <w:rPr>
          <w:spacing w:val="-1"/>
          <w:w w:val="109"/>
          <w:sz w:val="22"/>
        </w:rPr>
        <w:t>d</w:t>
      </w:r>
      <w:r>
        <w:rPr>
          <w:w w:val="109"/>
          <w:sz w:val="22"/>
        </w:rPr>
        <w:t>e</w:t>
      </w:r>
      <w:r>
        <w:rPr>
          <w:spacing w:val="2"/>
          <w:sz w:val="22"/>
        </w:rPr>
        <w:t> </w:t>
      </w:r>
      <w:r>
        <w:rPr>
          <w:w w:val="124"/>
          <w:sz w:val="22"/>
        </w:rPr>
        <w:t>c</w:t>
      </w:r>
      <w:r>
        <w:rPr>
          <w:w w:val="102"/>
          <w:sz w:val="22"/>
        </w:rPr>
        <w:t>o</w:t>
      </w:r>
      <w:r>
        <w:rPr>
          <w:spacing w:val="-1"/>
          <w:w w:val="102"/>
          <w:sz w:val="22"/>
        </w:rPr>
        <w:t>n</w:t>
      </w:r>
      <w:r>
        <w:rPr>
          <w:w w:val="74"/>
          <w:sz w:val="22"/>
        </w:rPr>
        <w:t>s</w:t>
      </w:r>
      <w:r>
        <w:rPr>
          <w:w w:val="89"/>
          <w:sz w:val="22"/>
        </w:rPr>
        <w:t>u</w:t>
      </w:r>
      <w:r>
        <w:rPr>
          <w:spacing w:val="1"/>
          <w:w w:val="89"/>
          <w:sz w:val="22"/>
        </w:rPr>
        <w:t>l</w:t>
      </w:r>
      <w:r>
        <w:rPr>
          <w:spacing w:val="-3"/>
          <w:w w:val="86"/>
          <w:sz w:val="22"/>
        </w:rPr>
        <w:t>t</w:t>
      </w:r>
      <w:r>
        <w:rPr>
          <w:spacing w:val="-1"/>
          <w:w w:val="96"/>
          <w:sz w:val="22"/>
        </w:rPr>
        <w:t>at</w:t>
      </w:r>
      <w:r>
        <w:rPr>
          <w:spacing w:val="1"/>
          <w:w w:val="96"/>
          <w:sz w:val="22"/>
        </w:rPr>
        <w:t>i</w:t>
      </w:r>
      <w:r>
        <w:rPr>
          <w:w w:val="102"/>
          <w:sz w:val="22"/>
        </w:rPr>
        <w:t>on</w:t>
      </w:r>
      <w:r>
        <w:rPr>
          <w:sz w:val="22"/>
        </w:rPr>
        <w:t> </w:t>
      </w:r>
      <w:r>
        <w:rPr>
          <w:w w:val="59"/>
          <w:sz w:val="22"/>
        </w:rPr>
        <w:t>j</w:t>
      </w:r>
      <w:r>
        <w:rPr>
          <w:w w:val="86"/>
          <w:sz w:val="22"/>
        </w:rPr>
        <w:t>u</w:t>
      </w:r>
      <w:r>
        <w:rPr>
          <w:spacing w:val="-2"/>
          <w:w w:val="86"/>
          <w:sz w:val="22"/>
        </w:rPr>
        <w:t>s</w:t>
      </w:r>
      <w:r>
        <w:rPr>
          <w:spacing w:val="-1"/>
          <w:w w:val="103"/>
          <w:sz w:val="22"/>
        </w:rPr>
        <w:t>q</w:t>
      </w:r>
      <w:r>
        <w:rPr>
          <w:w w:val="103"/>
          <w:sz w:val="22"/>
        </w:rPr>
        <w:t>u</w:t>
      </w:r>
      <w:r>
        <w:rPr>
          <w:spacing w:val="-1"/>
          <w:w w:val="131"/>
          <w:sz w:val="22"/>
        </w:rPr>
        <w:t>’</w:t>
      </w:r>
      <w:r>
        <w:rPr>
          <w:spacing w:val="-1"/>
          <w:w w:val="105"/>
          <w:sz w:val="22"/>
        </w:rPr>
        <w:t>a</w:t>
      </w:r>
      <w:r>
        <w:rPr>
          <w:w w:val="105"/>
          <w:sz w:val="22"/>
        </w:rPr>
        <w:t>u</w:t>
      </w:r>
      <w:r>
        <w:rPr>
          <w:spacing w:val="2"/>
          <w:sz w:val="22"/>
        </w:rPr>
        <w:t> </w:t>
      </w:r>
      <w:r>
        <w:rPr>
          <w:spacing w:val="-1"/>
          <w:w w:val="87"/>
          <w:sz w:val="22"/>
        </w:rPr>
        <w:t>23 </w:t>
      </w:r>
      <w:r>
        <w:rPr>
          <w:sz w:val="22"/>
        </w:rPr>
        <w:t>mai</w:t>
      </w:r>
      <w:r>
        <w:rPr>
          <w:spacing w:val="-18"/>
          <w:sz w:val="22"/>
        </w:rPr>
        <w:t> </w:t>
      </w:r>
      <w:r>
        <w:rPr>
          <w:sz w:val="22"/>
        </w:rPr>
        <w:t>2023</w:t>
      </w:r>
      <w:r>
        <w:rPr>
          <w:spacing w:val="-20"/>
          <w:sz w:val="22"/>
        </w:rPr>
        <w:t> </w:t>
      </w:r>
      <w:r>
        <w:rPr>
          <w:sz w:val="22"/>
        </w:rPr>
        <w:t>à</w:t>
      </w:r>
      <w:r>
        <w:rPr>
          <w:spacing w:val="-19"/>
          <w:sz w:val="22"/>
        </w:rPr>
        <w:t> </w:t>
      </w:r>
      <w:r>
        <w:rPr>
          <w:sz w:val="22"/>
        </w:rPr>
        <w:t>17h00</w:t>
      </w:r>
      <w:r>
        <w:rPr>
          <w:spacing w:val="-20"/>
          <w:sz w:val="22"/>
        </w:rPr>
        <w:t> </w:t>
      </w:r>
      <w:r>
        <w:rPr>
          <w:sz w:val="22"/>
        </w:rPr>
        <w:t>(CET).</w:t>
      </w:r>
    </w:p>
    <w:p>
      <w:pPr>
        <w:pStyle w:val="BodyText"/>
        <w:spacing w:before="8"/>
        <w:rPr>
          <w:sz w:val="19"/>
        </w:rPr>
      </w:pPr>
    </w:p>
    <w:p>
      <w:pPr>
        <w:spacing w:line="280" w:lineRule="auto" w:before="0"/>
        <w:ind w:left="112" w:right="117" w:firstLine="0"/>
        <w:jc w:val="both"/>
        <w:rPr>
          <w:sz w:val="22"/>
        </w:rPr>
      </w:pPr>
      <w:r>
        <w:rPr>
          <w:w w:val="95"/>
          <w:sz w:val="22"/>
        </w:rPr>
        <w:t>La décision définitive de solliciter l’ouverture d’une procédure de conciliation reste soumise</w:t>
      </w:r>
      <w:r>
        <w:rPr>
          <w:spacing w:val="-71"/>
          <w:w w:val="95"/>
          <w:sz w:val="22"/>
        </w:rPr>
        <w:t> </w:t>
      </w:r>
      <w:r>
        <w:rPr>
          <w:sz w:val="22"/>
        </w:rPr>
        <w:t>à</w:t>
      </w:r>
      <w:r>
        <w:rPr>
          <w:spacing w:val="-18"/>
          <w:sz w:val="22"/>
        </w:rPr>
        <w:t> </w:t>
      </w:r>
      <w:r>
        <w:rPr>
          <w:sz w:val="22"/>
        </w:rPr>
        <w:t>l’approbation</w:t>
      </w:r>
      <w:r>
        <w:rPr>
          <w:spacing w:val="-19"/>
          <w:sz w:val="22"/>
        </w:rPr>
        <w:t> </w:t>
      </w:r>
      <w:r>
        <w:rPr>
          <w:sz w:val="22"/>
        </w:rPr>
        <w:t>du</w:t>
      </w:r>
      <w:r>
        <w:rPr>
          <w:spacing w:val="-18"/>
          <w:sz w:val="22"/>
        </w:rPr>
        <w:t> </w:t>
      </w:r>
      <w:r>
        <w:rPr>
          <w:sz w:val="22"/>
        </w:rPr>
        <w:t>conseil</w:t>
      </w:r>
      <w:r>
        <w:rPr>
          <w:spacing w:val="-16"/>
          <w:sz w:val="22"/>
        </w:rPr>
        <w:t> </w:t>
      </w:r>
      <w:r>
        <w:rPr>
          <w:sz w:val="22"/>
        </w:rPr>
        <w:t>d’administration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Casino.</w:t>
      </w:r>
    </w:p>
    <w:p>
      <w:pPr>
        <w:pStyle w:val="BodyText"/>
        <w:spacing w:before="5"/>
        <w:rPr>
          <w:sz w:val="19"/>
        </w:rPr>
      </w:pPr>
    </w:p>
    <w:p>
      <w:pPr>
        <w:spacing w:line="278" w:lineRule="auto" w:before="0"/>
        <w:ind w:left="112" w:right="110" w:firstLine="0"/>
        <w:jc w:val="both"/>
        <w:rPr>
          <w:sz w:val="22"/>
        </w:rPr>
      </w:pPr>
      <w:r>
        <w:rPr>
          <w:sz w:val="22"/>
        </w:rPr>
        <w:t>Il est rappelé que le groupe Casino a désigné Kroll, en qualité d’agent de tabulation et</w:t>
      </w:r>
      <w:r>
        <w:rPr>
          <w:spacing w:val="1"/>
          <w:sz w:val="22"/>
        </w:rPr>
        <w:t> </w:t>
      </w:r>
      <w:r>
        <w:rPr>
          <w:w w:val="95"/>
          <w:sz w:val="22"/>
        </w:rPr>
        <w:t>d’information pour les besoins de cette consultation des porteurs d’emprunts obligataires</w:t>
      </w:r>
      <w:r>
        <w:rPr>
          <w:spacing w:val="1"/>
          <w:w w:val="95"/>
          <w:sz w:val="22"/>
        </w:rPr>
        <w:t> </w:t>
      </w:r>
      <w:r>
        <w:rPr>
          <w:sz w:val="22"/>
        </w:rPr>
        <w:t>(</w:t>
      </w:r>
      <w:hyperlink r:id="rId6">
        <w:r>
          <w:rPr>
            <w:sz w:val="22"/>
          </w:rPr>
          <w:t>casino@is.kroll.com</w:t>
        </w:r>
      </w:hyperlink>
      <w:r>
        <w:rPr>
          <w:sz w:val="22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8"/>
        </w:rPr>
      </w:pPr>
    </w:p>
    <w:p>
      <w:pPr>
        <w:spacing w:line="242" w:lineRule="auto" w:before="0"/>
        <w:ind w:left="112" w:right="117" w:firstLine="0"/>
        <w:jc w:val="both"/>
        <w:rPr>
          <w:i/>
          <w:sz w:val="18"/>
        </w:rPr>
      </w:pPr>
      <w:r>
        <w:rPr>
          <w:i/>
          <w:w w:val="95"/>
          <w:sz w:val="18"/>
        </w:rPr>
        <w:t>Ce communiqué de presse constitue, de la part de Casino, Guichard-Perrachon S.A., une divulgation publique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d'informations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privilégiées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au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titre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règlement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(UE)</w:t>
      </w:r>
      <w:r>
        <w:rPr>
          <w:i/>
          <w:spacing w:val="-12"/>
          <w:w w:val="95"/>
          <w:sz w:val="18"/>
        </w:rPr>
        <w:t> </w:t>
      </w:r>
      <w:r>
        <w:rPr>
          <w:i/>
          <w:w w:val="95"/>
          <w:sz w:val="18"/>
        </w:rPr>
        <w:t>n°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596/2014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du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16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avril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2014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et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du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règlement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d'exécution</w:t>
      </w:r>
      <w:r>
        <w:rPr>
          <w:i/>
          <w:spacing w:val="-57"/>
          <w:w w:val="95"/>
          <w:sz w:val="18"/>
        </w:rPr>
        <w:t> </w:t>
      </w:r>
      <w:r>
        <w:rPr>
          <w:i/>
          <w:sz w:val="18"/>
        </w:rPr>
        <w:t>(UE)</w:t>
      </w:r>
      <w:r>
        <w:rPr>
          <w:i/>
          <w:spacing w:val="-21"/>
          <w:sz w:val="18"/>
        </w:rPr>
        <w:t> </w:t>
      </w:r>
      <w:r>
        <w:rPr>
          <w:i/>
          <w:sz w:val="18"/>
        </w:rPr>
        <w:t>n°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2016/1055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10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juin</w:t>
      </w:r>
      <w:r>
        <w:rPr>
          <w:i/>
          <w:spacing w:val="-18"/>
          <w:sz w:val="18"/>
        </w:rPr>
        <w:t> </w:t>
      </w:r>
      <w:r>
        <w:rPr>
          <w:i/>
          <w:sz w:val="18"/>
        </w:rPr>
        <w:t>2016.</w:t>
      </w:r>
    </w:p>
    <w:p>
      <w:pPr>
        <w:pStyle w:val="BodyText"/>
        <w:rPr>
          <w:i/>
          <w:sz w:val="22"/>
        </w:rPr>
      </w:pPr>
    </w:p>
    <w:p>
      <w:pPr>
        <w:spacing w:before="190"/>
        <w:ind w:left="112" w:right="0" w:firstLine="0"/>
        <w:jc w:val="both"/>
        <w:rPr>
          <w:b/>
          <w:i/>
          <w:sz w:val="18"/>
        </w:rPr>
      </w:pPr>
      <w:r>
        <w:rPr>
          <w:b/>
          <w:i/>
          <w:w w:val="85"/>
          <w:sz w:val="18"/>
        </w:rPr>
        <w:t>Déclarations</w:t>
      </w:r>
      <w:r>
        <w:rPr>
          <w:b/>
          <w:i/>
          <w:spacing w:val="11"/>
          <w:w w:val="85"/>
          <w:sz w:val="18"/>
        </w:rPr>
        <w:t> </w:t>
      </w:r>
      <w:r>
        <w:rPr>
          <w:b/>
          <w:i/>
          <w:w w:val="85"/>
          <w:sz w:val="18"/>
        </w:rPr>
        <w:t>prospectives</w:t>
      </w:r>
    </w:p>
    <w:p>
      <w:pPr>
        <w:pStyle w:val="BodyText"/>
        <w:spacing w:line="242" w:lineRule="auto" w:before="125"/>
        <w:ind w:left="112" w:right="115"/>
        <w:jc w:val="both"/>
      </w:pPr>
      <w:r>
        <w:rPr>
          <w:w w:val="95"/>
        </w:rPr>
        <w:t>Ce communiqué de presse peut contenir des déclarations prospectives. Ces déclarations prospectives peuvent</w:t>
      </w:r>
      <w:r>
        <w:rPr>
          <w:spacing w:val="1"/>
          <w:w w:val="95"/>
        </w:rPr>
        <w:t> </w:t>
      </w:r>
      <w:r>
        <w:rPr/>
        <w:t>être</w:t>
      </w:r>
      <w:r>
        <w:rPr>
          <w:spacing w:val="18"/>
        </w:rPr>
        <w:t> </w:t>
      </w:r>
      <w:r>
        <w:rPr/>
        <w:t>identifiées</w:t>
      </w:r>
      <w:r>
        <w:rPr>
          <w:spacing w:val="19"/>
        </w:rPr>
        <w:t> </w:t>
      </w:r>
      <w:r>
        <w:rPr/>
        <w:t>à</w:t>
      </w:r>
      <w:r>
        <w:rPr>
          <w:spacing w:val="18"/>
        </w:rPr>
        <w:t> </w:t>
      </w:r>
      <w:r>
        <w:rPr/>
        <w:t>l’aide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terminologie</w:t>
      </w:r>
      <w:r>
        <w:rPr>
          <w:spacing w:val="19"/>
        </w:rPr>
        <w:t> </w:t>
      </w:r>
      <w:r>
        <w:rPr/>
        <w:t>prospective,</w:t>
      </w:r>
      <w:r>
        <w:rPr>
          <w:spacing w:val="17"/>
        </w:rPr>
        <w:t> </w:t>
      </w:r>
      <w:r>
        <w:rPr/>
        <w:t>notamment</w:t>
      </w:r>
      <w:r>
        <w:rPr>
          <w:spacing w:val="18"/>
        </w:rPr>
        <w:t> </w:t>
      </w:r>
      <w:r>
        <w:rPr/>
        <w:t>les</w:t>
      </w:r>
      <w:r>
        <w:rPr>
          <w:spacing w:val="19"/>
        </w:rPr>
        <w:t> </w:t>
      </w:r>
      <w:r>
        <w:rPr/>
        <w:t>termes</w:t>
      </w:r>
      <w:r>
        <w:rPr>
          <w:spacing w:val="19"/>
        </w:rPr>
        <w:t> </w:t>
      </w:r>
      <w:r>
        <w:rPr/>
        <w:t>«croire»,</w:t>
      </w:r>
      <w:r>
        <w:rPr>
          <w:spacing w:val="19"/>
        </w:rPr>
        <w:t> </w:t>
      </w:r>
      <w:r>
        <w:rPr/>
        <w:t>«s’attendre</w:t>
      </w:r>
      <w:r>
        <w:rPr>
          <w:spacing w:val="19"/>
        </w:rPr>
        <w:t> </w:t>
      </w:r>
      <w:r>
        <w:rPr/>
        <w:t>à»,</w:t>
      </w:r>
    </w:p>
    <w:p>
      <w:pPr>
        <w:pStyle w:val="BodyText"/>
        <w:spacing w:line="242" w:lineRule="auto"/>
        <w:ind w:left="112" w:right="113"/>
        <w:jc w:val="both"/>
      </w:pPr>
      <w:r>
        <w:rPr>
          <w:w w:val="90"/>
        </w:rPr>
        <w:t>«anticiper»,</w:t>
      </w:r>
      <w:r>
        <w:rPr>
          <w:spacing w:val="-6"/>
          <w:w w:val="90"/>
        </w:rPr>
        <w:t> </w:t>
      </w:r>
      <w:r>
        <w:rPr>
          <w:w w:val="90"/>
        </w:rPr>
        <w:t>«peut»,</w:t>
      </w:r>
      <w:r>
        <w:rPr>
          <w:spacing w:val="-5"/>
          <w:w w:val="90"/>
        </w:rPr>
        <w:t> </w:t>
      </w:r>
      <w:r>
        <w:rPr>
          <w:w w:val="90"/>
        </w:rPr>
        <w:t>«présumer»,</w:t>
      </w:r>
      <w:r>
        <w:rPr>
          <w:spacing w:val="-5"/>
          <w:w w:val="90"/>
        </w:rPr>
        <w:t> </w:t>
      </w:r>
      <w:r>
        <w:rPr>
          <w:w w:val="90"/>
        </w:rPr>
        <w:t>«planifier»,</w:t>
      </w:r>
      <w:r>
        <w:rPr>
          <w:spacing w:val="-6"/>
          <w:w w:val="90"/>
        </w:rPr>
        <w:t> </w:t>
      </w:r>
      <w:r>
        <w:rPr>
          <w:w w:val="90"/>
        </w:rPr>
        <w:t>«avoir</w:t>
      </w:r>
      <w:r>
        <w:rPr>
          <w:spacing w:val="-3"/>
          <w:w w:val="90"/>
        </w:rPr>
        <w:t> </w:t>
      </w:r>
      <w:r>
        <w:rPr>
          <w:w w:val="90"/>
        </w:rPr>
        <w:t>l’intention</w:t>
      </w:r>
      <w:r>
        <w:rPr>
          <w:spacing w:val="-3"/>
          <w:w w:val="90"/>
        </w:rPr>
        <w:t> </w:t>
      </w:r>
      <w:r>
        <w:rPr>
          <w:w w:val="90"/>
        </w:rPr>
        <w:t>de»,</w:t>
      </w:r>
      <w:r>
        <w:rPr>
          <w:spacing w:val="-6"/>
          <w:w w:val="90"/>
        </w:rPr>
        <w:t> </w:t>
      </w:r>
      <w:r>
        <w:rPr>
          <w:w w:val="90"/>
        </w:rPr>
        <w:t>«sera»,</w:t>
      </w:r>
      <w:r>
        <w:rPr>
          <w:spacing w:val="-5"/>
          <w:w w:val="90"/>
        </w:rPr>
        <w:t> </w:t>
      </w:r>
      <w:r>
        <w:rPr>
          <w:w w:val="90"/>
        </w:rPr>
        <w:t>«devrait»,</w:t>
      </w:r>
      <w:r>
        <w:rPr>
          <w:spacing w:val="-4"/>
          <w:w w:val="90"/>
        </w:rPr>
        <w:t> </w:t>
      </w:r>
      <w:r>
        <w:rPr>
          <w:w w:val="90"/>
        </w:rPr>
        <w:t>«estimation»,</w:t>
      </w:r>
      <w:r>
        <w:rPr>
          <w:spacing w:val="-6"/>
          <w:w w:val="90"/>
        </w:rPr>
        <w:t> </w:t>
      </w:r>
      <w:r>
        <w:rPr>
          <w:w w:val="90"/>
        </w:rPr>
        <w:t>«risque»</w:t>
      </w:r>
      <w:r>
        <w:rPr>
          <w:spacing w:val="-5"/>
          <w:w w:val="90"/>
        </w:rPr>
        <w:t> </w:t>
      </w:r>
      <w:r>
        <w:rPr>
          <w:w w:val="90"/>
        </w:rPr>
        <w:t>et/ou,</w:t>
      </w:r>
      <w:r>
        <w:rPr>
          <w:spacing w:val="-55"/>
          <w:w w:val="90"/>
        </w:rPr>
        <w:t> </w:t>
      </w:r>
      <w:r>
        <w:rPr/>
        <w:t>dans chaque cas, leur contraire, ou d’autres variantes ou terminologie comparable. Ces déclarations</w:t>
      </w:r>
      <w:r>
        <w:rPr>
          <w:spacing w:val="1"/>
        </w:rPr>
        <w:t> </w:t>
      </w:r>
      <w:r>
        <w:rPr/>
        <w:t>prospectives</w:t>
      </w:r>
      <w:r>
        <w:rPr>
          <w:spacing w:val="-5"/>
        </w:rPr>
        <w:t> </w:t>
      </w:r>
      <w:r>
        <w:rPr/>
        <w:t>comprennent</w:t>
      </w:r>
      <w:r>
        <w:rPr>
          <w:spacing w:val="-4"/>
        </w:rPr>
        <w:t> </w:t>
      </w:r>
      <w:r>
        <w:rPr/>
        <w:t>tout</w:t>
      </w:r>
      <w:r>
        <w:rPr>
          <w:spacing w:val="-2"/>
        </w:rPr>
        <w:t> </w:t>
      </w:r>
      <w:r>
        <w:rPr/>
        <w:t>sujet</w:t>
      </w:r>
      <w:r>
        <w:rPr>
          <w:spacing w:val="-3"/>
        </w:rPr>
        <w:t> </w:t>
      </w:r>
      <w:r>
        <w:rPr/>
        <w:t>qui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porte</w:t>
      </w:r>
      <w:r>
        <w:rPr>
          <w:spacing w:val="-4"/>
        </w:rPr>
        <w:t> </w:t>
      </w:r>
      <w:r>
        <w:rPr/>
        <w:t>pas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faits</w:t>
      </w:r>
      <w:r>
        <w:rPr>
          <w:spacing w:val="-4"/>
        </w:rPr>
        <w:t> </w:t>
      </w:r>
      <w:r>
        <w:rPr/>
        <w:t>historiques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incluent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déclarations</w:t>
      </w:r>
      <w:r>
        <w:rPr>
          <w:spacing w:val="-61"/>
        </w:rPr>
        <w:t> </w:t>
      </w:r>
      <w:r>
        <w:rPr/>
        <w:t>relatives</w:t>
      </w:r>
      <w:r>
        <w:rPr>
          <w:spacing w:val="-9"/>
        </w:rPr>
        <w:t> </w:t>
      </w:r>
      <w:r>
        <w:rPr/>
        <w:t>aux</w:t>
      </w:r>
      <w:r>
        <w:rPr>
          <w:spacing w:val="-10"/>
        </w:rPr>
        <w:t> </w:t>
      </w:r>
      <w:r>
        <w:rPr/>
        <w:t>intentions,</w:t>
      </w:r>
      <w:r>
        <w:rPr>
          <w:spacing w:val="-9"/>
        </w:rPr>
        <w:t> </w:t>
      </w:r>
      <w:r>
        <w:rPr/>
        <w:t>aux</w:t>
      </w:r>
      <w:r>
        <w:rPr>
          <w:spacing w:val="-10"/>
        </w:rPr>
        <w:t> </w:t>
      </w:r>
      <w:r>
        <w:rPr/>
        <w:t>convictions</w:t>
      </w:r>
      <w:r>
        <w:rPr>
          <w:spacing w:val="-7"/>
        </w:rPr>
        <w:t> </w:t>
      </w:r>
      <w:r>
        <w:rPr/>
        <w:t>ou</w:t>
      </w:r>
      <w:r>
        <w:rPr>
          <w:spacing w:val="-8"/>
        </w:rPr>
        <w:t> </w:t>
      </w:r>
      <w:r>
        <w:rPr/>
        <w:t>aux</w:t>
      </w:r>
      <w:r>
        <w:rPr>
          <w:spacing w:val="-7"/>
        </w:rPr>
        <w:t> </w:t>
      </w:r>
      <w:r>
        <w:rPr/>
        <w:t>attentes</w:t>
      </w:r>
      <w:r>
        <w:rPr>
          <w:spacing w:val="-9"/>
        </w:rPr>
        <w:t> </w:t>
      </w:r>
      <w:r>
        <w:rPr/>
        <w:t>actuelles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/>
        <w:t>Groupe</w:t>
      </w:r>
      <w:r>
        <w:rPr>
          <w:spacing w:val="-8"/>
        </w:rPr>
        <w:t> </w:t>
      </w:r>
      <w:r>
        <w:rPr/>
        <w:t>Casino,</w:t>
      </w:r>
      <w:r>
        <w:rPr>
          <w:spacing w:val="-9"/>
        </w:rPr>
        <w:t> </w:t>
      </w:r>
      <w:r>
        <w:rPr/>
        <w:t>notamment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ce</w:t>
      </w:r>
      <w:r>
        <w:rPr>
          <w:spacing w:val="-7"/>
        </w:rPr>
        <w:t> </w:t>
      </w:r>
      <w:r>
        <w:rPr/>
        <w:t>qui</w:t>
      </w:r>
      <w:r>
        <w:rPr>
          <w:spacing w:val="-61"/>
        </w:rPr>
        <w:t> </w:t>
      </w:r>
      <w:r>
        <w:rPr>
          <w:w w:val="124"/>
        </w:rPr>
        <w:t>c</w:t>
      </w:r>
      <w:r>
        <w:rPr>
          <w:w w:val="108"/>
        </w:rPr>
        <w:t>on</w:t>
      </w:r>
      <w:r>
        <w:rPr>
          <w:spacing w:val="1"/>
          <w:w w:val="108"/>
        </w:rPr>
        <w:t>c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w w:val="96"/>
        </w:rPr>
        <w:t>n</w:t>
      </w:r>
      <w:r>
        <w:rPr>
          <w:w w:val="109"/>
        </w:rPr>
        <w:t>e</w:t>
      </w:r>
      <w:r>
        <w:rPr>
          <w:spacing w:val="-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w w:val="74"/>
        </w:rPr>
        <w:t>s</w:t>
      </w:r>
      <w:r>
        <w:rPr>
          <w:spacing w:val="-4"/>
        </w:rPr>
        <w:t> </w:t>
      </w:r>
      <w:r>
        <w:rPr>
          <w:spacing w:val="-1"/>
          <w:w w:val="104"/>
        </w:rPr>
        <w:t>pla</w:t>
      </w:r>
      <w:r>
        <w:rPr>
          <w:w w:val="96"/>
        </w:rPr>
        <w:t>n</w:t>
      </w:r>
      <w:r>
        <w:rPr>
          <w:spacing w:val="-1"/>
          <w:w w:val="75"/>
        </w:rPr>
        <w:t>s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w w:val="74"/>
        </w:rPr>
        <w:t>s</w:t>
      </w:r>
      <w:r>
        <w:rPr>
          <w:spacing w:val="-7"/>
        </w:rPr>
        <w:t> </w:t>
      </w:r>
      <w:r>
        <w:rPr>
          <w:w w:val="108"/>
        </w:rPr>
        <w:t>o</w:t>
      </w:r>
      <w:r>
        <w:rPr>
          <w:spacing w:val="-1"/>
          <w:w w:val="108"/>
        </w:rPr>
        <w:t>b</w:t>
      </w:r>
      <w:r>
        <w:rPr>
          <w:spacing w:val="1"/>
          <w:w w:val="59"/>
        </w:rPr>
        <w:t>j</w:t>
      </w:r>
      <w:r>
        <w:rPr>
          <w:spacing w:val="-2"/>
          <w:w w:val="109"/>
        </w:rPr>
        <w:t>e</w:t>
      </w:r>
      <w:r>
        <w:rPr>
          <w:w w:val="124"/>
        </w:rPr>
        <w:t>c</w:t>
      </w:r>
      <w:r>
        <w:rPr>
          <w:spacing w:val="-2"/>
          <w:w w:val="85"/>
        </w:rPr>
        <w:t>t</w:t>
      </w:r>
      <w:r>
        <w:rPr>
          <w:spacing w:val="2"/>
          <w:w w:val="72"/>
        </w:rPr>
        <w:t>i</w:t>
      </w:r>
      <w:r>
        <w:rPr>
          <w:w w:val="89"/>
        </w:rPr>
        <w:t>f</w:t>
      </w:r>
      <w:r>
        <w:rPr>
          <w:spacing w:val="-1"/>
          <w:w w:val="75"/>
        </w:rPr>
        <w:t>s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w w:val="74"/>
        </w:rPr>
        <w:t>s</w:t>
      </w:r>
      <w:r>
        <w:rPr>
          <w:spacing w:val="-7"/>
        </w:rPr>
        <w:t> </w:t>
      </w:r>
      <w:r>
        <w:rPr>
          <w:w w:val="96"/>
        </w:rPr>
        <w:t>h</w:t>
      </w:r>
      <w:r>
        <w:rPr>
          <w:spacing w:val="-1"/>
          <w:w w:val="100"/>
        </w:rPr>
        <w:t>yp</w:t>
      </w:r>
      <w:r>
        <w:rPr>
          <w:w w:val="99"/>
        </w:rPr>
        <w:t>o</w:t>
      </w:r>
      <w:r>
        <w:rPr>
          <w:spacing w:val="-2"/>
          <w:w w:val="99"/>
        </w:rPr>
        <w:t>t</w:t>
      </w:r>
      <w:r>
        <w:rPr>
          <w:w w:val="96"/>
        </w:rPr>
        <w:t>h</w:t>
      </w:r>
      <w:r>
        <w:rPr>
          <w:w w:val="109"/>
        </w:rPr>
        <w:t>è</w:t>
      </w:r>
      <w:r>
        <w:rPr>
          <w:spacing w:val="-1"/>
          <w:w w:val="85"/>
        </w:rPr>
        <w:t>ses</w:t>
      </w:r>
      <w:r>
        <w:rPr>
          <w:w w:val="85"/>
        </w:rPr>
        <w:t>,</w:t>
      </w:r>
      <w:r>
        <w:rPr>
          <w:spacing w:val="-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w w:val="74"/>
        </w:rPr>
        <w:t>s</w:t>
      </w:r>
      <w:r>
        <w:rPr>
          <w:spacing w:val="-4"/>
        </w:rPr>
        <w:t> </w:t>
      </w:r>
      <w:r>
        <w:rPr>
          <w:spacing w:val="-1"/>
          <w:w w:val="113"/>
        </w:rPr>
        <w:t>a</w:t>
      </w:r>
      <w:r>
        <w:rPr>
          <w:spacing w:val="-2"/>
          <w:w w:val="85"/>
        </w:rPr>
        <w:t>tt</w:t>
      </w:r>
      <w:r>
        <w:rPr>
          <w:w w:val="109"/>
        </w:rPr>
        <w:t>e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109"/>
        </w:rPr>
        <w:t>e</w:t>
      </w:r>
      <w:r>
        <w:rPr>
          <w:spacing w:val="-1"/>
          <w:w w:val="75"/>
        </w:rPr>
        <w:t>s</w:t>
      </w:r>
      <w:r>
        <w:rPr>
          <w:w w:val="75"/>
        </w:rPr>
        <w:t>,</w:t>
      </w:r>
      <w:r>
        <w:rPr>
          <w:spacing w:val="-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w w:val="74"/>
        </w:rPr>
        <w:t>s</w:t>
      </w:r>
      <w:r>
        <w:rPr>
          <w:spacing w:val="-4"/>
        </w:rPr>
        <w:t> </w:t>
      </w:r>
      <w:r>
        <w:rPr>
          <w:spacing w:val="-1"/>
          <w:w w:val="99"/>
        </w:rPr>
        <w:t>pe</w:t>
      </w:r>
      <w:r>
        <w:rPr>
          <w:spacing w:val="1"/>
          <w:w w:val="99"/>
        </w:rPr>
        <w:t>r</w:t>
      </w:r>
      <w:r>
        <w:rPr>
          <w:spacing w:val="-1"/>
          <w:w w:val="93"/>
        </w:rPr>
        <w:t>sp</w:t>
      </w:r>
      <w:r>
        <w:rPr>
          <w:spacing w:val="-2"/>
          <w:w w:val="109"/>
        </w:rPr>
        <w:t>e</w:t>
      </w:r>
      <w:r>
        <w:rPr>
          <w:w w:val="124"/>
        </w:rPr>
        <w:t>c</w:t>
      </w:r>
      <w:r>
        <w:rPr>
          <w:spacing w:val="-2"/>
          <w:w w:val="85"/>
        </w:rPr>
        <w:t>t</w:t>
      </w:r>
      <w:r>
        <w:rPr>
          <w:spacing w:val="2"/>
          <w:w w:val="72"/>
        </w:rPr>
        <w:t>i</w:t>
      </w:r>
      <w:r>
        <w:rPr>
          <w:spacing w:val="-2"/>
          <w:w w:val="93"/>
        </w:rPr>
        <w:t>v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7"/>
        </w:rPr>
        <w:t> </w:t>
      </w:r>
      <w:r>
        <w:rPr>
          <w:w w:val="109"/>
        </w:rPr>
        <w:t>e</w:t>
      </w:r>
      <w:r>
        <w:rPr>
          <w:w w:val="85"/>
        </w:rPr>
        <w:t>t</w:t>
      </w:r>
      <w:r>
        <w:rPr>
          <w:spacing w:val="-5"/>
        </w:rPr>
        <w:t> </w:t>
      </w:r>
      <w:r>
        <w:rPr>
          <w:spacing w:val="-1"/>
          <w:w w:val="93"/>
        </w:rPr>
        <w:t>p</w:t>
      </w:r>
      <w:r>
        <w:rPr>
          <w:spacing w:val="-2"/>
          <w:w w:val="93"/>
        </w:rPr>
        <w:t>r</w:t>
      </w:r>
      <w:r>
        <w:rPr>
          <w:w w:val="109"/>
        </w:rPr>
        <w:t>é</w:t>
      </w:r>
      <w:r>
        <w:rPr>
          <w:spacing w:val="-2"/>
          <w:w w:val="93"/>
        </w:rPr>
        <w:t>v</w:t>
      </w:r>
      <w:r>
        <w:rPr>
          <w:spacing w:val="2"/>
          <w:w w:val="72"/>
        </w:rPr>
        <w:t>i</w:t>
      </w:r>
      <w:r>
        <w:rPr>
          <w:spacing w:val="-3"/>
          <w:w w:val="74"/>
        </w:rPr>
        <w:t>s</w:t>
      </w:r>
      <w:r>
        <w:rPr>
          <w:spacing w:val="2"/>
          <w:w w:val="72"/>
        </w:rPr>
        <w:t>i</w:t>
      </w:r>
      <w:r>
        <w:rPr>
          <w:w w:val="93"/>
        </w:rPr>
        <w:t>ons</w:t>
      </w:r>
      <w:r>
        <w:rPr>
          <w:spacing w:val="-4"/>
        </w:rPr>
        <w:t> </w:t>
      </w:r>
      <w:r>
        <w:rPr>
          <w:spacing w:val="-1"/>
          <w:w w:val="109"/>
        </w:rPr>
        <w:t>d</w:t>
      </w:r>
      <w:r>
        <w:rPr>
          <w:w w:val="96"/>
        </w:rPr>
        <w:t>u</w:t>
      </w:r>
      <w:r>
        <w:rPr>
          <w:spacing w:val="-5"/>
        </w:rPr>
        <w:t> </w:t>
      </w:r>
      <w:r>
        <w:rPr>
          <w:spacing w:val="-1"/>
          <w:w w:val="112"/>
        </w:rPr>
        <w:t>G</w:t>
      </w:r>
      <w:r>
        <w:rPr>
          <w:w w:val="70"/>
        </w:rPr>
        <w:t>r</w:t>
      </w:r>
      <w:r>
        <w:rPr>
          <w:w w:val="101"/>
        </w:rPr>
        <w:t>ou</w:t>
      </w:r>
      <w:r>
        <w:rPr>
          <w:spacing w:val="-1"/>
          <w:w w:val="109"/>
        </w:rPr>
        <w:t>p</w:t>
      </w:r>
      <w:r>
        <w:rPr>
          <w:w w:val="109"/>
        </w:rPr>
        <w:t>e</w:t>
      </w:r>
      <w:r>
        <w:rPr>
          <w:spacing w:val="-6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s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95"/>
        </w:rPr>
        <w:t>o, </w:t>
      </w:r>
      <w:r>
        <w:rPr>
          <w:w w:val="95"/>
        </w:rPr>
        <w:t>et des déclarations concernant d’autres événements ou perspectives futurs. De par leur nature, les déclarations</w:t>
      </w:r>
      <w:r>
        <w:rPr>
          <w:spacing w:val="-58"/>
          <w:w w:val="95"/>
        </w:rPr>
        <w:t> </w:t>
      </w:r>
      <w:r>
        <w:rPr>
          <w:w w:val="95"/>
        </w:rPr>
        <w:t>prospectives impliquent des risques et des incertitudes car elles concernent des événements et dépendent de</w:t>
      </w:r>
      <w:r>
        <w:rPr>
          <w:spacing w:val="1"/>
          <w:w w:val="95"/>
        </w:rPr>
        <w:t> </w:t>
      </w:r>
      <w:r>
        <w:rPr>
          <w:spacing w:val="-1"/>
        </w:rPr>
        <w:t>circonstances</w:t>
      </w:r>
      <w:r>
        <w:rPr>
          <w:spacing w:val="-14"/>
        </w:rPr>
        <w:t> </w:t>
      </w:r>
      <w:r>
        <w:rPr>
          <w:spacing w:val="-1"/>
        </w:rPr>
        <w:t>susceptibles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survenir</w:t>
      </w:r>
      <w:r>
        <w:rPr>
          <w:spacing w:val="-13"/>
        </w:rPr>
        <w:t> </w:t>
      </w:r>
      <w:r>
        <w:rPr>
          <w:spacing w:val="-1"/>
        </w:rPr>
        <w:t>ou</w:t>
      </w:r>
      <w:r>
        <w:rPr>
          <w:spacing w:val="-14"/>
        </w:rPr>
        <w:t> </w:t>
      </w:r>
      <w:r>
        <w:rPr>
          <w:spacing w:val="-1"/>
        </w:rPr>
        <w:t>non</w:t>
      </w:r>
      <w:r>
        <w:rPr>
          <w:spacing w:val="-14"/>
        </w:rPr>
        <w:t> </w:t>
      </w:r>
      <w:r>
        <w:rPr>
          <w:spacing w:val="-1"/>
        </w:rPr>
        <w:t>à</w:t>
      </w:r>
      <w:r>
        <w:rPr>
          <w:spacing w:val="-13"/>
        </w:rPr>
        <w:t> </w:t>
      </w:r>
      <w:r>
        <w:rPr>
          <w:spacing w:val="-1"/>
        </w:rPr>
        <w:t>l'avenir.</w:t>
      </w:r>
      <w:r>
        <w:rPr>
          <w:spacing w:val="-14"/>
        </w:rPr>
        <w:t> </w:t>
      </w:r>
      <w:r>
        <w:rPr>
          <w:spacing w:val="-1"/>
        </w:rPr>
        <w:t>Les</w:t>
      </w:r>
      <w:r>
        <w:rPr>
          <w:spacing w:val="-14"/>
        </w:rPr>
        <w:t> </w:t>
      </w:r>
      <w:r>
        <w:rPr>
          <w:spacing w:val="-1"/>
        </w:rPr>
        <w:t>déclarations</w:t>
      </w:r>
      <w:r>
        <w:rPr>
          <w:spacing w:val="-14"/>
        </w:rPr>
        <w:t> </w:t>
      </w:r>
      <w:r>
        <w:rPr/>
        <w:t>prospectives</w:t>
      </w:r>
      <w:r>
        <w:rPr>
          <w:spacing w:val="-14"/>
        </w:rPr>
        <w:t> </w:t>
      </w:r>
      <w:r>
        <w:rPr/>
        <w:t>reflètent</w:t>
      </w:r>
      <w:r>
        <w:rPr>
          <w:spacing w:val="-14"/>
        </w:rPr>
        <w:t> </w:t>
      </w:r>
      <w:r>
        <w:rPr/>
        <w:t>les</w:t>
      </w:r>
      <w:r>
        <w:rPr>
          <w:spacing w:val="-13"/>
        </w:rPr>
        <w:t> </w:t>
      </w:r>
      <w:r>
        <w:rPr/>
        <w:t>attentes,</w:t>
      </w:r>
      <w:r>
        <w:rPr>
          <w:spacing w:val="-61"/>
        </w:rPr>
        <w:t> </w:t>
      </w:r>
      <w:r>
        <w:rPr/>
        <w:t>intentions ou prévisions actuelles du Groupe Casino concernant des événements futurs, fondées sur les</w:t>
      </w:r>
      <w:r>
        <w:rPr>
          <w:spacing w:val="1"/>
        </w:rPr>
        <w:t> </w:t>
      </w:r>
      <w:r>
        <w:rPr>
          <w:w w:val="95"/>
        </w:rPr>
        <w:t>informations</w:t>
      </w:r>
      <w:r>
        <w:rPr>
          <w:spacing w:val="-8"/>
          <w:w w:val="95"/>
        </w:rPr>
        <w:t> </w:t>
      </w:r>
      <w:r>
        <w:rPr>
          <w:w w:val="95"/>
        </w:rPr>
        <w:t>actuellement</w:t>
      </w:r>
      <w:r>
        <w:rPr>
          <w:spacing w:val="-10"/>
          <w:w w:val="95"/>
        </w:rPr>
        <w:t> </w:t>
      </w:r>
      <w:r>
        <w:rPr>
          <w:w w:val="95"/>
        </w:rPr>
        <w:t>disponibles</w:t>
      </w:r>
      <w:r>
        <w:rPr>
          <w:spacing w:val="-8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hypothèses</w:t>
      </w:r>
      <w:r>
        <w:rPr>
          <w:spacing w:val="-11"/>
          <w:w w:val="95"/>
        </w:rPr>
        <w:t> </w:t>
      </w:r>
      <w:r>
        <w:rPr>
          <w:w w:val="95"/>
        </w:rPr>
        <w:t>formulées</w:t>
      </w:r>
      <w:r>
        <w:rPr>
          <w:spacing w:val="-9"/>
          <w:w w:val="95"/>
        </w:rPr>
        <w:t> </w:t>
      </w:r>
      <w:r>
        <w:rPr>
          <w:w w:val="95"/>
        </w:rPr>
        <w:t>par</w:t>
      </w:r>
      <w:r>
        <w:rPr>
          <w:spacing w:val="-7"/>
          <w:w w:val="95"/>
        </w:rPr>
        <w:t> </w:t>
      </w:r>
      <w:r>
        <w:rPr>
          <w:w w:val="95"/>
        </w:rPr>
        <w:t>le</w:t>
      </w:r>
      <w:r>
        <w:rPr>
          <w:spacing w:val="-9"/>
          <w:w w:val="95"/>
        </w:rPr>
        <w:t> </w:t>
      </w:r>
      <w:r>
        <w:rPr>
          <w:w w:val="95"/>
        </w:rPr>
        <w:t>Groupe</w:t>
      </w:r>
      <w:r>
        <w:rPr>
          <w:spacing w:val="-7"/>
          <w:w w:val="95"/>
        </w:rPr>
        <w:t> </w:t>
      </w:r>
      <w:r>
        <w:rPr>
          <w:w w:val="95"/>
        </w:rPr>
        <w:t>Casino.</w:t>
      </w:r>
    </w:p>
    <w:p>
      <w:pPr>
        <w:pStyle w:val="BodyText"/>
        <w:spacing w:line="242" w:lineRule="auto" w:before="116"/>
        <w:ind w:left="112" w:right="112"/>
        <w:jc w:val="both"/>
      </w:pPr>
      <w:r>
        <w:rPr/>
        <w:t>Les déclarations prospectives et les informations contenues dans cette annonce sont faites à la date des</w:t>
      </w:r>
      <w:r>
        <w:rPr>
          <w:spacing w:val="1"/>
        </w:rPr>
        <w:t> </w:t>
      </w:r>
      <w:r>
        <w:rPr>
          <w:w w:val="95"/>
        </w:rPr>
        <w:t>présentes et le Groupe Casino n’assume aucune obligation de mettre à jour publiquement ou de réviser toute</w:t>
      </w:r>
      <w:r>
        <w:rPr>
          <w:spacing w:val="1"/>
          <w:w w:val="95"/>
        </w:rPr>
        <w:t> </w:t>
      </w:r>
      <w:r>
        <w:rPr>
          <w:w w:val="95"/>
        </w:rPr>
        <w:t>déclaration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-9"/>
          <w:w w:val="95"/>
        </w:rPr>
        <w:t> </w:t>
      </w:r>
      <w:r>
        <w:rPr>
          <w:w w:val="95"/>
        </w:rPr>
        <w:t>information</w:t>
      </w:r>
      <w:r>
        <w:rPr>
          <w:spacing w:val="-4"/>
          <w:w w:val="95"/>
        </w:rPr>
        <w:t> </w:t>
      </w:r>
      <w:r>
        <w:rPr>
          <w:w w:val="95"/>
        </w:rPr>
        <w:t>prospective,</w:t>
      </w:r>
      <w:r>
        <w:rPr>
          <w:spacing w:val="-6"/>
          <w:w w:val="95"/>
        </w:rPr>
        <w:t> </w:t>
      </w:r>
      <w:r>
        <w:rPr>
          <w:w w:val="95"/>
        </w:rPr>
        <w:t>que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4"/>
          <w:w w:val="95"/>
        </w:rPr>
        <w:t> </w:t>
      </w:r>
      <w:r>
        <w:rPr>
          <w:w w:val="95"/>
        </w:rPr>
        <w:t>soit</w:t>
      </w:r>
      <w:r>
        <w:rPr>
          <w:spacing w:val="-5"/>
          <w:w w:val="95"/>
        </w:rPr>
        <w:t> </w:t>
      </w:r>
      <w:r>
        <w:rPr>
          <w:w w:val="95"/>
        </w:rPr>
        <w:t>à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suite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nouvelles</w:t>
      </w:r>
      <w:r>
        <w:rPr>
          <w:spacing w:val="-8"/>
          <w:w w:val="95"/>
        </w:rPr>
        <w:t> </w:t>
      </w:r>
      <w:r>
        <w:rPr>
          <w:w w:val="95"/>
        </w:rPr>
        <w:t>informations,</w:t>
      </w:r>
      <w:r>
        <w:rPr>
          <w:spacing w:val="-7"/>
          <w:w w:val="95"/>
        </w:rPr>
        <w:t> </w:t>
      </w:r>
      <w:r>
        <w:rPr>
          <w:w w:val="95"/>
        </w:rPr>
        <w:t>d'événements</w:t>
      </w:r>
      <w:r>
        <w:rPr>
          <w:spacing w:val="-4"/>
          <w:w w:val="95"/>
        </w:rPr>
        <w:t> </w:t>
      </w:r>
      <w:r>
        <w:rPr>
          <w:w w:val="95"/>
        </w:rPr>
        <w:t>futurs</w:t>
      </w:r>
      <w:r>
        <w:rPr>
          <w:spacing w:val="-4"/>
          <w:w w:val="95"/>
        </w:rPr>
        <w:t> </w:t>
      </w:r>
      <w:r>
        <w:rPr>
          <w:w w:val="95"/>
        </w:rPr>
        <w:t>ou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toute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autre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manière,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sauf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si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requis</w:t>
      </w:r>
      <w:r>
        <w:rPr>
          <w:spacing w:val="-18"/>
          <w:w w:val="95"/>
        </w:rPr>
        <w:t> </w:t>
      </w:r>
      <w:r>
        <w:rPr>
          <w:w w:val="95"/>
        </w:rPr>
        <w:t>par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loi.</w:t>
      </w:r>
      <w:r>
        <w:rPr>
          <w:spacing w:val="-16"/>
          <w:w w:val="95"/>
        </w:rPr>
        <w:t> </w:t>
      </w:r>
      <w:r>
        <w:rPr>
          <w:w w:val="95"/>
        </w:rPr>
        <w:t>Toutes</w:t>
      </w:r>
      <w:r>
        <w:rPr>
          <w:spacing w:val="-15"/>
          <w:w w:val="95"/>
        </w:rPr>
        <w:t> </w:t>
      </w:r>
      <w:r>
        <w:rPr>
          <w:w w:val="95"/>
        </w:rPr>
        <w:t>les</w:t>
      </w:r>
      <w:r>
        <w:rPr>
          <w:spacing w:val="-18"/>
          <w:w w:val="95"/>
        </w:rPr>
        <w:t> </w:t>
      </w:r>
      <w:r>
        <w:rPr>
          <w:w w:val="95"/>
        </w:rPr>
        <w:t>déclarations</w:t>
      </w:r>
      <w:r>
        <w:rPr>
          <w:spacing w:val="-18"/>
          <w:w w:val="95"/>
        </w:rPr>
        <w:t> </w:t>
      </w:r>
      <w:r>
        <w:rPr>
          <w:w w:val="95"/>
        </w:rPr>
        <w:t>prospectives</w:t>
      </w:r>
      <w:r>
        <w:rPr>
          <w:spacing w:val="-17"/>
          <w:w w:val="95"/>
        </w:rPr>
        <w:t> </w:t>
      </w:r>
      <w:r>
        <w:rPr>
          <w:w w:val="95"/>
        </w:rPr>
        <w:t>ultérieures,</w:t>
      </w:r>
      <w:r>
        <w:rPr>
          <w:spacing w:val="-17"/>
          <w:w w:val="95"/>
        </w:rPr>
        <w:t> </w:t>
      </w:r>
      <w:r>
        <w:rPr>
          <w:w w:val="95"/>
        </w:rPr>
        <w:t>écrites</w:t>
      </w:r>
      <w:r>
        <w:rPr>
          <w:spacing w:val="-18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orales,</w:t>
      </w:r>
      <w:r>
        <w:rPr>
          <w:spacing w:val="1"/>
          <w:w w:val="95"/>
        </w:rPr>
        <w:t> </w:t>
      </w:r>
      <w:r>
        <w:rPr>
          <w:w w:val="95"/>
        </w:rPr>
        <w:t>attribuables au Groupe Casino ou à des personnes agissant au nom du Groupe Casino, y compris, mais sans s'y</w:t>
      </w:r>
      <w:r>
        <w:rPr>
          <w:spacing w:val="-59"/>
          <w:w w:val="95"/>
        </w:rPr>
        <w:t> </w:t>
      </w:r>
      <w:r>
        <w:rPr/>
        <w:t>limiter, les communiqués de presse (y compris sur le site web du Groupe Casino), les rapports et autres</w:t>
      </w:r>
      <w:r>
        <w:rPr>
          <w:spacing w:val="1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sont</w:t>
      </w:r>
      <w:r>
        <w:rPr>
          <w:spacing w:val="-5"/>
        </w:rPr>
        <w:t> </w:t>
      </w:r>
      <w:r>
        <w:rPr/>
        <w:t>expressément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intégralement</w:t>
      </w:r>
      <w:r>
        <w:rPr>
          <w:spacing w:val="-3"/>
        </w:rPr>
        <w:t> </w:t>
      </w:r>
      <w:r>
        <w:rPr/>
        <w:t>couvertes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mises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garde</w:t>
      </w:r>
      <w:r>
        <w:rPr>
          <w:spacing w:val="-3"/>
        </w:rPr>
        <w:t> </w:t>
      </w:r>
      <w:r>
        <w:rPr/>
        <w:t>contenues</w:t>
      </w:r>
      <w:r>
        <w:rPr>
          <w:spacing w:val="-5"/>
        </w:rPr>
        <w:t> </w:t>
      </w:r>
      <w:r>
        <w:rPr/>
        <w:t>dans</w:t>
      </w:r>
      <w:r>
        <w:rPr>
          <w:spacing w:val="-4"/>
        </w:rPr>
        <w:t> </w:t>
      </w:r>
      <w:r>
        <w:rPr/>
        <w:t>le</w:t>
      </w:r>
      <w:r>
        <w:rPr>
          <w:spacing w:val="-61"/>
        </w:rPr>
        <w:t> </w:t>
      </w:r>
      <w:r>
        <w:rPr/>
        <w:t>présent</w:t>
      </w:r>
      <w:r>
        <w:rPr>
          <w:spacing w:val="-16"/>
        </w:rPr>
        <w:t> </w:t>
      </w:r>
      <w:r>
        <w:rPr/>
        <w:t>communiqué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presse.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Mardi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16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mai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2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5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1020" w:right="102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</w:rPr>
      </w:pPr>
    </w:p>
    <w:p>
      <w:pPr>
        <w:spacing w:before="92"/>
        <w:ind w:left="2309" w:right="231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</w:t>
      </w:r>
      <w:r>
        <w:rPr>
          <w:rFonts w:ascii="Arial"/>
          <w:b/>
          <w:color w:val="6460A9"/>
          <w:spacing w:val="2"/>
          <w:sz w:val="24"/>
        </w:rPr>
        <w:t> </w:t>
      </w:r>
      <w:r>
        <w:rPr>
          <w:rFonts w:ascii="Arial"/>
          <w:b/>
          <w:color w:val="6460A9"/>
          <w:sz w:val="24"/>
        </w:rPr>
        <w:t>ANALYSTES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before="46"/>
        <w:ind w:left="2710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4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6"/>
          <w:w w:val="85"/>
          <w:sz w:val="20"/>
        </w:rPr>
        <w:t> </w:t>
      </w:r>
      <w:hyperlink r:id="rId7">
        <w:r>
          <w:rPr>
            <w:sz w:val="20"/>
            <w:u w:val="single"/>
          </w:rPr>
          <w:t>cwelton.exterieur@groupe-casino.fr</w:t>
        </w:r>
      </w:hyperlink>
    </w:p>
    <w:p>
      <w:pPr>
        <w:pStyle w:val="Heading2"/>
        <w:spacing w:before="4"/>
      </w:pPr>
      <w:r>
        <w:rPr/>
        <w:t>ou</w:t>
      </w:r>
    </w:p>
    <w:p>
      <w:pPr>
        <w:spacing w:before="41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1626" w:right="1629" w:firstLine="0"/>
        <w:jc w:val="center"/>
        <w:rPr>
          <w:sz w:val="20"/>
        </w:rPr>
      </w:pPr>
      <w:r>
        <w:rPr/>
        <w:pict>
          <v:rect style="position:absolute;margin-left:229.970001pt;margin-top:12.913689pt;width:135.26pt;height:.60001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hyperlink r:id="rId8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spacing w:before="9"/>
        <w:ind w:left="2309" w:right="2313"/>
      </w:pPr>
      <w:r>
        <w:rPr>
          <w:spacing w:val="-1"/>
        </w:rPr>
        <w:t>Groupe</w:t>
      </w:r>
      <w:r>
        <w:rPr>
          <w:spacing w:val="-14"/>
        </w:rPr>
        <w:t> </w:t>
      </w:r>
      <w:r>
        <w:rPr>
          <w:spacing w:val="-1"/>
        </w:rPr>
        <w:t>Casino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3"/>
        </w:rPr>
        <w:t> </w:t>
      </w:r>
      <w:r>
        <w:rPr>
          <w:spacing w:val="-1"/>
        </w:rPr>
        <w:t>Direction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Communication</w:t>
      </w:r>
    </w:p>
    <w:p>
      <w:pPr>
        <w:spacing w:before="2"/>
        <w:ind w:left="1626" w:right="162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9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pStyle w:val="Heading2"/>
      </w:pPr>
      <w:r>
        <w:rPr/>
        <w:t>ou</w:t>
      </w:r>
    </w:p>
    <w:p>
      <w:pPr>
        <w:spacing w:before="2"/>
        <w:ind w:left="1626" w:right="162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10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01"/>
        <w:ind w:right="1628"/>
      </w:pPr>
      <w:r>
        <w:rPr/>
        <w:t>Agence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spacing w:before="2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626" w:right="1628" w:firstLine="0"/>
        <w:jc w:val="center"/>
        <w:rPr>
          <w:sz w:val="20"/>
        </w:rPr>
      </w:pPr>
      <w:r>
        <w:rPr/>
        <w:pict>
          <v:rect style="position:absolute;margin-left:355.390015pt;margin-top:11.113702pt;width:91.944pt;height:.600010pt;mso-position-horizontal-relative:page;mso-position-vertical-relative:paragraph;z-index:15730688" filled="true" fillcolor="#0000ff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Mardi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16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mai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2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5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2</w:t>
      </w:r>
    </w:p>
    <w:sectPr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626" w:right="161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626" w:right="1627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600" w:right="605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sino@is.kroll.com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2023-12-07T10:09:08Z</dcterms:created>
  <dcterms:modified xsi:type="dcterms:W3CDTF">2023-12-07T10:09:08Z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2023-12-07T00:00:00Z</vt:filetime>
  </property>
</Properties>
</file>