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23328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7.400002pt;margin-top:65.599983pt;width:518.25pt;height:598.4pt;mso-position-horizontal-relative:page;mso-position-vertical-relative:page;z-index:-15792640" filled="false" stroked="true" strokeweight="2.0pt" strokecolor="#6460a9">
            <v:stroke dashstyle="solid"/>
            <w10:wrap type="none"/>
          </v:rect>
        </w:pict>
      </w:r>
    </w:p>
    <w:p>
      <w:pPr>
        <w:pStyle w:val="Title"/>
      </w:pPr>
      <w:r>
        <w:rPr>
          <w:color w:val="6460A9"/>
        </w:rPr>
        <w:t>Ouverture</w:t>
      </w:r>
      <w:r>
        <w:rPr>
          <w:color w:val="6460A9"/>
          <w:spacing w:val="-4"/>
        </w:rPr>
        <w:t> </w:t>
      </w:r>
      <w:r>
        <w:rPr>
          <w:color w:val="6460A9"/>
        </w:rPr>
        <w:t>d’une</w:t>
      </w:r>
      <w:r>
        <w:rPr>
          <w:color w:val="6460A9"/>
          <w:spacing w:val="-3"/>
        </w:rPr>
        <w:t> </w:t>
      </w:r>
      <w:r>
        <w:rPr>
          <w:color w:val="6460A9"/>
        </w:rPr>
        <w:t>procédure</w:t>
      </w:r>
      <w:r>
        <w:rPr>
          <w:color w:val="6460A9"/>
          <w:spacing w:val="-3"/>
        </w:rPr>
        <w:t> </w:t>
      </w:r>
      <w:r>
        <w:rPr>
          <w:color w:val="6460A9"/>
        </w:rPr>
        <w:t>de</w:t>
      </w:r>
      <w:r>
        <w:rPr>
          <w:color w:val="6460A9"/>
          <w:spacing w:val="-5"/>
        </w:rPr>
        <w:t> </w:t>
      </w:r>
      <w:r>
        <w:rPr>
          <w:color w:val="6460A9"/>
        </w:rPr>
        <w:t>conciliation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39"/>
        </w:rPr>
      </w:pPr>
    </w:p>
    <w:p>
      <w:pPr>
        <w:pStyle w:val="BodyText"/>
        <w:ind w:left="112"/>
        <w:jc w:val="both"/>
      </w:pPr>
      <w:r>
        <w:rPr>
          <w:w w:val="90"/>
        </w:rPr>
        <w:t>Paris,</w:t>
      </w:r>
      <w:r>
        <w:rPr>
          <w:spacing w:val="-10"/>
          <w:w w:val="90"/>
        </w:rPr>
        <w:t> </w:t>
      </w:r>
      <w:r>
        <w:rPr>
          <w:w w:val="90"/>
        </w:rPr>
        <w:t>le</w:t>
      </w:r>
      <w:r>
        <w:rPr>
          <w:spacing w:val="-8"/>
          <w:w w:val="90"/>
        </w:rPr>
        <w:t> </w:t>
      </w:r>
      <w:r>
        <w:rPr>
          <w:w w:val="90"/>
        </w:rPr>
        <w:t>26</w:t>
      </w:r>
      <w:r>
        <w:rPr>
          <w:spacing w:val="-9"/>
          <w:w w:val="90"/>
        </w:rPr>
        <w:t> </w:t>
      </w:r>
      <w:r>
        <w:rPr>
          <w:w w:val="90"/>
        </w:rPr>
        <w:t>mai</w:t>
      </w:r>
      <w:r>
        <w:rPr>
          <w:spacing w:val="-7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8" w:lineRule="auto"/>
        <w:ind w:left="112" w:right="110"/>
        <w:jc w:val="both"/>
      </w:pPr>
      <w:r>
        <w:rPr/>
        <w:t>Dans le prolongement de ses communiqués du 24 avril 2023, le groupe Casino a reçu</w:t>
      </w:r>
      <w:r>
        <w:rPr>
          <w:spacing w:val="1"/>
        </w:rPr>
        <w:t> </w:t>
      </w:r>
      <w:r>
        <w:rPr>
          <w:w w:val="95"/>
        </w:rPr>
        <w:t>l’accord de ses créanciers bancaires au titre du </w:t>
      </w:r>
      <w:r>
        <w:rPr>
          <w:i/>
          <w:w w:val="95"/>
        </w:rPr>
        <w:t>Term Loan B </w:t>
      </w:r>
      <w:r>
        <w:rPr>
          <w:w w:val="95"/>
        </w:rPr>
        <w:t>et de son crédit syndiqué RCF</w:t>
      </w:r>
      <w:r>
        <w:rPr>
          <w:spacing w:val="1"/>
          <w:w w:val="95"/>
        </w:rPr>
        <w:t> </w:t>
      </w:r>
      <w:r>
        <w:rPr>
          <w:w w:val="95"/>
        </w:rPr>
        <w:t>ainsi que de ses créanciers obligataires au titre des obligations Quatrim</w:t>
      </w:r>
      <w:hyperlink w:history="true" w:anchor="_bookmark0">
        <w:r>
          <w:rPr>
            <w:w w:val="95"/>
            <w:position w:val="6"/>
            <w:sz w:val="14"/>
          </w:rPr>
          <w:t>1 </w:t>
        </w:r>
      </w:hyperlink>
      <w:r>
        <w:rPr>
          <w:w w:val="95"/>
        </w:rPr>
        <w:t>et des obligations</w:t>
      </w:r>
      <w:r>
        <w:rPr>
          <w:spacing w:val="1"/>
          <w:w w:val="95"/>
        </w:rPr>
        <w:t> </w:t>
      </w:r>
      <w:r>
        <w:rPr/>
        <w:t>non</w:t>
      </w:r>
      <w:r>
        <w:rPr>
          <w:spacing w:val="-5"/>
        </w:rPr>
        <w:t> </w:t>
      </w:r>
      <w:r>
        <w:rPr/>
        <w:t>sécurisées</w:t>
      </w:r>
      <w:r>
        <w:rPr>
          <w:spacing w:val="-4"/>
        </w:rPr>
        <w:t> </w:t>
      </w:r>
      <w:r>
        <w:rPr/>
        <w:t>émises</w:t>
      </w:r>
      <w:r>
        <w:rPr>
          <w:spacing w:val="-5"/>
        </w:rPr>
        <w:t> </w:t>
      </w:r>
      <w:r>
        <w:rPr/>
        <w:t>par</w:t>
      </w:r>
      <w:r>
        <w:rPr>
          <w:spacing w:val="-4"/>
        </w:rPr>
        <w:t> </w:t>
      </w:r>
      <w:r>
        <w:rPr/>
        <w:t>Casino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soumises</w:t>
      </w:r>
      <w:r>
        <w:rPr>
          <w:spacing w:val="-3"/>
        </w:rPr>
        <w:t> </w:t>
      </w:r>
      <w:r>
        <w:rPr/>
        <w:t>au</w:t>
      </w:r>
      <w:r>
        <w:rPr>
          <w:spacing w:val="-5"/>
        </w:rPr>
        <w:t> </w:t>
      </w:r>
      <w:r>
        <w:rPr/>
        <w:t>droit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l’état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New-York</w:t>
      </w:r>
      <w:r>
        <w:rPr>
          <w:spacing w:val="-4"/>
        </w:rPr>
        <w:t> </w:t>
      </w:r>
      <w:r>
        <w:rPr/>
        <w:t>(venant</w:t>
      </w:r>
      <w:r>
        <w:rPr>
          <w:spacing w:val="-6"/>
        </w:rPr>
        <w:t> </w:t>
      </w:r>
      <w:r>
        <w:rPr/>
        <w:t>à</w:t>
      </w:r>
      <w:r>
        <w:rPr>
          <w:spacing w:val="-75"/>
        </w:rPr>
        <w:t> </w:t>
      </w:r>
      <w:r>
        <w:rPr>
          <w:spacing w:val="-1"/>
          <w:w w:val="96"/>
        </w:rPr>
        <w:t>m</w:t>
      </w:r>
      <w:r>
        <w:rPr>
          <w:w w:val="114"/>
        </w:rPr>
        <w:t>a</w:t>
      </w:r>
      <w:r>
        <w:rPr>
          <w:spacing w:val="-1"/>
          <w:w w:val="92"/>
        </w:rPr>
        <w:t>t</w:t>
      </w:r>
      <w:r>
        <w:rPr>
          <w:w w:val="92"/>
        </w:rPr>
        <w:t>u</w:t>
      </w:r>
      <w:r>
        <w:rPr>
          <w:spacing w:val="-2"/>
          <w:w w:val="70"/>
        </w:rPr>
        <w:t>r</w:t>
      </w:r>
      <w:r>
        <w:rPr>
          <w:spacing w:val="1"/>
          <w:w w:val="73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é</w:t>
      </w:r>
      <w:r>
        <w:rPr>
          <w:spacing w:val="-8"/>
        </w:rPr>
        <w:t> </w:t>
      </w:r>
      <w:r>
        <w:rPr>
          <w:spacing w:val="-2"/>
          <w:w w:val="102"/>
        </w:rPr>
        <w:t>e</w:t>
      </w:r>
      <w:r>
        <w:rPr>
          <w:w w:val="102"/>
        </w:rPr>
        <w:t>n</w:t>
      </w:r>
      <w:r>
        <w:rPr>
          <w:spacing w:val="-8"/>
        </w:rPr>
        <w:t> </w:t>
      </w:r>
      <w:r>
        <w:rPr>
          <w:spacing w:val="-1"/>
          <w:w w:val="87"/>
        </w:rPr>
        <w:t>202</w:t>
      </w:r>
      <w:r>
        <w:rPr>
          <w:w w:val="87"/>
        </w:rPr>
        <w:t>6</w:t>
      </w:r>
      <w:r>
        <w:rPr>
          <w:spacing w:val="-8"/>
        </w:rPr>
        <w:t> </w:t>
      </w:r>
      <w:r>
        <w:rPr>
          <w:spacing w:val="-4"/>
          <w:w w:val="77"/>
        </w:rPr>
        <w:t>[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10"/>
        </w:rPr>
        <w:t>d</w:t>
      </w:r>
      <w:r>
        <w:rPr>
          <w:w w:val="109"/>
        </w:rPr>
        <w:t>e</w:t>
      </w:r>
      <w:r>
        <w:rPr>
          <w:w w:val="61"/>
        </w:rPr>
        <w:t>:</w:t>
      </w:r>
      <w:r>
        <w:rPr>
          <w:spacing w:val="-9"/>
        </w:rPr>
        <w:t> </w:t>
      </w:r>
      <w:r>
        <w:rPr>
          <w:w w:val="81"/>
        </w:rPr>
        <w:t>XS</w:t>
      </w:r>
      <w:r>
        <w:rPr>
          <w:spacing w:val="-1"/>
          <w:w w:val="87"/>
        </w:rPr>
        <w:t>227</w:t>
      </w:r>
      <w:r>
        <w:rPr>
          <w:spacing w:val="-3"/>
          <w:w w:val="87"/>
        </w:rPr>
        <w:t>6</w:t>
      </w:r>
      <w:r>
        <w:rPr>
          <w:spacing w:val="-1"/>
          <w:w w:val="87"/>
        </w:rPr>
        <w:t>59653</w:t>
      </w:r>
      <w:r>
        <w:rPr>
          <w:spacing w:val="-2"/>
          <w:w w:val="87"/>
        </w:rPr>
        <w:t>8</w:t>
      </w:r>
      <w:r>
        <w:rPr>
          <w:w w:val="77"/>
        </w:rPr>
        <w:t>]</w:t>
      </w:r>
      <w:r>
        <w:rPr>
          <w:spacing w:val="-9"/>
        </w:rPr>
        <w:t> </w:t>
      </w:r>
      <w:r>
        <w:rPr>
          <w:w w:val="109"/>
        </w:rPr>
        <w:t>e</w:t>
      </w:r>
      <w:r>
        <w:rPr>
          <w:w w:val="86"/>
        </w:rPr>
        <w:t>t</w:t>
      </w:r>
      <w:r>
        <w:rPr>
          <w:spacing w:val="-9"/>
        </w:rPr>
        <w:t> </w:t>
      </w:r>
      <w:r>
        <w:rPr>
          <w:w w:val="109"/>
        </w:rPr>
        <w:t>e</w:t>
      </w:r>
      <w:r>
        <w:rPr>
          <w:w w:val="96"/>
        </w:rPr>
        <w:t>n</w:t>
      </w:r>
      <w:r>
        <w:rPr>
          <w:spacing w:val="-11"/>
        </w:rPr>
        <w:t> </w:t>
      </w:r>
      <w:r>
        <w:rPr>
          <w:spacing w:val="-1"/>
          <w:w w:val="87"/>
        </w:rPr>
        <w:t>202</w:t>
      </w:r>
      <w:r>
        <w:rPr>
          <w:w w:val="87"/>
        </w:rPr>
        <w:t>7</w:t>
      </w:r>
      <w:r>
        <w:rPr>
          <w:spacing w:val="-8"/>
        </w:rPr>
        <w:t> </w:t>
      </w:r>
      <w:r>
        <w:rPr>
          <w:spacing w:val="-1"/>
          <w:w w:val="77"/>
        </w:rPr>
        <w:t>[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10"/>
        </w:rPr>
        <w:t>d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w w:val="61"/>
        </w:rPr>
        <w:t>:</w:t>
      </w:r>
      <w:r>
        <w:rPr>
          <w:spacing w:val="-9"/>
        </w:rPr>
        <w:t> </w:t>
      </w:r>
      <w:r>
        <w:rPr>
          <w:w w:val="81"/>
        </w:rPr>
        <w:t>XS</w:t>
      </w:r>
      <w:r>
        <w:rPr>
          <w:spacing w:val="-1"/>
          <w:w w:val="87"/>
        </w:rPr>
        <w:t>2</w:t>
      </w:r>
      <w:r>
        <w:rPr>
          <w:spacing w:val="-3"/>
          <w:w w:val="87"/>
        </w:rPr>
        <w:t>3</w:t>
      </w:r>
      <w:r>
        <w:rPr>
          <w:spacing w:val="-1"/>
          <w:w w:val="87"/>
        </w:rPr>
        <w:t>28</w:t>
      </w:r>
      <w:r>
        <w:rPr>
          <w:spacing w:val="-3"/>
          <w:w w:val="87"/>
        </w:rPr>
        <w:t>4</w:t>
      </w:r>
      <w:r>
        <w:rPr>
          <w:spacing w:val="-1"/>
          <w:w w:val="87"/>
        </w:rPr>
        <w:t>2644</w:t>
      </w:r>
      <w:r>
        <w:rPr>
          <w:spacing w:val="-2"/>
          <w:w w:val="87"/>
        </w:rPr>
        <w:t>5</w:t>
      </w:r>
      <w:r>
        <w:rPr>
          <w:spacing w:val="1"/>
          <w:w w:val="77"/>
        </w:rPr>
        <w:t>]</w:t>
      </w:r>
      <w:r>
        <w:rPr>
          <w:w w:val="81"/>
        </w:rPr>
        <w:t>)</w:t>
      </w:r>
      <w:r>
        <w:rPr>
          <w:spacing w:val="-11"/>
        </w:rPr>
        <w:t> </w:t>
      </w:r>
      <w:r>
        <w:rPr>
          <w:w w:val="105"/>
        </w:rPr>
        <w:t>af</w:t>
      </w:r>
      <w:r>
        <w:rPr>
          <w:spacing w:val="1"/>
          <w:w w:val="73"/>
        </w:rPr>
        <w:t>i</w:t>
      </w:r>
      <w:r>
        <w:rPr>
          <w:w w:val="96"/>
        </w:rPr>
        <w:t>n</w:t>
      </w:r>
      <w:r>
        <w:rPr>
          <w:spacing w:val="-9"/>
        </w:rPr>
        <w:t> </w:t>
      </w:r>
      <w:r>
        <w:rPr>
          <w:spacing w:val="-3"/>
          <w:w w:val="110"/>
        </w:rPr>
        <w:t>d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w w:val="109"/>
        </w:rPr>
        <w:t>p</w:t>
      </w:r>
      <w:r>
        <w:rPr>
          <w:spacing w:val="-3"/>
          <w:w w:val="108"/>
        </w:rPr>
        <w:t>o</w:t>
      </w:r>
      <w:r>
        <w:rPr>
          <w:spacing w:val="-3"/>
          <w:w w:val="96"/>
        </w:rPr>
        <w:t>u</w:t>
      </w:r>
      <w:r>
        <w:rPr>
          <w:spacing w:val="2"/>
          <w:w w:val="93"/>
        </w:rPr>
        <w:t>v</w:t>
      </w:r>
      <w:r>
        <w:rPr>
          <w:spacing w:val="-1"/>
          <w:w w:val="108"/>
        </w:rPr>
        <w:t>o</w:t>
      </w:r>
      <w:r>
        <w:rPr>
          <w:spacing w:val="-2"/>
          <w:w w:val="73"/>
        </w:rPr>
        <w:t>i</w:t>
      </w:r>
      <w:r>
        <w:rPr>
          <w:w w:val="70"/>
        </w:rPr>
        <w:t>r </w:t>
      </w:r>
      <w:r>
        <w:rPr/>
        <w:t>demander la nomination de conciliateurs sans que cette démarche ne puisse être</w:t>
      </w:r>
      <w:r>
        <w:rPr>
          <w:spacing w:val="1"/>
        </w:rPr>
        <w:t> </w:t>
      </w:r>
      <w:r>
        <w:rPr/>
        <w:t>considérée</w:t>
      </w:r>
      <w:r>
        <w:rPr>
          <w:spacing w:val="-16"/>
        </w:rPr>
        <w:t> </w:t>
      </w:r>
      <w:r>
        <w:rPr/>
        <w:t>comme</w:t>
      </w:r>
      <w:r>
        <w:rPr>
          <w:spacing w:val="-16"/>
        </w:rPr>
        <w:t> </w:t>
      </w:r>
      <w:r>
        <w:rPr/>
        <w:t>un</w:t>
      </w:r>
      <w:r>
        <w:rPr>
          <w:spacing w:val="-19"/>
        </w:rPr>
        <w:t> </w:t>
      </w:r>
      <w:r>
        <w:rPr/>
        <w:t>défaut</w:t>
      </w:r>
      <w:r>
        <w:rPr>
          <w:spacing w:val="-17"/>
        </w:rPr>
        <w:t> </w:t>
      </w:r>
      <w:r>
        <w:rPr/>
        <w:t>ou</w:t>
      </w:r>
      <w:r>
        <w:rPr>
          <w:spacing w:val="-17"/>
        </w:rPr>
        <w:t> </w:t>
      </w:r>
      <w:r>
        <w:rPr/>
        <w:t>un</w:t>
      </w:r>
      <w:r>
        <w:rPr>
          <w:spacing w:val="-17"/>
        </w:rPr>
        <w:t> </w:t>
      </w:r>
      <w:r>
        <w:rPr/>
        <w:t>cas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défaut.</w:t>
      </w:r>
    </w:p>
    <w:p>
      <w:pPr>
        <w:pStyle w:val="BodyText"/>
        <w:spacing w:line="278" w:lineRule="auto" w:before="121"/>
        <w:ind w:left="112" w:right="111"/>
        <w:jc w:val="both"/>
      </w:pPr>
      <w:r>
        <w:rPr/>
        <w:t>Dans</w:t>
      </w:r>
      <w:r>
        <w:rPr>
          <w:spacing w:val="-13"/>
        </w:rPr>
        <w:t> </w:t>
      </w:r>
      <w:r>
        <w:rPr/>
        <w:t>ce</w:t>
      </w:r>
      <w:r>
        <w:rPr>
          <w:spacing w:val="-12"/>
        </w:rPr>
        <w:t> </w:t>
      </w:r>
      <w:r>
        <w:rPr/>
        <w:t>contexte,</w:t>
      </w:r>
      <w:r>
        <w:rPr>
          <w:spacing w:val="-14"/>
        </w:rPr>
        <w:t> </w:t>
      </w:r>
      <w:r>
        <w:rPr/>
        <w:t>le</w:t>
      </w:r>
      <w:r>
        <w:rPr>
          <w:spacing w:val="-12"/>
        </w:rPr>
        <w:t> </w:t>
      </w:r>
      <w:r>
        <w:rPr/>
        <w:t>Président</w:t>
      </w:r>
      <w:r>
        <w:rPr>
          <w:spacing w:val="-14"/>
        </w:rPr>
        <w:t> </w:t>
      </w:r>
      <w:r>
        <w:rPr/>
        <w:t>du</w:t>
      </w:r>
      <w:r>
        <w:rPr>
          <w:spacing w:val="-13"/>
        </w:rPr>
        <w:t> </w:t>
      </w:r>
      <w:r>
        <w:rPr/>
        <w:t>Tribunal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Commerce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Paris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décidé</w:t>
      </w:r>
      <w:r>
        <w:rPr>
          <w:spacing w:val="-12"/>
        </w:rPr>
        <w:t> </w:t>
      </w:r>
      <w:r>
        <w:rPr/>
        <w:t>d’ouvrir</w:t>
      </w:r>
      <w:r>
        <w:rPr>
          <w:spacing w:val="-14"/>
        </w:rPr>
        <w:t> </w:t>
      </w:r>
      <w:r>
        <w:rPr/>
        <w:t>le</w:t>
      </w:r>
      <w:r>
        <w:rPr>
          <w:spacing w:val="-13"/>
        </w:rPr>
        <w:t> </w:t>
      </w:r>
      <w:r>
        <w:rPr/>
        <w:t>25</w:t>
      </w:r>
      <w:r>
        <w:rPr>
          <w:spacing w:val="-75"/>
        </w:rPr>
        <w:t> </w:t>
      </w:r>
      <w:r>
        <w:rPr/>
        <w:t>mai 2023 une procédure de conciliation au bénéfice de la société Casino Guichard-</w:t>
      </w:r>
      <w:r>
        <w:rPr>
          <w:spacing w:val="1"/>
        </w:rPr>
        <w:t> </w:t>
      </w:r>
      <w:r>
        <w:rPr/>
        <w:t>Perrachon SA et de certaines de ses filiales</w:t>
      </w:r>
      <w:hyperlink w:history="true" w:anchor="_bookmark1">
        <w:r>
          <w:rPr>
            <w:position w:val="6"/>
            <w:sz w:val="14"/>
          </w:rPr>
          <w:t>2</w:t>
        </w:r>
      </w:hyperlink>
      <w:r>
        <w:rPr/>
        <w:t>, pour une durée initiale de quatre mois,</w:t>
      </w:r>
      <w:r>
        <w:rPr>
          <w:spacing w:val="1"/>
        </w:rPr>
        <w:t> </w:t>
      </w:r>
      <w:r>
        <w:rPr/>
        <w:t>éventuellement prorogeable d’un mois, et a désigné Thévenot Partners (Maître Aurélia</w:t>
      </w:r>
      <w:r>
        <w:rPr>
          <w:spacing w:val="-75"/>
        </w:rPr>
        <w:t> </w:t>
      </w:r>
      <w:r>
        <w:rPr>
          <w:w w:val="95"/>
        </w:rPr>
        <w:t>Perdereau)</w:t>
      </w:r>
      <w:r>
        <w:rPr>
          <w:spacing w:val="-12"/>
          <w:w w:val="95"/>
        </w:rPr>
        <w:t> </w:t>
      </w:r>
      <w:r>
        <w:rPr>
          <w:w w:val="95"/>
        </w:rPr>
        <w:t>et</w:t>
      </w:r>
      <w:r>
        <w:rPr>
          <w:spacing w:val="-9"/>
          <w:w w:val="95"/>
        </w:rPr>
        <w:t> </w:t>
      </w:r>
      <w:r>
        <w:rPr>
          <w:w w:val="95"/>
        </w:rPr>
        <w:t>BTSG</w:t>
      </w:r>
      <w:r>
        <w:rPr>
          <w:spacing w:val="-7"/>
          <w:w w:val="95"/>
        </w:rPr>
        <w:t> </w:t>
      </w:r>
      <w:r>
        <w:rPr>
          <w:w w:val="95"/>
        </w:rPr>
        <w:t>(Maître</w:t>
      </w:r>
      <w:r>
        <w:rPr>
          <w:spacing w:val="-8"/>
          <w:w w:val="95"/>
        </w:rPr>
        <w:t> </w:t>
      </w:r>
      <w:r>
        <w:rPr>
          <w:w w:val="95"/>
        </w:rPr>
        <w:t>Marc</w:t>
      </w:r>
      <w:r>
        <w:rPr>
          <w:spacing w:val="-8"/>
          <w:w w:val="95"/>
        </w:rPr>
        <w:t> </w:t>
      </w:r>
      <w:r>
        <w:rPr>
          <w:w w:val="95"/>
        </w:rPr>
        <w:t>Sénéchal)</w:t>
      </w:r>
      <w:r>
        <w:rPr>
          <w:spacing w:val="-12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qualité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conciliateurs.</w:t>
      </w:r>
    </w:p>
    <w:p>
      <w:pPr>
        <w:pStyle w:val="BodyText"/>
        <w:spacing w:line="278" w:lineRule="auto" w:before="119"/>
        <w:ind w:left="112" w:right="110"/>
        <w:jc w:val="both"/>
      </w:pPr>
      <w:r>
        <w:rPr/>
        <w:t>Cette</w:t>
      </w:r>
      <w:r>
        <w:rPr>
          <w:spacing w:val="-29"/>
        </w:rPr>
        <w:t> </w:t>
      </w:r>
      <w:r>
        <w:rPr/>
        <w:t>procédure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pour</w:t>
      </w:r>
      <w:r>
        <w:rPr>
          <w:spacing w:val="-28"/>
        </w:rPr>
        <w:t> </w:t>
      </w:r>
      <w:r>
        <w:rPr/>
        <w:t>objectif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permettre</w:t>
      </w:r>
      <w:r>
        <w:rPr>
          <w:spacing w:val="-28"/>
        </w:rPr>
        <w:t> </w:t>
      </w:r>
      <w:r>
        <w:rPr/>
        <w:t>au</w:t>
      </w:r>
      <w:r>
        <w:rPr>
          <w:spacing w:val="-30"/>
        </w:rPr>
        <w:t> </w:t>
      </w:r>
      <w:r>
        <w:rPr/>
        <w:t>groupe</w:t>
      </w:r>
      <w:r>
        <w:rPr>
          <w:spacing w:val="-29"/>
        </w:rPr>
        <w:t> </w:t>
      </w:r>
      <w:r>
        <w:rPr/>
        <w:t>Casino</w:t>
      </w:r>
      <w:r>
        <w:rPr>
          <w:spacing w:val="-30"/>
        </w:rPr>
        <w:t> </w:t>
      </w:r>
      <w:r>
        <w:rPr/>
        <w:t>d’engager</w:t>
      </w:r>
      <w:r>
        <w:rPr>
          <w:spacing w:val="-28"/>
        </w:rPr>
        <w:t> </w:t>
      </w:r>
      <w:r>
        <w:rPr/>
        <w:t>des</w:t>
      </w:r>
      <w:r>
        <w:rPr>
          <w:spacing w:val="-29"/>
        </w:rPr>
        <w:t> </w:t>
      </w:r>
      <w:r>
        <w:rPr/>
        <w:t>discussions</w:t>
      </w:r>
      <w:r>
        <w:rPr>
          <w:spacing w:val="-75"/>
        </w:rPr>
        <w:t> </w:t>
      </w:r>
      <w:r>
        <w:rPr/>
        <w:t>avec ses créanciers financiers dans un cadre juridiquement sécurisé. La procédure de</w:t>
      </w:r>
      <w:r>
        <w:rPr>
          <w:spacing w:val="1"/>
        </w:rPr>
        <w:t> </w:t>
      </w:r>
      <w:r>
        <w:rPr/>
        <w:t>conciliation concerne uniquement la dette financière de la société Casino Guichard-</w:t>
      </w:r>
      <w:r>
        <w:rPr>
          <w:spacing w:val="1"/>
        </w:rPr>
        <w:t> </w:t>
      </w:r>
      <w:r>
        <w:rPr>
          <w:w w:val="95"/>
        </w:rPr>
        <w:t>Perrachon SA et de certaines de ses filiales et n’aura aucune incidence sur les relations du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groupe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avec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ses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partenaires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opérationnels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(en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particulier</w:t>
      </w:r>
      <w:r>
        <w:rPr>
          <w:spacing w:val="-13"/>
          <w:w w:val="95"/>
        </w:rPr>
        <w:t> </w:t>
      </w:r>
      <w:r>
        <w:rPr>
          <w:w w:val="95"/>
        </w:rPr>
        <w:t>ses</w:t>
      </w:r>
      <w:r>
        <w:rPr>
          <w:spacing w:val="-12"/>
          <w:w w:val="95"/>
        </w:rPr>
        <w:t> </w:t>
      </w:r>
      <w:r>
        <w:rPr>
          <w:w w:val="95"/>
        </w:rPr>
        <w:t>fournisseurs)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4"/>
          <w:w w:val="95"/>
        </w:rPr>
        <w:t> </w:t>
      </w:r>
      <w:r>
        <w:rPr>
          <w:w w:val="95"/>
        </w:rPr>
        <w:t>les</w:t>
      </w:r>
      <w:r>
        <w:rPr>
          <w:spacing w:val="-12"/>
          <w:w w:val="95"/>
        </w:rPr>
        <w:t> </w:t>
      </w:r>
      <w:r>
        <w:rPr>
          <w:w w:val="95"/>
        </w:rPr>
        <w:t>salariés.</w:t>
      </w:r>
    </w:p>
    <w:p>
      <w:pPr>
        <w:pStyle w:val="BodyText"/>
        <w:spacing w:line="278" w:lineRule="auto" w:before="120"/>
        <w:ind w:left="112" w:right="111"/>
        <w:jc w:val="both"/>
      </w:pPr>
      <w:r>
        <w:rPr/>
        <w:t>Dans le cadre des discussions en cours avec le groupe TERACT et le Groupement Les</w:t>
      </w:r>
      <w:r>
        <w:rPr>
          <w:spacing w:val="1"/>
        </w:rPr>
        <w:t> </w:t>
      </w:r>
      <w:r>
        <w:rPr/>
        <w:t>Mousquetaires</w:t>
      </w:r>
      <w:r>
        <w:rPr>
          <w:spacing w:val="-10"/>
        </w:rPr>
        <w:t> </w:t>
      </w:r>
      <w:r>
        <w:rPr/>
        <w:t>d’une</w:t>
      </w:r>
      <w:r>
        <w:rPr>
          <w:spacing w:val="-12"/>
        </w:rPr>
        <w:t> </w:t>
      </w:r>
      <w:r>
        <w:rPr/>
        <w:t>part,</w:t>
      </w:r>
      <w:r>
        <w:rPr>
          <w:spacing w:val="-11"/>
        </w:rPr>
        <w:t> </w:t>
      </w:r>
      <w:r>
        <w:rPr/>
        <w:t>ainsi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dans</w:t>
      </w:r>
      <w:r>
        <w:rPr>
          <w:spacing w:val="-9"/>
        </w:rPr>
        <w:t> </w:t>
      </w:r>
      <w:r>
        <w:rPr/>
        <w:t>le</w:t>
      </w:r>
      <w:r>
        <w:rPr>
          <w:spacing w:val="-12"/>
        </w:rPr>
        <w:t> </w:t>
      </w:r>
      <w:r>
        <w:rPr/>
        <w:t>prolongement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proposition</w:t>
      </w:r>
      <w:r>
        <w:rPr>
          <w:spacing w:val="-11"/>
        </w:rPr>
        <w:t> </w:t>
      </w:r>
      <w:r>
        <w:rPr/>
        <w:t>qui</w:t>
      </w:r>
      <w:r>
        <w:rPr>
          <w:spacing w:val="-9"/>
        </w:rPr>
        <w:t> </w:t>
      </w:r>
      <w:r>
        <w:rPr/>
        <w:t>lui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été</w:t>
      </w:r>
      <w:r>
        <w:rPr>
          <w:spacing w:val="-75"/>
        </w:rPr>
        <w:t> </w:t>
      </w:r>
      <w:r>
        <w:rPr/>
        <w:t>faite par EP Global Commerce a.s. d’autre part, le groupe Casino considère que la</w:t>
      </w:r>
      <w:r>
        <w:rPr>
          <w:spacing w:val="1"/>
        </w:rPr>
        <w:t> </w:t>
      </w:r>
      <w:r>
        <w:rPr/>
        <w:t>procédure de conciliation permettra d’encadrer au mieux les discussions avec ses</w:t>
      </w:r>
      <w:r>
        <w:rPr>
          <w:spacing w:val="1"/>
        </w:rPr>
        <w:t> </w:t>
      </w:r>
      <w:r>
        <w:rPr>
          <w:w w:val="95"/>
        </w:rPr>
        <w:t>créanciers</w:t>
      </w:r>
      <w:r>
        <w:rPr>
          <w:spacing w:val="-14"/>
          <w:w w:val="95"/>
        </w:rPr>
        <w:t> </w:t>
      </w:r>
      <w:r>
        <w:rPr>
          <w:w w:val="95"/>
        </w:rPr>
        <w:t>et</w:t>
      </w:r>
      <w:r>
        <w:rPr>
          <w:spacing w:val="-15"/>
          <w:w w:val="95"/>
        </w:rPr>
        <w:t> </w:t>
      </w:r>
      <w:r>
        <w:rPr>
          <w:w w:val="95"/>
        </w:rPr>
        <w:t>des</w:t>
      </w:r>
      <w:r>
        <w:rPr>
          <w:spacing w:val="-14"/>
          <w:w w:val="95"/>
        </w:rPr>
        <w:t> </w:t>
      </w:r>
      <w:r>
        <w:rPr>
          <w:w w:val="95"/>
        </w:rPr>
        <w:t>investisseurs</w:t>
      </w:r>
      <w:r>
        <w:rPr>
          <w:spacing w:val="-13"/>
          <w:w w:val="95"/>
        </w:rPr>
        <w:t> </w:t>
      </w:r>
      <w:r>
        <w:rPr>
          <w:w w:val="95"/>
        </w:rPr>
        <w:t>potentiels.</w:t>
      </w:r>
    </w:p>
    <w:p>
      <w:pPr>
        <w:pStyle w:val="BodyText"/>
        <w:spacing w:line="278" w:lineRule="auto" w:before="120"/>
        <w:ind w:left="112" w:right="112"/>
        <w:jc w:val="both"/>
      </w:pPr>
      <w:r>
        <w:rPr/>
        <w:t>Le</w:t>
      </w:r>
      <w:r>
        <w:rPr>
          <w:spacing w:val="-5"/>
        </w:rPr>
        <w:t> </w:t>
      </w:r>
      <w:r>
        <w:rPr/>
        <w:t>conseil</w:t>
      </w:r>
      <w:r>
        <w:rPr>
          <w:spacing w:val="-4"/>
        </w:rPr>
        <w:t> </w:t>
      </w:r>
      <w:r>
        <w:rPr/>
        <w:t>d’administration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/>
        <w:t>groupe</w:t>
      </w:r>
      <w:r>
        <w:rPr>
          <w:spacing w:val="-4"/>
        </w:rPr>
        <w:t> </w:t>
      </w:r>
      <w:r>
        <w:rPr/>
        <w:t>Casino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mis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comité</w:t>
      </w:r>
      <w:r>
        <w:rPr>
          <w:spacing w:val="-5"/>
        </w:rPr>
        <w:t> </w:t>
      </w:r>
      <w:r>
        <w:rPr>
          <w:i/>
        </w:rPr>
        <w:t>ad</w:t>
      </w:r>
      <w:r>
        <w:rPr>
          <w:i/>
          <w:spacing w:val="-6"/>
        </w:rPr>
        <w:t> </w:t>
      </w:r>
      <w:r>
        <w:rPr>
          <w:i/>
        </w:rPr>
        <w:t>hoc</w:t>
      </w:r>
      <w:r>
        <w:rPr>
          <w:i/>
          <w:spacing w:val="-5"/>
        </w:rPr>
        <w:t> </w:t>
      </w:r>
      <w:r>
        <w:rPr/>
        <w:t>composé</w:t>
      </w:r>
      <w:r>
        <w:rPr>
          <w:spacing w:val="-75"/>
        </w:rPr>
        <w:t> </w:t>
      </w:r>
      <w:r>
        <w:rPr/>
        <w:t>d’administrateurs indépendants et des membres du comité d’audit afin de poursuivre</w:t>
      </w:r>
      <w:r>
        <w:rPr>
          <w:spacing w:val="1"/>
        </w:rPr>
        <w:t> </w:t>
      </w:r>
      <w:r>
        <w:rPr>
          <w:w w:val="95"/>
        </w:rPr>
        <w:t>notamment</w:t>
      </w:r>
      <w:r>
        <w:rPr>
          <w:spacing w:val="-6"/>
          <w:w w:val="95"/>
        </w:rPr>
        <w:t> </w:t>
      </w:r>
      <w:r>
        <w:rPr>
          <w:w w:val="95"/>
        </w:rPr>
        <w:t>l’examen</w:t>
      </w:r>
      <w:r>
        <w:rPr>
          <w:spacing w:val="-9"/>
          <w:w w:val="95"/>
        </w:rPr>
        <w:t> </w:t>
      </w:r>
      <w:r>
        <w:rPr>
          <w:w w:val="95"/>
        </w:rPr>
        <w:t>des</w:t>
      </w:r>
      <w:r>
        <w:rPr>
          <w:spacing w:val="-4"/>
          <w:w w:val="95"/>
        </w:rPr>
        <w:t> </w:t>
      </w:r>
      <w:r>
        <w:rPr>
          <w:w w:val="95"/>
        </w:rPr>
        <w:t>projets</w:t>
      </w:r>
      <w:r>
        <w:rPr>
          <w:spacing w:val="-5"/>
          <w:w w:val="95"/>
        </w:rPr>
        <w:t> </w:t>
      </w:r>
      <w:r>
        <w:rPr>
          <w:w w:val="95"/>
        </w:rPr>
        <w:t>susvisés</w:t>
      </w:r>
      <w:r>
        <w:rPr>
          <w:spacing w:val="-7"/>
          <w:w w:val="95"/>
        </w:rPr>
        <w:t> </w:t>
      </w:r>
      <w:r>
        <w:rPr>
          <w:w w:val="95"/>
        </w:rPr>
        <w:t>et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suivre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4"/>
          <w:w w:val="95"/>
        </w:rPr>
        <w:t> </w:t>
      </w:r>
      <w:r>
        <w:rPr>
          <w:w w:val="95"/>
        </w:rPr>
        <w:t>procédure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conciliation</w:t>
      </w:r>
      <w:hyperlink w:history="true" w:anchor="_bookmark2">
        <w:r>
          <w:rPr>
            <w:w w:val="95"/>
            <w:position w:val="6"/>
            <w:sz w:val="14"/>
          </w:rPr>
          <w:t>3</w:t>
        </w:r>
      </w:hyperlink>
      <w:r>
        <w:rPr>
          <w:w w:val="95"/>
        </w:rPr>
        <w:t>.</w:t>
      </w:r>
    </w:p>
    <w:p>
      <w:pPr>
        <w:pStyle w:val="BodyText"/>
        <w:spacing w:line="278" w:lineRule="auto" w:before="121"/>
        <w:ind w:left="112" w:right="110"/>
        <w:jc w:val="both"/>
      </w:pPr>
      <w:r>
        <w:rPr>
          <w:w w:val="95"/>
        </w:rPr>
        <w:t>Le groupe Casino tiendra le marché informé en temps utile. La cotation des actions Casino</w:t>
      </w:r>
      <w:r>
        <w:rPr>
          <w:spacing w:val="1"/>
          <w:w w:val="95"/>
        </w:rPr>
        <w:t> </w:t>
      </w:r>
      <w:r>
        <w:rPr>
          <w:w w:val="95"/>
        </w:rPr>
        <w:t>et des autres titres cotés émis par la société, suspendue depuis le 22 mai 2023, reprendra</w:t>
      </w:r>
      <w:r>
        <w:rPr>
          <w:spacing w:val="1"/>
          <w:w w:val="95"/>
        </w:rPr>
        <w:t> </w:t>
      </w:r>
      <w:r>
        <w:rPr/>
        <w:t>ce</w:t>
      </w:r>
      <w:r>
        <w:rPr>
          <w:spacing w:val="-18"/>
        </w:rPr>
        <w:t> </w:t>
      </w:r>
      <w:r>
        <w:rPr/>
        <w:t>jour</w:t>
      </w:r>
      <w:r>
        <w:rPr>
          <w:spacing w:val="-17"/>
        </w:rPr>
        <w:t> </w:t>
      </w:r>
      <w:r>
        <w:rPr/>
        <w:t>à</w:t>
      </w:r>
      <w:r>
        <w:rPr>
          <w:spacing w:val="-18"/>
        </w:rPr>
        <w:t> </w:t>
      </w:r>
      <w:r>
        <w:rPr/>
        <w:t>l’ouverture</w:t>
      </w:r>
      <w:r>
        <w:rPr>
          <w:spacing w:val="-17"/>
        </w:rPr>
        <w:t> </w:t>
      </w:r>
      <w:r>
        <w:rPr/>
        <w:t>du</w:t>
      </w:r>
      <w:r>
        <w:rPr>
          <w:spacing w:val="-19"/>
        </w:rPr>
        <w:t> </w:t>
      </w:r>
      <w:r>
        <w:rPr/>
        <w:t>marché.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pict>
          <v:rect style="position:absolute;margin-left:56.639999pt;margin-top:17.212011pt;width:14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3"/>
        </w:rPr>
      </w:pPr>
    </w:p>
    <w:p>
      <w:pPr>
        <w:spacing w:before="1"/>
        <w:ind w:left="112" w:right="0" w:firstLine="0"/>
        <w:jc w:val="left"/>
        <w:rPr>
          <w:rFonts w:ascii="Arial MT" w:hAnsi="Arial MT"/>
          <w:sz w:val="16"/>
        </w:rPr>
      </w:pPr>
      <w:bookmarkStart w:name="_bookmark0" w:id="1"/>
      <w:bookmarkEnd w:id="1"/>
      <w:r>
        <w:rPr/>
      </w:r>
      <w:r>
        <w:rPr>
          <w:rFonts w:ascii="Arial MT" w:hAnsi="Arial MT"/>
          <w:color w:val="0D0D0D"/>
          <w:spacing w:val="-1"/>
          <w:sz w:val="16"/>
          <w:vertAlign w:val="superscript"/>
        </w:rPr>
        <w:t>1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Emprunts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obligataires</w:t>
      </w:r>
      <w:r>
        <w:rPr>
          <w:rFonts w:ascii="Arial MT" w:hAnsi="Arial MT"/>
          <w:color w:val="0D0D0D"/>
          <w:spacing w:val="-13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soumis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au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droit</w:t>
      </w:r>
      <w:r>
        <w:rPr>
          <w:rFonts w:ascii="Arial MT" w:hAnsi="Arial MT"/>
          <w:color w:val="0D0D0D"/>
          <w:spacing w:val="-7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de</w:t>
      </w:r>
      <w:r>
        <w:rPr>
          <w:rFonts w:ascii="Arial MT" w:hAnsi="Arial MT"/>
          <w:color w:val="0D0D0D"/>
          <w:spacing w:val="-12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l’état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de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New-York</w:t>
      </w:r>
      <w:r>
        <w:rPr>
          <w:rFonts w:ascii="Arial MT" w:hAnsi="Arial MT"/>
          <w:color w:val="0D0D0D"/>
          <w:spacing w:val="-8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émis</w:t>
      </w:r>
      <w:r>
        <w:rPr>
          <w:rFonts w:ascii="Arial MT" w:hAnsi="Arial MT"/>
          <w:color w:val="0D0D0D"/>
          <w:spacing w:val="-8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par</w:t>
      </w:r>
      <w:r>
        <w:rPr>
          <w:rFonts w:ascii="Arial MT" w:hAnsi="Arial MT"/>
          <w:color w:val="0D0D0D"/>
          <w:spacing w:val="-14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Quatrim</w:t>
      </w:r>
      <w:r>
        <w:rPr>
          <w:rFonts w:ascii="Arial MT" w:hAnsi="Arial MT"/>
          <w:color w:val="0D0D0D"/>
          <w:spacing w:val="-8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et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venant</w:t>
      </w:r>
      <w:r>
        <w:rPr>
          <w:rFonts w:ascii="Arial MT" w:hAnsi="Arial MT"/>
          <w:color w:val="0D0D0D"/>
          <w:spacing w:val="-8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à</w:t>
      </w:r>
      <w:r>
        <w:rPr>
          <w:rFonts w:ascii="Arial MT" w:hAnsi="Arial MT"/>
          <w:color w:val="0D0D0D"/>
          <w:spacing w:val="-14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maturité</w:t>
      </w:r>
      <w:r>
        <w:rPr>
          <w:rFonts w:ascii="Arial MT" w:hAnsi="Arial MT"/>
          <w:color w:val="0D0D0D"/>
          <w:spacing w:val="-1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en</w:t>
      </w:r>
      <w:r>
        <w:rPr>
          <w:rFonts w:ascii="Arial MT" w:hAnsi="Arial MT"/>
          <w:color w:val="0D0D0D"/>
          <w:spacing w:val="-1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2024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(code</w:t>
      </w:r>
      <w:r>
        <w:rPr>
          <w:rFonts w:ascii="Arial MT" w:hAnsi="Arial MT"/>
          <w:color w:val="0D0D0D"/>
          <w:spacing w:val="-1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: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Reg</w:t>
      </w:r>
      <w:r>
        <w:rPr>
          <w:rFonts w:ascii="Arial MT" w:hAnsi="Arial MT"/>
          <w:color w:val="0D0D0D"/>
          <w:spacing w:val="-1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S</w:t>
      </w:r>
      <w:r>
        <w:rPr>
          <w:rFonts w:ascii="Arial MT" w:hAnsi="Arial MT"/>
          <w:color w:val="0D0D0D"/>
          <w:spacing w:val="-1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XS2010039118</w:t>
      </w:r>
    </w:p>
    <w:p>
      <w:pPr>
        <w:spacing w:line="183" w:lineRule="exact" w:before="0"/>
        <w:ind w:left="112" w:right="0" w:firstLine="0"/>
        <w:jc w:val="left"/>
        <w:rPr>
          <w:rFonts w:ascii="Arial MT"/>
          <w:sz w:val="16"/>
        </w:rPr>
      </w:pPr>
      <w:r>
        <w:rPr>
          <w:rFonts w:ascii="Arial MT"/>
          <w:color w:val="0D0D0D"/>
          <w:sz w:val="16"/>
        </w:rPr>
        <w:t>/</w:t>
      </w:r>
      <w:r>
        <w:rPr>
          <w:rFonts w:ascii="Arial MT"/>
          <w:color w:val="0D0D0D"/>
          <w:spacing w:val="-2"/>
          <w:sz w:val="16"/>
        </w:rPr>
        <w:t> </w:t>
      </w:r>
      <w:r>
        <w:rPr>
          <w:rFonts w:ascii="Arial MT"/>
          <w:color w:val="0D0D0D"/>
          <w:sz w:val="16"/>
        </w:rPr>
        <w:t>144A</w:t>
      </w:r>
      <w:r>
        <w:rPr>
          <w:rFonts w:ascii="Arial MT"/>
          <w:color w:val="0D0D0D"/>
          <w:spacing w:val="-4"/>
          <w:sz w:val="16"/>
        </w:rPr>
        <w:t> </w:t>
      </w:r>
      <w:r>
        <w:rPr>
          <w:rFonts w:ascii="Arial MT"/>
          <w:color w:val="0D0D0D"/>
          <w:sz w:val="16"/>
        </w:rPr>
        <w:t>XS2010038490)</w:t>
      </w:r>
    </w:p>
    <w:p>
      <w:pPr>
        <w:spacing w:before="0"/>
        <w:ind w:left="112" w:right="0" w:hanging="1"/>
        <w:jc w:val="left"/>
        <w:rPr>
          <w:rFonts w:ascii="Arial MT" w:hAnsi="Arial MT"/>
          <w:sz w:val="16"/>
        </w:rPr>
      </w:pPr>
      <w:bookmarkStart w:name="_bookmark1" w:id="2"/>
      <w:bookmarkEnd w:id="2"/>
      <w:r>
        <w:rPr/>
      </w:r>
      <w:r>
        <w:rPr>
          <w:rFonts w:ascii="Arial MT" w:hAnsi="Arial MT"/>
          <w:color w:val="0D0D0D"/>
          <w:spacing w:val="-1"/>
          <w:sz w:val="16"/>
          <w:vertAlign w:val="superscript"/>
        </w:rPr>
        <w:t>2</w:t>
      </w:r>
      <w:r>
        <w:rPr>
          <w:rFonts w:ascii="Arial MT" w:hAnsi="Arial MT"/>
          <w:color w:val="0D0D0D"/>
          <w:spacing w:val="-8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Casino</w:t>
      </w:r>
      <w:r>
        <w:rPr>
          <w:rFonts w:ascii="Arial MT" w:hAnsi="Arial MT"/>
          <w:color w:val="0D0D0D"/>
          <w:spacing w:val="-8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Finance,</w:t>
      </w:r>
      <w:r>
        <w:rPr>
          <w:rFonts w:ascii="Arial MT" w:hAnsi="Arial MT"/>
          <w:color w:val="0D0D0D"/>
          <w:spacing w:val="-6"/>
          <w:sz w:val="16"/>
          <w:vertAlign w:val="baseline"/>
        </w:rPr>
        <w:t> </w:t>
      </w:r>
      <w:r>
        <w:rPr>
          <w:rFonts w:ascii="Arial MT" w:hAnsi="Arial MT"/>
          <w:color w:val="0D0D0D"/>
          <w:spacing w:val="-1"/>
          <w:sz w:val="16"/>
          <w:vertAlign w:val="baseline"/>
        </w:rPr>
        <w:t>Distribution</w:t>
      </w:r>
      <w:r>
        <w:rPr>
          <w:rFonts w:ascii="Arial MT" w:hAnsi="Arial MT"/>
          <w:color w:val="0D0D0D"/>
          <w:spacing w:val="-8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Casino</w:t>
      </w:r>
      <w:r>
        <w:rPr>
          <w:rFonts w:ascii="Arial MT" w:hAnsi="Arial MT"/>
          <w:color w:val="0D0D0D"/>
          <w:spacing w:val="-8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France,</w:t>
      </w:r>
      <w:r>
        <w:rPr>
          <w:rFonts w:ascii="Arial MT" w:hAnsi="Arial MT"/>
          <w:color w:val="0D0D0D"/>
          <w:spacing w:val="-6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Casino</w:t>
      </w:r>
      <w:r>
        <w:rPr>
          <w:rFonts w:ascii="Arial MT" w:hAnsi="Arial MT"/>
          <w:color w:val="0D0D0D"/>
          <w:spacing w:val="-1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Participations</w:t>
      </w:r>
      <w:r>
        <w:rPr>
          <w:rFonts w:ascii="Arial MT" w:hAnsi="Arial MT"/>
          <w:color w:val="0D0D0D"/>
          <w:spacing w:val="-6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France,</w:t>
      </w:r>
      <w:r>
        <w:rPr>
          <w:rFonts w:ascii="Arial MT" w:hAnsi="Arial MT"/>
          <w:color w:val="0D0D0D"/>
          <w:spacing w:val="-6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Quatrim,</w:t>
      </w:r>
      <w:r>
        <w:rPr>
          <w:rFonts w:ascii="Arial MT" w:hAnsi="Arial MT"/>
          <w:color w:val="0D0D0D"/>
          <w:spacing w:val="-7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Monoprix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Holding,</w:t>
      </w:r>
      <w:r>
        <w:rPr>
          <w:rFonts w:ascii="Arial MT" w:hAnsi="Arial MT"/>
          <w:color w:val="0D0D0D"/>
          <w:spacing w:val="-4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Monoprix,</w:t>
      </w:r>
      <w:r>
        <w:rPr>
          <w:rFonts w:ascii="Arial MT" w:hAnsi="Arial MT"/>
          <w:color w:val="0D0D0D"/>
          <w:spacing w:val="-7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Monoprix</w:t>
      </w:r>
      <w:r>
        <w:rPr>
          <w:rFonts w:ascii="Arial MT" w:hAnsi="Arial MT"/>
          <w:color w:val="0D0D0D"/>
          <w:spacing w:val="-10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Exploitation,</w:t>
      </w:r>
      <w:r>
        <w:rPr>
          <w:rFonts w:ascii="Arial MT" w:hAnsi="Arial MT"/>
          <w:color w:val="0D0D0D"/>
          <w:spacing w:val="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Ségisor,</w:t>
      </w:r>
      <w:r>
        <w:rPr>
          <w:rFonts w:ascii="Arial MT" w:hAnsi="Arial MT"/>
          <w:color w:val="0D0D0D"/>
          <w:spacing w:val="-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Distribution</w:t>
      </w:r>
      <w:r>
        <w:rPr>
          <w:rFonts w:ascii="Arial MT" w:hAnsi="Arial MT"/>
          <w:color w:val="0D0D0D"/>
          <w:spacing w:val="-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Franprix,</w:t>
      </w:r>
      <w:r>
        <w:rPr>
          <w:rFonts w:ascii="Arial MT" w:hAnsi="Arial MT"/>
          <w:color w:val="0D0D0D"/>
          <w:spacing w:val="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ExtenC,</w:t>
      </w:r>
      <w:r>
        <w:rPr>
          <w:rFonts w:ascii="Arial MT" w:hAnsi="Arial MT"/>
          <w:color w:val="0D0D0D"/>
          <w:spacing w:val="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Geimex,</w:t>
      </w:r>
      <w:r>
        <w:rPr>
          <w:rFonts w:ascii="Arial MT" w:hAnsi="Arial MT"/>
          <w:color w:val="0D0D0D"/>
          <w:spacing w:val="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RelevanC,</w:t>
      </w:r>
      <w:r>
        <w:rPr>
          <w:rFonts w:ascii="Arial MT" w:hAnsi="Arial MT"/>
          <w:color w:val="0D0D0D"/>
          <w:spacing w:val="-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Sédifrais,</w:t>
      </w:r>
      <w:r>
        <w:rPr>
          <w:rFonts w:ascii="Arial MT" w:hAnsi="Arial MT"/>
          <w:color w:val="0D0D0D"/>
          <w:spacing w:val="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et</w:t>
      </w:r>
      <w:r>
        <w:rPr>
          <w:rFonts w:ascii="Arial MT" w:hAnsi="Arial MT"/>
          <w:color w:val="0D0D0D"/>
          <w:spacing w:val="-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Franprix</w:t>
      </w:r>
      <w:r>
        <w:rPr>
          <w:rFonts w:ascii="Arial MT" w:hAnsi="Arial MT"/>
          <w:color w:val="0D0D0D"/>
          <w:spacing w:val="-3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Leader</w:t>
      </w:r>
      <w:r>
        <w:rPr>
          <w:rFonts w:ascii="Arial MT" w:hAnsi="Arial MT"/>
          <w:color w:val="0D0D0D"/>
          <w:spacing w:val="-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Price Holding</w:t>
      </w:r>
    </w:p>
    <w:p>
      <w:pPr>
        <w:spacing w:before="1"/>
        <w:ind w:left="112" w:right="283" w:hanging="1"/>
        <w:jc w:val="left"/>
        <w:rPr>
          <w:rFonts w:ascii="Arial MT" w:hAnsi="Arial MT"/>
          <w:sz w:val="16"/>
        </w:rPr>
      </w:pPr>
      <w:bookmarkStart w:name="_bookmark2" w:id="3"/>
      <w:bookmarkEnd w:id="3"/>
      <w:r>
        <w:rPr/>
      </w:r>
      <w:r>
        <w:rPr>
          <w:rFonts w:ascii="Arial MT" w:hAnsi="Arial MT"/>
          <w:color w:val="0D0D0D"/>
          <w:sz w:val="16"/>
          <w:vertAlign w:val="superscript"/>
        </w:rPr>
        <w:t>3</w:t>
      </w:r>
      <w:r>
        <w:rPr>
          <w:rFonts w:ascii="Arial MT" w:hAnsi="Arial MT"/>
          <w:color w:val="0D0D0D"/>
          <w:sz w:val="16"/>
          <w:vertAlign w:val="baseline"/>
        </w:rPr>
        <w:t> Le comité ad hoc est composé des administrateurs suivants : Thierry Billot, Nathalie Andrieux, Béatrice Dumurgier, Christiane Féral-</w:t>
      </w:r>
      <w:r>
        <w:rPr>
          <w:rFonts w:ascii="Arial MT" w:hAnsi="Arial MT"/>
          <w:color w:val="0D0D0D"/>
          <w:spacing w:val="-42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Schuhl,</w:t>
      </w:r>
      <w:r>
        <w:rPr>
          <w:rFonts w:ascii="Arial MT" w:hAnsi="Arial MT"/>
          <w:color w:val="0D0D0D"/>
          <w:spacing w:val="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et</w:t>
      </w:r>
      <w:r>
        <w:rPr>
          <w:rFonts w:ascii="Arial MT" w:hAnsi="Arial MT"/>
          <w:color w:val="0D0D0D"/>
          <w:spacing w:val="-1"/>
          <w:sz w:val="16"/>
          <w:vertAlign w:val="baseline"/>
        </w:rPr>
        <w:t> </w:t>
      </w:r>
      <w:r>
        <w:rPr>
          <w:rFonts w:ascii="Arial MT" w:hAnsi="Arial MT"/>
          <w:color w:val="0D0D0D"/>
          <w:sz w:val="16"/>
          <w:vertAlign w:val="baseline"/>
        </w:rPr>
        <w:t>Frédéric Saint-Geours.</w:t>
      </w:r>
    </w:p>
    <w:p>
      <w:pPr>
        <w:pStyle w:val="BodyText"/>
        <w:spacing w:before="6"/>
        <w:rPr>
          <w:rFonts w:ascii="Arial MT"/>
          <w:sz w:val="15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Vendredi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mai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7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11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80" w:bottom="0" w:left="1020" w:right="1020"/>
        </w:sectPr>
      </w:pPr>
    </w:p>
    <w:p>
      <w:pPr>
        <w:spacing w:line="242" w:lineRule="auto" w:before="84"/>
        <w:ind w:left="820" w:right="1386" w:firstLine="0"/>
        <w:jc w:val="both"/>
        <w:rPr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16"/>
        </w:rPr>
        <w:t>En application du règlement d'exécution (UE) 2016/1055 de la Commission Européenne du 29 juin</w:t>
      </w:r>
      <w:r>
        <w:rPr>
          <w:i/>
          <w:spacing w:val="1"/>
          <w:w w:val="95"/>
          <w:sz w:val="16"/>
        </w:rPr>
        <w:t> </w:t>
      </w:r>
      <w:r>
        <w:rPr>
          <w:i/>
          <w:spacing w:val="-1"/>
          <w:sz w:val="16"/>
        </w:rPr>
        <w:t>2016</w:t>
      </w:r>
      <w:r>
        <w:rPr>
          <w:i/>
          <w:spacing w:val="-10"/>
          <w:sz w:val="16"/>
        </w:rPr>
        <w:t> </w:t>
      </w:r>
      <w:r>
        <w:rPr>
          <w:i/>
          <w:spacing w:val="-1"/>
          <w:sz w:val="16"/>
        </w:rPr>
        <w:t>relatif</w:t>
      </w:r>
      <w:r>
        <w:rPr>
          <w:i/>
          <w:spacing w:val="-13"/>
          <w:sz w:val="16"/>
        </w:rPr>
        <w:t> </w:t>
      </w:r>
      <w:r>
        <w:rPr>
          <w:i/>
          <w:spacing w:val="-1"/>
          <w:sz w:val="16"/>
        </w:rPr>
        <w:t>aux</w:t>
      </w:r>
      <w:r>
        <w:rPr>
          <w:i/>
          <w:spacing w:val="-11"/>
          <w:sz w:val="16"/>
        </w:rPr>
        <w:t> </w:t>
      </w:r>
      <w:r>
        <w:rPr>
          <w:i/>
          <w:spacing w:val="-1"/>
          <w:sz w:val="16"/>
        </w:rPr>
        <w:t>modalités</w:t>
      </w:r>
      <w:r>
        <w:rPr>
          <w:i/>
          <w:spacing w:val="-11"/>
          <w:sz w:val="16"/>
        </w:rPr>
        <w:t> </w:t>
      </w:r>
      <w:r>
        <w:rPr>
          <w:i/>
          <w:spacing w:val="-1"/>
          <w:sz w:val="16"/>
        </w:rPr>
        <w:t>techniques</w:t>
      </w:r>
      <w:r>
        <w:rPr>
          <w:i/>
          <w:spacing w:val="-11"/>
          <w:sz w:val="16"/>
        </w:rPr>
        <w:t> </w:t>
      </w:r>
      <w:r>
        <w:rPr>
          <w:i/>
          <w:spacing w:val="-1"/>
          <w:sz w:val="16"/>
        </w:rPr>
        <w:t>de</w:t>
      </w:r>
      <w:r>
        <w:rPr>
          <w:i/>
          <w:spacing w:val="-11"/>
          <w:sz w:val="16"/>
        </w:rPr>
        <w:t> </w:t>
      </w:r>
      <w:r>
        <w:rPr>
          <w:i/>
          <w:spacing w:val="-1"/>
          <w:sz w:val="16"/>
        </w:rPr>
        <w:t>publication</w:t>
      </w:r>
      <w:r>
        <w:rPr>
          <w:i/>
          <w:spacing w:val="-10"/>
          <w:sz w:val="16"/>
        </w:rPr>
        <w:t> </w:t>
      </w:r>
      <w:r>
        <w:rPr>
          <w:i/>
          <w:spacing w:val="-1"/>
          <w:sz w:val="16"/>
        </w:rPr>
        <w:t>et</w:t>
      </w:r>
      <w:r>
        <w:rPr>
          <w:i/>
          <w:spacing w:val="-12"/>
          <w:sz w:val="16"/>
        </w:rPr>
        <w:t> </w:t>
      </w:r>
      <w:r>
        <w:rPr>
          <w:i/>
          <w:spacing w:val="-1"/>
          <w:sz w:val="16"/>
        </w:rPr>
        <w:t>de</w:t>
      </w:r>
      <w:r>
        <w:rPr>
          <w:i/>
          <w:spacing w:val="-10"/>
          <w:sz w:val="16"/>
        </w:rPr>
        <w:t> </w:t>
      </w:r>
      <w:r>
        <w:rPr>
          <w:i/>
          <w:spacing w:val="-1"/>
          <w:sz w:val="16"/>
        </w:rPr>
        <w:t>report</w:t>
      </w:r>
      <w:r>
        <w:rPr>
          <w:i/>
          <w:spacing w:val="-12"/>
          <w:sz w:val="16"/>
        </w:rPr>
        <w:t> </w:t>
      </w:r>
      <w:r>
        <w:rPr>
          <w:i/>
          <w:spacing w:val="-1"/>
          <w:sz w:val="16"/>
        </w:rPr>
        <w:t>des</w:t>
      </w:r>
      <w:r>
        <w:rPr>
          <w:i/>
          <w:spacing w:val="-13"/>
          <w:sz w:val="16"/>
        </w:rPr>
        <w:t> </w:t>
      </w:r>
      <w:r>
        <w:rPr>
          <w:i/>
          <w:spacing w:val="-1"/>
          <w:sz w:val="16"/>
        </w:rPr>
        <w:t>informations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privilégiées,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le</w:t>
      </w:r>
      <w:r>
        <w:rPr>
          <w:i/>
          <w:spacing w:val="-54"/>
          <w:sz w:val="16"/>
        </w:rPr>
        <w:t> </w:t>
      </w:r>
      <w:r>
        <w:rPr>
          <w:i/>
          <w:spacing w:val="-1"/>
          <w:sz w:val="16"/>
        </w:rPr>
        <w:t>présent</w:t>
      </w:r>
      <w:r>
        <w:rPr>
          <w:i/>
          <w:spacing w:val="-13"/>
          <w:sz w:val="16"/>
        </w:rPr>
        <w:t> </w:t>
      </w:r>
      <w:r>
        <w:rPr>
          <w:i/>
          <w:spacing w:val="-1"/>
          <w:sz w:val="16"/>
        </w:rPr>
        <w:t>communiqué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presse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été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communiqué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au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diffuseur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agréé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Casino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diffusion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le</w:t>
      </w:r>
      <w:r>
        <w:rPr>
          <w:i/>
          <w:spacing w:val="-54"/>
          <w:sz w:val="16"/>
        </w:rPr>
        <w:t> </w:t>
      </w:r>
      <w:r>
        <w:rPr>
          <w:i/>
          <w:sz w:val="16"/>
        </w:rPr>
        <w:t>26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mai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2023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à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7h00,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heure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Paris.</w:t>
      </w:r>
    </w:p>
    <w:p>
      <w:pPr>
        <w:pStyle w:val="BodyText"/>
        <w:spacing w:before="8"/>
        <w:rPr>
          <w:i/>
          <w:sz w:val="19"/>
        </w:rPr>
      </w:pPr>
    </w:p>
    <w:p>
      <w:pPr>
        <w:spacing w:before="0"/>
        <w:ind w:left="1625" w:right="1625" w:firstLine="0"/>
        <w:jc w:val="center"/>
        <w:rPr>
          <w:i/>
          <w:sz w:val="18"/>
        </w:rPr>
      </w:pPr>
      <w:r>
        <w:rPr>
          <w:i/>
          <w:w w:val="75"/>
          <w:sz w:val="18"/>
        </w:rPr>
        <w:t>***</w:t>
      </w:r>
    </w:p>
    <w:p>
      <w:pPr>
        <w:pStyle w:val="BodyText"/>
        <w:spacing w:before="10"/>
        <w:rPr>
          <w:i/>
          <w:sz w:val="23"/>
        </w:rPr>
      </w:pPr>
    </w:p>
    <w:p>
      <w:pPr>
        <w:spacing w:line="278" w:lineRule="auto" w:before="0"/>
        <w:ind w:left="112" w:right="110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pStyle w:val="Heading1"/>
        <w:ind w:right="1627"/>
      </w:pPr>
      <w:r>
        <w:rPr>
          <w:color w:val="6460A9"/>
        </w:rPr>
        <w:t>***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1"/>
        <w:ind w:left="1625" w:right="162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 ANALYSTES</w:t>
      </w:r>
      <w:r>
        <w:rPr>
          <w:rFonts w:ascii="Arial"/>
          <w:b/>
          <w:color w:val="6460A9"/>
          <w:spacing w:val="-4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5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spacing w:line="244" w:lineRule="auto" w:before="45"/>
        <w:ind w:left="2709" w:right="2713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3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-57"/>
          <w:w w:val="85"/>
          <w:sz w:val="20"/>
        </w:rPr>
        <w:t> </w:t>
      </w:r>
      <w:hyperlink r:id="rId6">
        <w:r>
          <w:rPr>
            <w:color w:val="0000FF"/>
            <w:w w:val="95"/>
            <w:sz w:val="20"/>
            <w:u w:val="single" w:color="0000FF"/>
          </w:rPr>
          <w:t>cwelton.exterieur@groupe-casino.fr</w:t>
        </w:r>
      </w:hyperlink>
    </w:p>
    <w:p>
      <w:pPr>
        <w:spacing w:line="239" w:lineRule="exact" w:before="0"/>
        <w:ind w:left="1625" w:right="1628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39"/>
        <w:ind w:left="1625" w:right="1628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40"/>
        <w:ind w:left="1937" w:right="1941" w:firstLine="0"/>
        <w:jc w:val="center"/>
        <w:rPr>
          <w:sz w:val="20"/>
        </w:rPr>
      </w:pPr>
      <w:r>
        <w:rPr/>
        <w:pict>
          <v:rect style="position:absolute;margin-left:229.919998pt;margin-top:13.008pt;width:135.239pt;height:.599pt;mso-position-horizontal-relative:page;mso-position-vertical-relative:paragraph;z-index:15730688" filled="true" fillcolor="#0000ff" stroked="false">
            <v:fill type="solid"/>
            <w10:wrap type="none"/>
          </v:rect>
        </w:pict>
      </w:r>
      <w:hyperlink r:id="rId7">
        <w:r>
          <w:rPr>
            <w:color w:val="0000FF"/>
            <w:spacing w:val="2"/>
            <w:w w:val="53"/>
            <w:sz w:val="20"/>
          </w:rPr>
          <w:t>I</w:t>
        </w:r>
        <w:r>
          <w:rPr>
            <w:color w:val="0000FF"/>
            <w:spacing w:val="-1"/>
            <w:w w:val="86"/>
            <w:sz w:val="20"/>
          </w:rPr>
          <w:t>R</w:t>
        </w:r>
        <w:r>
          <w:rPr>
            <w:color w:val="0000FF"/>
            <w:spacing w:val="1"/>
            <w:w w:val="78"/>
            <w:sz w:val="20"/>
          </w:rPr>
          <w:t>_</w:t>
        </w:r>
        <w:r>
          <w:rPr>
            <w:color w:val="0000FF"/>
            <w:spacing w:val="-2"/>
            <w:w w:val="115"/>
            <w:sz w:val="20"/>
          </w:rPr>
          <w:t>C</w:t>
        </w:r>
        <w:r>
          <w:rPr>
            <w:color w:val="0000FF"/>
            <w:w w:val="113"/>
            <w:sz w:val="20"/>
          </w:rPr>
          <w:t>a</w:t>
        </w:r>
        <w:r>
          <w:rPr>
            <w:color w:val="0000FF"/>
            <w:spacing w:val="-1"/>
            <w:w w:val="74"/>
            <w:sz w:val="20"/>
          </w:rPr>
          <w:t>s</w:t>
        </w:r>
        <w:r>
          <w:rPr>
            <w:color w:val="0000FF"/>
            <w:w w:val="88"/>
            <w:sz w:val="20"/>
          </w:rPr>
          <w:t>in</w:t>
        </w:r>
        <w:r>
          <w:rPr>
            <w:color w:val="0000FF"/>
            <w:spacing w:val="-1"/>
            <w:w w:val="107"/>
            <w:sz w:val="20"/>
          </w:rPr>
          <w:t>o</w:t>
        </w:r>
        <w:r>
          <w:rPr>
            <w:color w:val="0000FF"/>
            <w:w w:val="86"/>
            <w:sz w:val="20"/>
          </w:rPr>
          <w:t>@</w:t>
        </w:r>
        <w:r>
          <w:rPr>
            <w:color w:val="0000FF"/>
            <w:w w:val="107"/>
            <w:sz w:val="20"/>
          </w:rPr>
          <w:t>g</w:t>
        </w:r>
        <w:r>
          <w:rPr>
            <w:color w:val="0000FF"/>
            <w:w w:val="70"/>
            <w:sz w:val="20"/>
          </w:rPr>
          <w:t>r</w:t>
        </w:r>
        <w:r>
          <w:rPr>
            <w:color w:val="0000FF"/>
            <w:spacing w:val="1"/>
            <w:w w:val="107"/>
            <w:sz w:val="20"/>
          </w:rPr>
          <w:t>o</w:t>
        </w:r>
        <w:r>
          <w:rPr>
            <w:color w:val="0000FF"/>
            <w:spacing w:val="-2"/>
            <w:w w:val="95"/>
            <w:sz w:val="20"/>
          </w:rPr>
          <w:t>u</w:t>
        </w:r>
        <w:r>
          <w:rPr>
            <w:color w:val="0000FF"/>
            <w:w w:val="108"/>
            <w:sz w:val="20"/>
          </w:rPr>
          <w:t>pe</w:t>
        </w:r>
        <w:r>
          <w:rPr>
            <w:color w:val="0000FF"/>
            <w:w w:val="72"/>
            <w:sz w:val="20"/>
          </w:rPr>
          <w:t>-</w:t>
        </w:r>
        <w:r>
          <w:rPr>
            <w:color w:val="0000FF"/>
            <w:w w:val="104"/>
            <w:sz w:val="20"/>
          </w:rPr>
          <w:t>ca</w:t>
        </w:r>
        <w:r>
          <w:rPr>
            <w:color w:val="0000FF"/>
            <w:spacing w:val="-1"/>
            <w:w w:val="104"/>
            <w:sz w:val="20"/>
          </w:rPr>
          <w:t>s</w:t>
        </w:r>
        <w:r>
          <w:rPr>
            <w:color w:val="0000FF"/>
            <w:w w:val="72"/>
            <w:sz w:val="20"/>
          </w:rPr>
          <w:t>i</w:t>
        </w:r>
        <w:r>
          <w:rPr>
            <w:color w:val="0000FF"/>
            <w:w w:val="101"/>
            <w:sz w:val="20"/>
          </w:rPr>
          <w:t>n</w:t>
        </w:r>
        <w:r>
          <w:rPr>
            <w:color w:val="0000FF"/>
            <w:spacing w:val="1"/>
            <w:w w:val="101"/>
            <w:sz w:val="20"/>
          </w:rPr>
          <w:t>o</w:t>
        </w:r>
        <w:r>
          <w:rPr>
            <w:color w:val="0000FF"/>
            <w:spacing w:val="-3"/>
            <w:w w:val="75"/>
            <w:sz w:val="20"/>
          </w:rPr>
          <w:t>.</w:t>
        </w:r>
        <w:r>
          <w:rPr>
            <w:color w:val="0000FF"/>
            <w:spacing w:val="-1"/>
            <w:w w:val="88"/>
            <w:sz w:val="20"/>
          </w:rPr>
          <w:t>f</w:t>
        </w:r>
        <w:r>
          <w:rPr>
            <w:color w:val="0000FF"/>
            <w:w w:val="70"/>
            <w:sz w:val="20"/>
          </w:rPr>
          <w:t>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93"/>
      </w:pPr>
      <w:r>
        <w:rPr>
          <w:color w:val="6460A9"/>
          <w:spacing w:val="-9"/>
        </w:rPr>
        <w:t>CONTACTS</w:t>
      </w:r>
      <w:r>
        <w:rPr>
          <w:color w:val="6460A9"/>
          <w:spacing w:val="-18"/>
        </w:rPr>
        <w:t> </w:t>
      </w:r>
      <w:r>
        <w:rPr>
          <w:color w:val="6460A9"/>
          <w:spacing w:val="-9"/>
        </w:rPr>
        <w:t>PRESSE</w:t>
      </w:r>
    </w:p>
    <w:p>
      <w:pPr>
        <w:spacing w:before="8"/>
        <w:ind w:left="1625" w:right="1630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Groupe</w:t>
      </w:r>
      <w:r>
        <w:rPr>
          <w:rFonts w:ascii="Tahoma" w:hAnsi="Tahoma"/>
          <w:b/>
          <w:spacing w:val="18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Casino</w:t>
      </w:r>
      <w:r>
        <w:rPr>
          <w:rFonts w:ascii="Tahoma" w:hAnsi="Tahoma"/>
          <w:b/>
          <w:spacing w:val="19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–</w:t>
      </w:r>
      <w:r>
        <w:rPr>
          <w:rFonts w:ascii="Tahoma" w:hAnsi="Tahoma"/>
          <w:b/>
          <w:spacing w:val="21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Direction</w:t>
      </w:r>
      <w:r>
        <w:rPr>
          <w:rFonts w:ascii="Tahoma" w:hAnsi="Tahoma"/>
          <w:b/>
          <w:spacing w:val="20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de</w:t>
      </w:r>
      <w:r>
        <w:rPr>
          <w:rFonts w:ascii="Tahoma" w:hAnsi="Tahoma"/>
          <w:b/>
          <w:spacing w:val="19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la</w:t>
      </w:r>
      <w:r>
        <w:rPr>
          <w:rFonts w:ascii="Tahoma" w:hAnsi="Tahoma"/>
          <w:b/>
          <w:spacing w:val="20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Communication</w:t>
      </w:r>
    </w:p>
    <w:p>
      <w:pPr>
        <w:spacing w:before="5"/>
        <w:ind w:left="1625" w:right="1628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hyperlink r:id="rId8">
        <w:r>
          <w:rPr>
            <w:color w:val="0000FF"/>
            <w:w w:val="90"/>
            <w:sz w:val="20"/>
            <w:u w:val="single" w:color="0000FF"/>
          </w:rPr>
          <w:t>sabadie@groupe-casino.fr</w:t>
        </w:r>
        <w:r>
          <w:rPr>
            <w:color w:val="0000FF"/>
            <w:spacing w:val="12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3"/>
        <w:ind w:left="1625" w:right="1628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2"/>
        <w:ind w:left="1625" w:right="1630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0"/>
          <w:w w:val="95"/>
          <w:sz w:val="20"/>
        </w:rPr>
        <w:t> </w:t>
      </w:r>
      <w:hyperlink r:id="rId9">
        <w:r>
          <w:rPr>
            <w:color w:val="0000FF"/>
            <w:spacing w:val="-1"/>
            <w:w w:val="95"/>
            <w:sz w:val="20"/>
            <w:u w:val="single" w:color="0000FF"/>
          </w:rPr>
          <w:t>directiondelacommunication@groupe-casino.fr</w:t>
        </w:r>
      </w:hyperlink>
    </w:p>
    <w:p>
      <w:pPr>
        <w:pStyle w:val="BodyText"/>
        <w:spacing w:before="1"/>
        <w:rPr>
          <w:sz w:val="12"/>
        </w:rPr>
      </w:pPr>
    </w:p>
    <w:p>
      <w:pPr>
        <w:spacing w:before="101"/>
        <w:ind w:left="1937" w:right="1941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IMAGE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7</w:t>
      </w:r>
    </w:p>
    <w:p>
      <w:pPr>
        <w:spacing w:before="2"/>
        <w:ind w:left="1625" w:right="1628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1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4"/>
        <w:ind w:left="1937" w:right="1941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5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  <w:u w:val="single" w:color="0000FF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99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Vendredi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mai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7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11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2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25" w:right="1619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51"/>
      <w:ind w:left="1625" w:right="1626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2023-12-07T10:08:39Z</dcterms:created>
  <dcterms:modified xsi:type="dcterms:W3CDTF">2023-12-07T10:08:39Z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2023-12-07T00:00:00Z</vt:filetime>
  </property>
</Properties>
</file>