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8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54739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sz w:val="20"/>
        </w:rPr>
        <mc:AlternateContent>
          <mc:Choice Requires="wps">
            <w:drawing>
              <wp:inline distT="0" distB="0" distL="0" distR="0">
                <wp:extent cx="6581775" cy="2453005"/>
                <wp:effectExtent l="19050" t="9525" r="9525" b="13969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581775" cy="245300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34"/>
                              <w:ind w:left="44" w:right="0" w:firstLine="0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460A9"/>
                                <w:sz w:val="32"/>
                              </w:rPr>
                              <w:t>Communication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1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z w:val="32"/>
                              </w:rPr>
                              <w:t>du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z w:val="32"/>
                              </w:rPr>
                              <w:t>groupe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13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2"/>
                                <w:sz w:val="32"/>
                              </w:rPr>
                              <w:t>Casino</w:t>
                            </w:r>
                          </w:p>
                          <w:p>
                            <w:pPr>
                              <w:pStyle w:val="BodyText"/>
                              <w:spacing w:before="238"/>
                              <w:rPr>
                                <w:rFonts w:ascii="Arial"/>
                                <w:b/>
                                <w:i w:val="0"/>
                                <w:sz w:val="3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4" w:right="0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Paris,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le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14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juin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85"/>
                                <w:sz w:val="22"/>
                              </w:rPr>
                              <w:t>2023</w:t>
                            </w:r>
                          </w:p>
                          <w:p>
                            <w:pPr>
                              <w:pStyle w:val="BodyText"/>
                              <w:spacing w:before="134"/>
                              <w:rPr>
                                <w:i w:val="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78" w:lineRule="auto" w:before="1"/>
                              <w:ind w:left="364" w:right="320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Dans le prolongement du communiqué de presse du 24 avril dernier, le groupe Casino annonce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avoir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reçu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société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Fimalac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une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lettre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par</w:t>
                            </w:r>
                            <w:r>
                              <w:rPr>
                                <w:spacing w:val="-1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laquelle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elle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confirme</w:t>
                            </w:r>
                            <w:r>
                              <w:rPr>
                                <w:spacing w:val="-2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étudier</w:t>
                            </w:r>
                            <w:r>
                              <w:rPr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une éventuelle participation pour un montant de 150 millions d’euros à la proposition de renforcement des fonds propres de EP Global Commerce a.s.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18.25pt;height:193.15pt;mso-position-horizontal-relative:char;mso-position-vertical-relative:line" type="#_x0000_t202" id="docshape1" filled="false" stroked="true" strokeweight="2pt" strokecolor="#6460a9">
                <w10:anchorlock/>
                <v:textbox inset="0,0,0,0">
                  <w:txbxContent>
                    <w:p>
                      <w:pPr>
                        <w:spacing w:before="334"/>
                        <w:ind w:left="44" w:right="0" w:firstLine="0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6460A9"/>
                          <w:sz w:val="32"/>
                        </w:rPr>
                        <w:t>Communication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6460A9"/>
                          <w:sz w:val="32"/>
                        </w:rPr>
                        <w:t>du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6460A9"/>
                          <w:sz w:val="32"/>
                        </w:rPr>
                        <w:t>groupe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2"/>
                          <w:sz w:val="32"/>
                        </w:rPr>
                        <w:t>Casino</w:t>
                      </w:r>
                    </w:p>
                    <w:p>
                      <w:pPr>
                        <w:pStyle w:val="BodyText"/>
                        <w:spacing w:before="238"/>
                        <w:rPr>
                          <w:rFonts w:ascii="Arial"/>
                          <w:b/>
                          <w:i w:val="0"/>
                          <w:sz w:val="32"/>
                        </w:rPr>
                      </w:pPr>
                    </w:p>
                    <w:p>
                      <w:pPr>
                        <w:spacing w:before="0"/>
                        <w:ind w:left="364" w:right="0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85"/>
                          <w:sz w:val="22"/>
                        </w:rPr>
                        <w:t>Paris,</w:t>
                      </w:r>
                      <w:r>
                        <w:rPr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w w:val="85"/>
                          <w:sz w:val="22"/>
                        </w:rPr>
                        <w:t>le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w w:val="85"/>
                          <w:sz w:val="22"/>
                        </w:rPr>
                        <w:t>14</w:t>
                      </w:r>
                      <w:r>
                        <w:rPr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w w:val="85"/>
                          <w:sz w:val="22"/>
                        </w:rPr>
                        <w:t>juin</w:t>
                      </w:r>
                      <w:r>
                        <w:rPr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spacing w:val="-4"/>
                          <w:w w:val="85"/>
                          <w:sz w:val="22"/>
                        </w:rPr>
                        <w:t>2023</w:t>
                      </w:r>
                    </w:p>
                    <w:p>
                      <w:pPr>
                        <w:pStyle w:val="BodyText"/>
                        <w:spacing w:before="134"/>
                        <w:rPr>
                          <w:i w:val="0"/>
                          <w:sz w:val="22"/>
                        </w:rPr>
                      </w:pPr>
                    </w:p>
                    <w:p>
                      <w:pPr>
                        <w:spacing w:line="278" w:lineRule="auto" w:before="1"/>
                        <w:ind w:left="364" w:right="320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Dans le prolongement du communiqué de presse du 24 avril dernier, le groupe Casino annonce</w:t>
                      </w:r>
                      <w:r>
                        <w:rPr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avoir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reçu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société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Fimalac</w:t>
                      </w:r>
                      <w:r>
                        <w:rPr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une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lettre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par</w:t>
                      </w:r>
                      <w:r>
                        <w:rPr>
                          <w:spacing w:val="-19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laquelle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elle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confirme</w:t>
                      </w:r>
                      <w:r>
                        <w:rPr>
                          <w:spacing w:val="-20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étudier</w:t>
                      </w:r>
                      <w:r>
                        <w:rPr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une éventuelle participation pour un montant de 150 millions d’euros à la proposition de renforcement des fonds propres de EP Global Commerce a.s.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rPr>
          <w:rFonts w:ascii="Times New Roman"/>
          <w:i w:val="0"/>
        </w:rPr>
      </w:pPr>
    </w:p>
    <w:p>
      <w:pPr>
        <w:pStyle w:val="BodyText"/>
        <w:spacing w:before="16"/>
        <w:rPr>
          <w:rFonts w:ascii="Times New Roman"/>
          <w:i w:val="0"/>
        </w:rPr>
      </w:pPr>
    </w:p>
    <w:p>
      <w:pPr>
        <w:pStyle w:val="BodyText"/>
        <w:spacing w:line="278" w:lineRule="auto"/>
        <w:ind w:left="492" w:right="453"/>
        <w:jc w:val="both"/>
      </w:pPr>
      <w:r>
        <w:rPr/>
        <w:t>Ce communiqué a été préparé uniquement à titre informatif et ne doit pas être interprété comme une sollicitation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5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8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 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1"/>
        </w:rPr>
        <w:t> </w:t>
      </w:r>
      <w:r>
        <w:rPr/>
        <w:t>donne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1"/>
        </w:rPr>
        <w:t> </w:t>
      </w:r>
      <w:r>
        <w:rPr/>
        <w:t>Il</w:t>
      </w:r>
      <w:r>
        <w:rPr>
          <w:spacing w:val="-11"/>
        </w:rPr>
        <w:t> </w:t>
      </w:r>
      <w:r>
        <w:rPr/>
        <w:t>n'a</w:t>
      </w:r>
      <w:r>
        <w:rPr>
          <w:spacing w:val="-11"/>
        </w:rPr>
        <w:t> </w:t>
      </w:r>
      <w:r>
        <w:rPr/>
        <w:t>aucun</w:t>
      </w:r>
      <w:r>
        <w:rPr>
          <w:spacing w:val="-11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 objectifs de placement, la situation financière ou des besoins particuliers de tout récepteur. Aucune </w:t>
      </w:r>
      <w:r>
        <w:rPr>
          <w:spacing w:val="-2"/>
        </w:rPr>
        <w:t>représentation</w:t>
      </w:r>
      <w:r>
        <w:rPr>
          <w:spacing w:val="-7"/>
        </w:rPr>
        <w:t> </w:t>
      </w:r>
      <w:r>
        <w:rPr>
          <w:spacing w:val="-2"/>
        </w:rPr>
        <w:t>ou</w:t>
      </w:r>
      <w:r>
        <w:rPr>
          <w:spacing w:val="-7"/>
        </w:rPr>
        <w:t> </w:t>
      </w:r>
      <w:r>
        <w:rPr>
          <w:spacing w:val="-2"/>
        </w:rPr>
        <w:t>garantie,</w:t>
      </w:r>
      <w:r>
        <w:rPr>
          <w:spacing w:val="-7"/>
        </w:rPr>
        <w:t> </w:t>
      </w:r>
      <w:r>
        <w:rPr>
          <w:spacing w:val="-2"/>
        </w:rPr>
        <w:t>expresse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implicite,</w:t>
      </w:r>
      <w:r>
        <w:rPr>
          <w:spacing w:val="-8"/>
        </w:rPr>
        <w:t> </w:t>
      </w:r>
      <w:r>
        <w:rPr>
          <w:spacing w:val="-2"/>
        </w:rPr>
        <w:t>n'est</w:t>
      </w:r>
      <w:r>
        <w:rPr>
          <w:spacing w:val="-8"/>
        </w:rPr>
        <w:t> </w:t>
      </w:r>
      <w:r>
        <w:rPr>
          <w:spacing w:val="-2"/>
        </w:rPr>
        <w:t>fournie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8"/>
        </w:rPr>
        <w:t> </w:t>
      </w:r>
      <w:r>
        <w:rPr>
          <w:spacing w:val="-2"/>
        </w:rPr>
        <w:t>rapport</w:t>
      </w:r>
      <w:r>
        <w:rPr>
          <w:spacing w:val="-6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l'exactitude,</w:t>
      </w:r>
      <w:r>
        <w:rPr>
          <w:spacing w:val="-8"/>
        </w:rPr>
        <w:t> </w:t>
      </w:r>
      <w:r>
        <w:rPr>
          <w:spacing w:val="-2"/>
        </w:rPr>
        <w:t>l'exhaustivité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1"/>
        </w:rPr>
        <w:t> </w:t>
      </w:r>
      <w:r>
        <w:rPr>
          <w:spacing w:val="-2"/>
        </w:rPr>
        <w:t>la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11"/>
        </w:rPr>
        <w:t> </w:t>
      </w:r>
      <w:r>
        <w:rPr/>
        <w:t>devrait</w:t>
      </w:r>
      <w:r>
        <w:rPr>
          <w:spacing w:val="-11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3"/>
        </w:rPr>
        <w:t> </w:t>
      </w:r>
      <w:r>
        <w:rPr/>
        <w:t>considéré</w:t>
      </w:r>
      <w:r>
        <w:rPr>
          <w:spacing w:val="-11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 </w:t>
      </w:r>
      <w:r>
        <w:rPr>
          <w:spacing w:val="-4"/>
        </w:rPr>
        <w:t>comme</w:t>
      </w:r>
      <w:r>
        <w:rPr>
          <w:spacing w:val="-12"/>
        </w:rPr>
        <w:t> </w:t>
      </w:r>
      <w:r>
        <w:rPr>
          <w:spacing w:val="-4"/>
        </w:rPr>
        <w:t>un</w:t>
      </w:r>
      <w:r>
        <w:rPr>
          <w:spacing w:val="-12"/>
        </w:rPr>
        <w:t> </w:t>
      </w:r>
      <w:r>
        <w:rPr>
          <w:spacing w:val="-4"/>
        </w:rPr>
        <w:t>substitut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l'exercice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leur</w:t>
      </w:r>
      <w:r>
        <w:rPr>
          <w:spacing w:val="-12"/>
        </w:rPr>
        <w:t> </w:t>
      </w:r>
      <w:r>
        <w:rPr>
          <w:spacing w:val="-4"/>
        </w:rPr>
        <w:t>propre</w:t>
      </w:r>
      <w:r>
        <w:rPr>
          <w:spacing w:val="-12"/>
        </w:rPr>
        <w:t> </w:t>
      </w:r>
      <w:r>
        <w:rPr>
          <w:spacing w:val="-4"/>
        </w:rPr>
        <w:t>jugement.</w:t>
      </w:r>
      <w:r>
        <w:rPr>
          <w:spacing w:val="-12"/>
        </w:rPr>
        <w:t> </w:t>
      </w:r>
      <w:r>
        <w:rPr>
          <w:spacing w:val="-4"/>
        </w:rPr>
        <w:t>Toutes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opinions</w:t>
      </w:r>
      <w:r>
        <w:rPr>
          <w:spacing w:val="-11"/>
        </w:rPr>
        <w:t> </w:t>
      </w:r>
      <w:r>
        <w:rPr>
          <w:spacing w:val="-4"/>
        </w:rPr>
        <w:t>exprimées</w:t>
      </w:r>
      <w:r>
        <w:rPr>
          <w:spacing w:val="-12"/>
        </w:rPr>
        <w:t> </w:t>
      </w:r>
      <w:r>
        <w:rPr>
          <w:spacing w:val="-4"/>
        </w:rPr>
        <w:t>dans</w:t>
      </w:r>
      <w:r>
        <w:rPr>
          <w:spacing w:val="-12"/>
        </w:rPr>
        <w:t> </w:t>
      </w:r>
      <w:r>
        <w:rPr>
          <w:spacing w:val="-4"/>
        </w:rPr>
        <w:t>ce</w:t>
      </w:r>
      <w:r>
        <w:rPr>
          <w:spacing w:val="-12"/>
        </w:rPr>
        <w:t> </w:t>
      </w:r>
      <w:r>
        <w:rPr>
          <w:spacing w:val="-4"/>
        </w:rPr>
        <w:t>document</w:t>
      </w:r>
      <w:r>
        <w:rPr>
          <w:spacing w:val="-12"/>
        </w:rPr>
        <w:t> </w:t>
      </w:r>
      <w:r>
        <w:rPr>
          <w:spacing w:val="-4"/>
        </w:rPr>
        <w:t>sont </w:t>
      </w:r>
      <w:r>
        <w:rPr/>
        <w:t>sujettes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changement sans</w:t>
      </w:r>
      <w:r>
        <w:rPr>
          <w:spacing w:val="-7"/>
        </w:rPr>
        <w:t> </w:t>
      </w:r>
      <w:r>
        <w:rPr/>
        <w:t>préavis.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ind w:right="16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line="244" w:lineRule="auto" w:before="46"/>
        <w:ind w:left="3089" w:right="305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6">
        <w:r>
          <w:rPr>
            <w:color w:val="0000FF"/>
            <w:spacing w:val="-2"/>
            <w:w w:val="95"/>
            <w:sz w:val="20"/>
            <w:u w:val="single" w:color="0000FF"/>
          </w:rPr>
          <w:t>cwelton.exterieur@groupe-casino.fr</w:t>
        </w:r>
      </w:hyperlink>
    </w:p>
    <w:p>
      <w:pPr>
        <w:pStyle w:val="Heading2"/>
        <w:spacing w:line="239" w:lineRule="exact"/>
      </w:pPr>
      <w:r>
        <w:rPr>
          <w:spacing w:val="-5"/>
        </w:rPr>
        <w:t>ou</w:t>
      </w:r>
    </w:p>
    <w:p>
      <w:pPr>
        <w:spacing w:before="38"/>
        <w:ind w:left="48" w:right="12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40"/>
        <w:ind w:left="48" w:right="14" w:firstLine="0"/>
        <w:jc w:val="center"/>
        <w:rPr>
          <w:sz w:val="20"/>
        </w:rPr>
      </w:pPr>
      <w:hyperlink r:id="rId7">
        <w:r>
          <w:rPr>
            <w:color w:val="0000FF"/>
            <w:w w:val="90"/>
            <w:sz w:val="20"/>
            <w:u w:val="single" w:color="0000FF"/>
          </w:rPr>
          <w:t>IR_Casino@groupe-</w:t>
        </w:r>
        <w:r>
          <w:rPr>
            <w:color w:val="0000FF"/>
            <w:spacing w:val="-2"/>
            <w:sz w:val="20"/>
            <w:u w:val="single" w:color="0000FF"/>
          </w:rPr>
          <w:t>casino.fr</w:t>
        </w:r>
      </w:hyperlink>
    </w:p>
    <w:p>
      <w:pPr>
        <w:pStyle w:val="BodyText"/>
        <w:spacing w:before="250"/>
        <w:rPr>
          <w:i w:val="0"/>
          <w:sz w:val="24"/>
        </w:rPr>
      </w:pPr>
    </w:p>
    <w:p>
      <w:pPr>
        <w:pStyle w:val="Heading1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9"/>
        <w:ind w:right="15"/>
      </w:pPr>
      <w:r>
        <w:rPr>
          <w:spacing w:val="-2"/>
        </w:rPr>
        <w:t>Groupe</w:t>
      </w:r>
      <w:r>
        <w:rPr>
          <w:spacing w:val="-9"/>
        </w:rPr>
        <w:t> </w:t>
      </w:r>
      <w:r>
        <w:rPr>
          <w:spacing w:val="-2"/>
        </w:rPr>
        <w:t>Casino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8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la</w:t>
      </w:r>
      <w:r>
        <w:rPr>
          <w:spacing w:val="-8"/>
        </w:rPr>
        <w:t> </w:t>
      </w:r>
      <w:r>
        <w:rPr>
          <w:spacing w:val="-2"/>
        </w:rPr>
        <w:t>Communication</w:t>
      </w:r>
    </w:p>
    <w:p>
      <w:pPr>
        <w:spacing w:before="2"/>
        <w:ind w:left="48" w:right="13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10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7"/>
          <w:sz w:val="20"/>
        </w:rPr>
        <w:t> </w:t>
      </w:r>
      <w:r>
        <w:rPr>
          <w:w w:val="90"/>
          <w:sz w:val="20"/>
        </w:rPr>
        <w:t>-</w:t>
      </w:r>
      <w:r>
        <w:rPr>
          <w:spacing w:val="6"/>
          <w:sz w:val="20"/>
        </w:rPr>
        <w:t> </w:t>
      </w:r>
      <w:hyperlink r:id="rId8">
        <w:r>
          <w:rPr>
            <w:color w:val="0000FF"/>
            <w:w w:val="90"/>
            <w:sz w:val="20"/>
            <w:u w:val="single" w:color="0000FF"/>
          </w:rPr>
          <w:t>sabadie@groupe-casino.fr</w:t>
        </w:r>
      </w:hyperlink>
      <w:r>
        <w:rPr>
          <w:color w:val="0000FF"/>
          <w:spacing w:val="7"/>
          <w:sz w:val="20"/>
        </w:rPr>
        <w:t> </w:t>
      </w:r>
      <w:r>
        <w:rPr>
          <w:w w:val="90"/>
          <w:sz w:val="20"/>
        </w:rPr>
        <w:t>-</w:t>
      </w:r>
      <w:r>
        <w:rPr>
          <w:spacing w:val="6"/>
          <w:sz w:val="20"/>
        </w:rPr>
        <w:t> </w:t>
      </w:r>
      <w:r>
        <w:rPr>
          <w:w w:val="90"/>
          <w:sz w:val="20"/>
        </w:rPr>
        <w:t>+33</w:t>
      </w:r>
      <w:r>
        <w:rPr>
          <w:spacing w:val="1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9"/>
          <w:sz w:val="20"/>
        </w:rPr>
        <w:t> </w:t>
      </w:r>
      <w:r>
        <w:rPr>
          <w:w w:val="90"/>
          <w:sz w:val="20"/>
        </w:rPr>
        <w:t>26</w:t>
      </w:r>
      <w:r>
        <w:rPr>
          <w:spacing w:val="5"/>
          <w:sz w:val="20"/>
        </w:rPr>
        <w:t> </w:t>
      </w:r>
      <w:r>
        <w:rPr>
          <w:w w:val="90"/>
          <w:sz w:val="20"/>
        </w:rPr>
        <w:t>27</w:t>
      </w:r>
      <w:r>
        <w:rPr>
          <w:spacing w:val="9"/>
          <w:sz w:val="20"/>
        </w:rPr>
        <w:t> </w:t>
      </w:r>
      <w:r>
        <w:rPr>
          <w:w w:val="90"/>
          <w:sz w:val="20"/>
        </w:rPr>
        <w:t>37</w:t>
      </w:r>
      <w:r>
        <w:rPr>
          <w:spacing w:val="6"/>
          <w:sz w:val="20"/>
        </w:rPr>
        <w:t> </w:t>
      </w:r>
      <w:r>
        <w:rPr>
          <w:spacing w:val="-5"/>
          <w:w w:val="90"/>
          <w:sz w:val="20"/>
        </w:rPr>
        <w:t>05</w:t>
      </w:r>
    </w:p>
    <w:p>
      <w:pPr>
        <w:pStyle w:val="Heading2"/>
        <w:spacing w:before="3"/>
      </w:pPr>
      <w:r>
        <w:rPr>
          <w:spacing w:val="-5"/>
        </w:rPr>
        <w:t>ou</w:t>
      </w:r>
    </w:p>
    <w:p>
      <w:pPr>
        <w:spacing w:before="3"/>
        <w:ind w:left="48" w:right="14" w:firstLine="0"/>
        <w:jc w:val="center"/>
        <w:rPr>
          <w:sz w:val="20"/>
        </w:rPr>
      </w:pPr>
      <w:r>
        <w:rPr>
          <w:w w:val="90"/>
          <w:sz w:val="20"/>
        </w:rPr>
        <w:t>+33(0)1</w:t>
      </w:r>
      <w:r>
        <w:rPr>
          <w:spacing w:val="18"/>
          <w:sz w:val="20"/>
        </w:rPr>
        <w:t> </w:t>
      </w:r>
      <w:r>
        <w:rPr>
          <w:w w:val="90"/>
          <w:sz w:val="20"/>
        </w:rPr>
        <w:t>53</w:t>
      </w:r>
      <w:r>
        <w:rPr>
          <w:spacing w:val="19"/>
          <w:sz w:val="20"/>
        </w:rPr>
        <w:t> </w:t>
      </w:r>
      <w:r>
        <w:rPr>
          <w:w w:val="90"/>
          <w:sz w:val="20"/>
        </w:rPr>
        <w:t>65</w:t>
      </w:r>
      <w:r>
        <w:rPr>
          <w:spacing w:val="18"/>
          <w:sz w:val="20"/>
        </w:rPr>
        <w:t> </w:t>
      </w:r>
      <w:r>
        <w:rPr>
          <w:w w:val="90"/>
          <w:sz w:val="20"/>
        </w:rPr>
        <w:t>24</w:t>
      </w:r>
      <w:r>
        <w:rPr>
          <w:spacing w:val="19"/>
          <w:sz w:val="20"/>
        </w:rPr>
        <w:t> </w:t>
      </w:r>
      <w:r>
        <w:rPr>
          <w:w w:val="90"/>
          <w:sz w:val="20"/>
        </w:rPr>
        <w:t>78</w:t>
      </w:r>
      <w:r>
        <w:rPr>
          <w:spacing w:val="22"/>
          <w:sz w:val="20"/>
        </w:rPr>
        <w:t> </w:t>
      </w:r>
      <w:r>
        <w:rPr>
          <w:w w:val="90"/>
          <w:sz w:val="20"/>
        </w:rPr>
        <w:t>-</w:t>
      </w:r>
      <w:r>
        <w:rPr>
          <w:spacing w:val="20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directiondelacommunication@groupe-</w:t>
        </w:r>
        <w:r>
          <w:rPr>
            <w:color w:val="0000FF"/>
            <w:spacing w:val="-2"/>
            <w:w w:val="90"/>
            <w:sz w:val="20"/>
            <w:u w:val="single" w:color="0000FF"/>
          </w:rPr>
          <w:t>casino.fr</w:t>
        </w:r>
      </w:hyperlink>
    </w:p>
    <w:p>
      <w:pPr>
        <w:pStyle w:val="BodyText"/>
        <w:spacing w:before="4"/>
        <w:rPr>
          <w:i w:val="0"/>
          <w:sz w:val="20"/>
        </w:rPr>
      </w:pPr>
    </w:p>
    <w:p>
      <w:pPr>
        <w:pStyle w:val="Heading2"/>
        <w:ind w:right="13"/>
      </w:pPr>
      <w:r>
        <w:rPr/>
        <w:t>Agence 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5"/>
        <w:ind w:left="48" w:right="13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11"/>
          <w:sz w:val="20"/>
        </w:rPr>
        <w:t> </w:t>
      </w:r>
      <w:r>
        <w:rPr>
          <w:w w:val="85"/>
          <w:sz w:val="20"/>
        </w:rPr>
        <w:t>70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0">
        <w:r>
          <w:rPr>
            <w:color w:val="0000FF"/>
            <w:spacing w:val="-2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48" w:right="13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6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Tel</w:t>
      </w:r>
      <w:r>
        <w:rPr>
          <w:spacing w:val="-7"/>
          <w:sz w:val="20"/>
        </w:rPr>
        <w:t> </w:t>
      </w:r>
      <w:r>
        <w:rPr>
          <w:w w:val="85"/>
          <w:sz w:val="20"/>
        </w:rPr>
        <w:t>: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+</w:t>
      </w:r>
      <w:r>
        <w:rPr>
          <w:spacing w:val="-4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9"/>
          <w:sz w:val="20"/>
        </w:rPr>
        <w:t> </w:t>
      </w:r>
      <w:r>
        <w:rPr>
          <w:w w:val="85"/>
          <w:sz w:val="20"/>
        </w:rPr>
        <w:t>11</w:t>
      </w:r>
      <w:r>
        <w:rPr>
          <w:spacing w:val="-8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7"/>
          <w:sz w:val="20"/>
        </w:rPr>
        <w:t> </w:t>
      </w:r>
      <w:r>
        <w:rPr>
          <w:w w:val="85"/>
          <w:sz w:val="20"/>
        </w:rPr>
        <w:t>-</w:t>
      </w:r>
      <w:r>
        <w:rPr>
          <w:spacing w:val="-7"/>
          <w:w w:val="85"/>
          <w:sz w:val="20"/>
        </w:rPr>
        <w:t> </w:t>
      </w:r>
      <w:hyperlink r:id="rId11">
        <w:r>
          <w:rPr>
            <w:color w:val="0000FF"/>
            <w:spacing w:val="-2"/>
            <w:w w:val="85"/>
            <w:sz w:val="20"/>
            <w:u w:val="single" w:color="0000FF"/>
          </w:rPr>
          <w:t>lpoinsot@image7.fr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18"/>
        <w:rPr>
          <w:i w:val="0"/>
          <w:sz w:val="20"/>
        </w:rPr>
      </w:pPr>
    </w:p>
    <w:p>
      <w:pPr>
        <w:spacing w:before="0"/>
        <w:ind w:left="52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Mercredi</w:t>
      </w:r>
      <w:r>
        <w:rPr>
          <w:spacing w:val="-5"/>
          <w:sz w:val="20"/>
        </w:rPr>
        <w:t> </w:t>
      </w:r>
      <w:r>
        <w:rPr>
          <w:w w:val="90"/>
          <w:sz w:val="20"/>
        </w:rPr>
        <w:t>14</w:t>
      </w:r>
      <w:r>
        <w:rPr>
          <w:spacing w:val="-7"/>
          <w:sz w:val="20"/>
        </w:rPr>
        <w:t> </w:t>
      </w:r>
      <w:r>
        <w:rPr>
          <w:w w:val="90"/>
          <w:sz w:val="20"/>
        </w:rPr>
        <w:t>juin</w:t>
      </w:r>
      <w:r>
        <w:rPr>
          <w:spacing w:val="-6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4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7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sectPr>
      <w:type w:val="continuous"/>
      <w:pgSz w:w="11910" w:h="16840"/>
      <w:pgMar w:top="1720" w:bottom="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8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48" w:right="12"/>
      <w:jc w:val="center"/>
      <w:outlineLvl w:val="2"/>
    </w:pPr>
    <w:rPr>
      <w:rFonts w:ascii="Tahoma" w:hAnsi="Tahoma" w:eastAsia="Tahoma" w:cs="Tahom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34"/>
      <w:ind w:left="44"/>
      <w:jc w:val="center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2023-12-07T10:07:50Z</dcterms:created>
  <dcterms:modified xsi:type="dcterms:W3CDTF">2023-12-07T10:07:50Z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2023-12-07T00:00:00Z</vt:filetime>
  </property>
</Properties>
</file>