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.4499pt;margin-top:14.399982pt;width:593.9pt;height:827.55pt;mso-position-horizontal-relative:page;mso-position-vertical-relative:page;z-index:-15768576" coordorigin="29,288" coordsize="11878,16551">
            <v:shape style="position:absolute;left:29;top:338;width:11878;height:16500" type="#_x0000_t75" stroked="false">
              <v:imagedata r:id="rId5" o:title=""/>
            </v:shape>
            <v:shape style="position:absolute;left:618;top:288;width:1915;height:720" type="#_x0000_t75" stroked="false">
              <v:imagedata r:id="rId6" o:title=""/>
            </v:shape>
            <v:rect style="position:absolute;left:4599;top:12988;width:2706;height:12" filled="true" fillcolor="#000000" stroked="false">
              <v:fill type="solid"/>
            </v:rect>
            <v:rect style="position:absolute;left:7107;top:15628;width:1839;height:12" filled="true" fillcolor="#0000ff" stroked="false">
              <v:fill type="solid"/>
            </v:rect>
            <w10:wrap type="none"/>
          </v:group>
        </w:pict>
      </w:r>
      <w:r>
        <w:rPr>
          <w:color w:val="6460A9"/>
        </w:rPr>
        <w:t>Projet</w:t>
      </w:r>
      <w:r>
        <w:rPr>
          <w:color w:val="6460A9"/>
          <w:spacing w:val="-5"/>
        </w:rPr>
        <w:t> </w:t>
      </w:r>
      <w:r>
        <w:rPr>
          <w:color w:val="6460A9"/>
        </w:rPr>
        <w:t>de</w:t>
      </w:r>
      <w:r>
        <w:rPr>
          <w:color w:val="6460A9"/>
          <w:spacing w:val="-1"/>
        </w:rPr>
        <w:t> </w:t>
      </w:r>
      <w:r>
        <w:rPr>
          <w:color w:val="6460A9"/>
        </w:rPr>
        <w:t>partenariat</w:t>
      </w:r>
      <w:r>
        <w:rPr>
          <w:color w:val="6460A9"/>
          <w:spacing w:val="-5"/>
        </w:rPr>
        <w:t> </w:t>
      </w:r>
      <w:r>
        <w:rPr>
          <w:color w:val="6460A9"/>
        </w:rPr>
        <w:t>entre</w:t>
      </w:r>
      <w:r>
        <w:rPr>
          <w:color w:val="6460A9"/>
          <w:spacing w:val="-4"/>
        </w:rPr>
        <w:t> </w:t>
      </w:r>
      <w:r>
        <w:rPr>
          <w:color w:val="6460A9"/>
        </w:rPr>
        <w:t>les</w:t>
      </w:r>
      <w:r>
        <w:rPr>
          <w:color w:val="6460A9"/>
          <w:spacing w:val="-2"/>
        </w:rPr>
        <w:t> </w:t>
      </w:r>
      <w:r>
        <w:rPr>
          <w:color w:val="6460A9"/>
        </w:rPr>
        <w:t>groupes</w:t>
      </w:r>
      <w:r>
        <w:rPr>
          <w:color w:val="6460A9"/>
          <w:spacing w:val="-1"/>
        </w:rPr>
        <w:t> </w:t>
      </w:r>
      <w:r>
        <w:rPr>
          <w:color w:val="6460A9"/>
        </w:rPr>
        <w:t>Prosol</w:t>
      </w:r>
      <w:r>
        <w:rPr>
          <w:color w:val="6460A9"/>
          <w:spacing w:val="-2"/>
        </w:rPr>
        <w:t> </w:t>
      </w:r>
      <w:r>
        <w:rPr>
          <w:color w:val="6460A9"/>
        </w:rPr>
        <w:t>et Casino</w:t>
      </w:r>
    </w:p>
    <w:p>
      <w:pPr>
        <w:spacing w:before="246"/>
        <w:ind w:left="112" w:right="0" w:firstLine="0"/>
        <w:jc w:val="both"/>
        <w:rPr>
          <w:sz w:val="22"/>
        </w:rPr>
      </w:pPr>
      <w:r>
        <w:rPr>
          <w:w w:val="85"/>
          <w:sz w:val="22"/>
        </w:rPr>
        <w:t>Paris,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le</w:t>
      </w:r>
      <w:r>
        <w:rPr>
          <w:spacing w:val="8"/>
          <w:w w:val="85"/>
          <w:sz w:val="22"/>
        </w:rPr>
        <w:t> </w:t>
      </w:r>
      <w:r>
        <w:rPr>
          <w:w w:val="85"/>
          <w:sz w:val="22"/>
        </w:rPr>
        <w:t>30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juin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2023</w:t>
      </w:r>
    </w:p>
    <w:p>
      <w:pPr>
        <w:spacing w:line="240" w:lineRule="auto" w:before="3"/>
        <w:rPr>
          <w:sz w:val="33"/>
        </w:rPr>
      </w:pPr>
    </w:p>
    <w:p>
      <w:pPr>
        <w:spacing w:line="278" w:lineRule="auto" w:before="0"/>
        <w:ind w:left="112" w:right="108" w:firstLine="0"/>
        <w:jc w:val="both"/>
        <w:rPr>
          <w:sz w:val="22"/>
        </w:rPr>
      </w:pPr>
      <w:r>
        <w:rPr>
          <w:w w:val="95"/>
          <w:sz w:val="22"/>
        </w:rPr>
        <w:t>Les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groupes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Prosol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Casino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annoncent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avoir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conclu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jour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accord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préliminaire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relatif</w:t>
      </w:r>
      <w:r>
        <w:rPr>
          <w:spacing w:val="-71"/>
          <w:w w:val="95"/>
          <w:sz w:val="22"/>
        </w:rPr>
        <w:t> </w:t>
      </w:r>
      <w:r>
        <w:rPr>
          <w:sz w:val="22"/>
        </w:rPr>
        <w:t>à un partenariat d’envergure aux termes duquel le groupe Prosol mettrait en œuvre le</w:t>
      </w:r>
      <w:r>
        <w:rPr>
          <w:spacing w:val="-75"/>
          <w:sz w:val="22"/>
        </w:rPr>
        <w:t> </w:t>
      </w:r>
      <w:r>
        <w:rPr>
          <w:sz w:val="22"/>
        </w:rPr>
        <w:t>concept</w:t>
      </w:r>
      <w:r>
        <w:rPr>
          <w:spacing w:val="1"/>
          <w:sz w:val="22"/>
        </w:rPr>
        <w:t> </w:t>
      </w:r>
      <w:r>
        <w:rPr>
          <w:sz w:val="22"/>
        </w:rPr>
        <w:t>« Fresh »</w:t>
      </w:r>
      <w:r>
        <w:rPr>
          <w:spacing w:val="1"/>
          <w:sz w:val="22"/>
        </w:rPr>
        <w:t> </w:t>
      </w:r>
      <w:r>
        <w:rPr>
          <w:sz w:val="22"/>
        </w:rPr>
        <w:t>qu’il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développé</w:t>
      </w:r>
      <w:r>
        <w:rPr>
          <w:spacing w:val="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succès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1"/>
          <w:sz w:val="22"/>
        </w:rPr>
        <w:t> </w:t>
      </w:r>
      <w:r>
        <w:rPr>
          <w:sz w:val="22"/>
        </w:rPr>
        <w:t>sein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hypermarchés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w w:val="95"/>
          <w:sz w:val="22"/>
        </w:rPr>
        <w:t>supermarchés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Casino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certains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magasins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l’enseigne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Monoprix.</w:t>
      </w:r>
    </w:p>
    <w:p>
      <w:pPr>
        <w:spacing w:line="240" w:lineRule="auto" w:before="8"/>
        <w:rPr>
          <w:sz w:val="29"/>
        </w:rPr>
      </w:pPr>
    </w:p>
    <w:p>
      <w:pPr>
        <w:spacing w:line="278" w:lineRule="auto" w:before="0"/>
        <w:ind w:left="112" w:right="109" w:firstLine="0"/>
        <w:jc w:val="both"/>
        <w:rPr>
          <w:sz w:val="22"/>
        </w:rPr>
      </w:pPr>
      <w:r>
        <w:rPr>
          <w:w w:val="95"/>
          <w:sz w:val="22"/>
        </w:rPr>
        <w:t>Ce partenariat permettra de tirer parti de l’expertise inégalée du Group Prosol en matière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 produits frais (fruits et légumes, produits laitiers et de crémerie, poissons, viande) pour</w:t>
      </w:r>
      <w:r>
        <w:rPr>
          <w:spacing w:val="-71"/>
          <w:w w:val="95"/>
          <w:sz w:val="22"/>
        </w:rPr>
        <w:t> </w:t>
      </w:r>
      <w:r>
        <w:rPr>
          <w:w w:val="95"/>
          <w:sz w:val="22"/>
        </w:rPr>
        <w:t>l’appliquer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dans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géographies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idéales sur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lesquelles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Groupe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Casino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est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implanté.</w:t>
      </w:r>
    </w:p>
    <w:p>
      <w:pPr>
        <w:spacing w:line="240" w:lineRule="auto" w:before="6"/>
        <w:rPr>
          <w:sz w:val="29"/>
        </w:rPr>
      </w:pPr>
    </w:p>
    <w:p>
      <w:pPr>
        <w:spacing w:line="280" w:lineRule="auto" w:before="0"/>
        <w:ind w:left="112" w:right="109" w:firstLine="0"/>
        <w:jc w:val="both"/>
        <w:rPr>
          <w:sz w:val="22"/>
        </w:rPr>
      </w:pPr>
      <w:r>
        <w:rPr>
          <w:sz w:val="22"/>
        </w:rPr>
        <w:t>Les</w:t>
      </w:r>
      <w:r>
        <w:rPr>
          <w:spacing w:val="-16"/>
          <w:sz w:val="22"/>
        </w:rPr>
        <w:t> </w:t>
      </w:r>
      <w:r>
        <w:rPr>
          <w:sz w:val="22"/>
        </w:rPr>
        <w:t>parties</w:t>
      </w:r>
      <w:r>
        <w:rPr>
          <w:spacing w:val="-14"/>
          <w:sz w:val="22"/>
        </w:rPr>
        <w:t> </w:t>
      </w:r>
      <w:r>
        <w:rPr>
          <w:sz w:val="22"/>
        </w:rPr>
        <w:t>visent</w:t>
      </w:r>
      <w:r>
        <w:rPr>
          <w:spacing w:val="-15"/>
          <w:sz w:val="22"/>
        </w:rPr>
        <w:t> </w:t>
      </w:r>
      <w:r>
        <w:rPr>
          <w:sz w:val="22"/>
        </w:rPr>
        <w:t>à</w:t>
      </w:r>
      <w:r>
        <w:rPr>
          <w:spacing w:val="-14"/>
          <w:sz w:val="22"/>
        </w:rPr>
        <w:t> </w:t>
      </w:r>
      <w:r>
        <w:rPr>
          <w:sz w:val="22"/>
        </w:rPr>
        <w:t>conclure</w:t>
      </w:r>
      <w:r>
        <w:rPr>
          <w:spacing w:val="-13"/>
          <w:sz w:val="22"/>
        </w:rPr>
        <w:t> </w:t>
      </w:r>
      <w:r>
        <w:rPr>
          <w:sz w:val="22"/>
        </w:rPr>
        <w:t>les</w:t>
      </w:r>
      <w:r>
        <w:rPr>
          <w:spacing w:val="-14"/>
          <w:sz w:val="22"/>
        </w:rPr>
        <w:t> </w:t>
      </w:r>
      <w:r>
        <w:rPr>
          <w:sz w:val="22"/>
        </w:rPr>
        <w:t>accords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principe</w:t>
      </w:r>
      <w:r>
        <w:rPr>
          <w:spacing w:val="-13"/>
          <w:sz w:val="22"/>
        </w:rPr>
        <w:t> </w:t>
      </w:r>
      <w:r>
        <w:rPr>
          <w:sz w:val="22"/>
        </w:rPr>
        <w:t>mettant</w:t>
      </w:r>
      <w:r>
        <w:rPr>
          <w:spacing w:val="-18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œuvre</w:t>
      </w:r>
      <w:r>
        <w:rPr>
          <w:spacing w:val="-16"/>
          <w:sz w:val="22"/>
        </w:rPr>
        <w:t> </w:t>
      </w:r>
      <w:r>
        <w:rPr>
          <w:sz w:val="22"/>
        </w:rPr>
        <w:t>ce</w:t>
      </w:r>
      <w:r>
        <w:rPr>
          <w:spacing w:val="-14"/>
          <w:sz w:val="22"/>
        </w:rPr>
        <w:t> </w:t>
      </w:r>
      <w:r>
        <w:rPr>
          <w:sz w:val="22"/>
        </w:rPr>
        <w:t>partenariat</w:t>
      </w:r>
      <w:r>
        <w:rPr>
          <w:spacing w:val="-15"/>
          <w:sz w:val="22"/>
        </w:rPr>
        <w:t> </w:t>
      </w:r>
      <w:r>
        <w:rPr>
          <w:sz w:val="22"/>
        </w:rPr>
        <w:t>au</w:t>
      </w:r>
      <w:r>
        <w:rPr>
          <w:spacing w:val="-75"/>
          <w:sz w:val="22"/>
        </w:rPr>
        <w:t> </w:t>
      </w:r>
      <w:r>
        <w:rPr>
          <w:sz w:val="22"/>
        </w:rPr>
        <w:t>plus</w:t>
      </w:r>
      <w:r>
        <w:rPr>
          <w:spacing w:val="-20"/>
          <w:sz w:val="22"/>
        </w:rPr>
        <w:t> </w:t>
      </w:r>
      <w:r>
        <w:rPr>
          <w:sz w:val="22"/>
        </w:rPr>
        <w:t>tard</w:t>
      </w:r>
      <w:r>
        <w:rPr>
          <w:spacing w:val="-22"/>
          <w:sz w:val="22"/>
        </w:rPr>
        <w:t> </w:t>
      </w:r>
      <w:r>
        <w:rPr>
          <w:sz w:val="22"/>
        </w:rPr>
        <w:t>le</w:t>
      </w:r>
      <w:r>
        <w:rPr>
          <w:spacing w:val="-18"/>
          <w:sz w:val="22"/>
        </w:rPr>
        <w:t> </w:t>
      </w:r>
      <w:r>
        <w:rPr>
          <w:sz w:val="22"/>
        </w:rPr>
        <w:t>24</w:t>
      </w:r>
      <w:r>
        <w:rPr>
          <w:spacing w:val="-20"/>
          <w:sz w:val="22"/>
        </w:rPr>
        <w:t> </w:t>
      </w:r>
      <w:r>
        <w:rPr>
          <w:sz w:val="22"/>
        </w:rPr>
        <w:t>juillet</w:t>
      </w:r>
      <w:r>
        <w:rPr>
          <w:spacing w:val="-20"/>
          <w:sz w:val="22"/>
        </w:rPr>
        <w:t> </w:t>
      </w:r>
      <w:r>
        <w:rPr>
          <w:sz w:val="22"/>
        </w:rPr>
        <w:t>2023.</w:t>
      </w:r>
    </w:p>
    <w:p>
      <w:pPr>
        <w:pStyle w:val="Heading1"/>
        <w:spacing w:before="112"/>
      </w:pPr>
      <w:r>
        <w:rPr>
          <w:color w:val="6460A9"/>
        </w:rPr>
        <w:t>***</w:t>
      </w:r>
    </w:p>
    <w:p>
      <w:pPr>
        <w:pStyle w:val="BodyText"/>
        <w:rPr>
          <w:rFonts w:ascii="Arial"/>
          <w:b/>
          <w:i w:val="0"/>
          <w:sz w:val="26"/>
        </w:rPr>
      </w:pPr>
    </w:p>
    <w:p>
      <w:pPr>
        <w:pStyle w:val="BodyText"/>
        <w:rPr>
          <w:rFonts w:ascii="Arial"/>
          <w:b/>
          <w:i w:val="0"/>
          <w:sz w:val="26"/>
        </w:rPr>
      </w:pPr>
    </w:p>
    <w:p>
      <w:pPr>
        <w:pStyle w:val="BodyText"/>
        <w:rPr>
          <w:rFonts w:ascii="Arial"/>
          <w:b/>
          <w:i w:val="0"/>
          <w:sz w:val="26"/>
        </w:rPr>
      </w:pPr>
    </w:p>
    <w:p>
      <w:pPr>
        <w:pStyle w:val="BodyText"/>
        <w:spacing w:line="278" w:lineRule="auto" w:before="190"/>
        <w:ind w:left="112" w:right="112"/>
        <w:jc w:val="both"/>
      </w:pPr>
      <w:r>
        <w:rPr/>
        <w:t>Ce communiqué a été préparé uniquement à titre informatif et ne doit pas être interprété comme une</w:t>
      </w:r>
      <w:r>
        <w:rPr>
          <w:spacing w:val="1"/>
        </w:rPr>
        <w:t> </w:t>
      </w:r>
      <w:r>
        <w:rPr/>
        <w:t>sollicitation</w:t>
      </w:r>
      <w:r>
        <w:rPr>
          <w:spacing w:val="-6"/>
        </w:rPr>
        <w:t> </w:t>
      </w:r>
      <w:r>
        <w:rPr/>
        <w:t>ou</w:t>
      </w:r>
      <w:r>
        <w:rPr>
          <w:spacing w:val="-7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6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vente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valeurs</w:t>
      </w:r>
      <w:r>
        <w:rPr>
          <w:spacing w:val="-6"/>
        </w:rPr>
        <w:t> </w:t>
      </w:r>
      <w:r>
        <w:rPr/>
        <w:t>mobilières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financiers</w:t>
      </w:r>
      <w:r>
        <w:rPr>
          <w:spacing w:val="-8"/>
        </w:rPr>
        <w:t> </w:t>
      </w:r>
      <w:r>
        <w:rPr/>
        <w:t>connexes.</w:t>
      </w:r>
      <w:r>
        <w:rPr>
          <w:spacing w:val="-5"/>
        </w:rPr>
        <w:t> </w:t>
      </w:r>
      <w:r>
        <w:rPr/>
        <w:t>De</w:t>
      </w:r>
      <w:r>
        <w:rPr>
          <w:spacing w:val="-60"/>
        </w:rPr>
        <w:t> </w:t>
      </w:r>
      <w:r>
        <w:rPr/>
        <w:t>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1"/>
        </w:rPr>
        <w:t> </w:t>
      </w:r>
      <w:r>
        <w:rPr/>
        <w:t>donne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et</w:t>
      </w:r>
      <w:r>
        <w:rPr>
          <w:spacing w:val="-9"/>
        </w:rPr>
        <w:t> </w:t>
      </w:r>
      <w:r>
        <w:rPr/>
        <w:t>ne</w:t>
      </w:r>
      <w:r>
        <w:rPr>
          <w:spacing w:val="-11"/>
        </w:rPr>
        <w:t> </w:t>
      </w:r>
      <w:r>
        <w:rPr/>
        <w:t>doit</w:t>
      </w:r>
      <w:r>
        <w:rPr>
          <w:spacing w:val="-8"/>
        </w:rPr>
        <w:t> </w:t>
      </w:r>
      <w:r>
        <w:rPr/>
        <w:t>pas</w:t>
      </w:r>
      <w:r>
        <w:rPr>
          <w:spacing w:val="-10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10"/>
        </w:rPr>
        <w:t> </w:t>
      </w:r>
      <w:r>
        <w:rPr/>
        <w:t>Il</w:t>
      </w:r>
      <w:r>
        <w:rPr>
          <w:spacing w:val="-11"/>
        </w:rPr>
        <w:t> </w:t>
      </w:r>
      <w:r>
        <w:rPr/>
        <w:t>n'a</w:t>
      </w:r>
      <w:r>
        <w:rPr>
          <w:spacing w:val="-10"/>
        </w:rPr>
        <w:t> </w:t>
      </w:r>
      <w:r>
        <w:rPr/>
        <w:t>aucun</w:t>
      </w:r>
      <w:r>
        <w:rPr>
          <w:spacing w:val="-11"/>
        </w:rPr>
        <w:t> </w:t>
      </w:r>
      <w:r>
        <w:rPr/>
        <w:t>égard</w:t>
      </w:r>
      <w:r>
        <w:rPr>
          <w:spacing w:val="-11"/>
        </w:rPr>
        <w:t> </w:t>
      </w:r>
      <w:r>
        <w:rPr/>
        <w:t>aux</w:t>
      </w:r>
      <w:r>
        <w:rPr>
          <w:spacing w:val="-61"/>
        </w:rPr>
        <w:t> </w:t>
      </w:r>
      <w:r>
        <w:rPr/>
        <w:t>objectifs de placement, la situation financière ou des besoins particuliers de tout récepteur. Aucune</w:t>
      </w:r>
      <w:r>
        <w:rPr>
          <w:spacing w:val="1"/>
        </w:rPr>
        <w:t> </w:t>
      </w:r>
      <w:r>
        <w:rPr>
          <w:w w:val="95"/>
        </w:rPr>
        <w:t>représentation ou garantie, expresse ou implicite, n'est fournie par rapport à l'exactitude, l'exhaustivité ou la</w:t>
      </w:r>
      <w:r>
        <w:rPr>
          <w:spacing w:val="1"/>
          <w:w w:val="95"/>
        </w:rPr>
        <w:t>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2"/>
        </w:rPr>
        <w:t> </w:t>
      </w:r>
      <w:r>
        <w:rPr/>
        <w:t>informations</w:t>
      </w:r>
      <w:r>
        <w:rPr>
          <w:spacing w:val="-11"/>
        </w:rPr>
        <w:t> </w:t>
      </w:r>
      <w:r>
        <w:rPr/>
        <w:t>contenues</w:t>
      </w:r>
      <w:r>
        <w:rPr>
          <w:spacing w:val="-12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10"/>
        </w:rPr>
        <w:t> </w:t>
      </w:r>
      <w:r>
        <w:rPr/>
        <w:t>ne</w:t>
      </w:r>
      <w:r>
        <w:rPr>
          <w:spacing w:val="-11"/>
        </w:rPr>
        <w:t> </w:t>
      </w:r>
      <w:r>
        <w:rPr/>
        <w:t>devrait</w:t>
      </w:r>
      <w:r>
        <w:rPr>
          <w:spacing w:val="-10"/>
        </w:rPr>
        <w:t> </w:t>
      </w:r>
      <w:r>
        <w:rPr/>
        <w:t>pas</w:t>
      </w:r>
      <w:r>
        <w:rPr>
          <w:spacing w:val="-12"/>
        </w:rPr>
        <w:t> </w:t>
      </w:r>
      <w:r>
        <w:rPr/>
        <w:t>être</w:t>
      </w:r>
      <w:r>
        <w:rPr>
          <w:spacing w:val="-13"/>
        </w:rPr>
        <w:t> </w:t>
      </w:r>
      <w:r>
        <w:rPr/>
        <w:t>considéré</w:t>
      </w:r>
      <w:r>
        <w:rPr>
          <w:spacing w:val="-11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2"/>
        </w:rPr>
        <w:t> </w:t>
      </w:r>
      <w:r>
        <w:rPr/>
        <w:t>bénéficiaires</w:t>
      </w:r>
      <w:r>
        <w:rPr>
          <w:spacing w:val="-61"/>
        </w:rPr>
        <w:t> </w:t>
      </w:r>
      <w:r>
        <w:rPr>
          <w:w w:val="95"/>
        </w:rPr>
        <w:t>comme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substitut</w:t>
      </w:r>
      <w:r>
        <w:rPr>
          <w:spacing w:val="-4"/>
          <w:w w:val="95"/>
        </w:rPr>
        <w:t> </w:t>
      </w:r>
      <w:r>
        <w:rPr>
          <w:w w:val="95"/>
        </w:rPr>
        <w:t>à</w:t>
      </w:r>
      <w:r>
        <w:rPr>
          <w:spacing w:val="-8"/>
          <w:w w:val="95"/>
        </w:rPr>
        <w:t> </w:t>
      </w:r>
      <w:r>
        <w:rPr>
          <w:w w:val="95"/>
        </w:rPr>
        <w:t>l'exercice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leur</w:t>
      </w:r>
      <w:r>
        <w:rPr>
          <w:spacing w:val="-3"/>
          <w:w w:val="95"/>
        </w:rPr>
        <w:t> </w:t>
      </w:r>
      <w:r>
        <w:rPr>
          <w:w w:val="95"/>
        </w:rPr>
        <w:t>propre</w:t>
      </w:r>
      <w:r>
        <w:rPr>
          <w:spacing w:val="-7"/>
          <w:w w:val="95"/>
        </w:rPr>
        <w:t> </w:t>
      </w:r>
      <w:r>
        <w:rPr>
          <w:w w:val="95"/>
        </w:rPr>
        <w:t>jugement.</w:t>
      </w:r>
      <w:r>
        <w:rPr>
          <w:spacing w:val="-8"/>
          <w:w w:val="95"/>
        </w:rPr>
        <w:t> </w:t>
      </w:r>
      <w:r>
        <w:rPr>
          <w:w w:val="95"/>
        </w:rPr>
        <w:t>Toutes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8"/>
          <w:w w:val="95"/>
        </w:rPr>
        <w:t> </w:t>
      </w:r>
      <w:r>
        <w:rPr>
          <w:w w:val="95"/>
        </w:rPr>
        <w:t>opinions</w:t>
      </w:r>
      <w:r>
        <w:rPr>
          <w:spacing w:val="-5"/>
          <w:w w:val="95"/>
        </w:rPr>
        <w:t> </w:t>
      </w:r>
      <w:r>
        <w:rPr>
          <w:w w:val="95"/>
        </w:rPr>
        <w:t>exprimées</w:t>
      </w:r>
      <w:r>
        <w:rPr>
          <w:spacing w:val="-5"/>
          <w:w w:val="95"/>
        </w:rPr>
        <w:t> </w:t>
      </w:r>
      <w:r>
        <w:rPr>
          <w:w w:val="95"/>
        </w:rPr>
        <w:t>dans</w:t>
      </w:r>
      <w:r>
        <w:rPr>
          <w:spacing w:val="-5"/>
          <w:w w:val="95"/>
        </w:rPr>
        <w:t> </w:t>
      </w:r>
      <w:r>
        <w:rPr>
          <w:w w:val="95"/>
        </w:rPr>
        <w:t>ce</w:t>
      </w:r>
      <w:r>
        <w:rPr>
          <w:spacing w:val="-7"/>
          <w:w w:val="95"/>
        </w:rPr>
        <w:t> </w:t>
      </w:r>
      <w:r>
        <w:rPr>
          <w:w w:val="95"/>
        </w:rPr>
        <w:t>document</w:t>
      </w:r>
      <w:r>
        <w:rPr>
          <w:spacing w:val="-4"/>
          <w:w w:val="95"/>
        </w:rPr>
        <w:t> </w:t>
      </w:r>
      <w:r>
        <w:rPr>
          <w:w w:val="95"/>
        </w:rPr>
        <w:t>sont</w:t>
      </w:r>
      <w:r>
        <w:rPr>
          <w:spacing w:val="1"/>
          <w:w w:val="95"/>
        </w:rPr>
        <w:t> </w:t>
      </w:r>
      <w:r>
        <w:rPr/>
        <w:t>sujettes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changement</w:t>
      </w:r>
      <w:r>
        <w:rPr>
          <w:spacing w:val="-11"/>
        </w:rPr>
        <w:t> </w:t>
      </w:r>
      <w:r>
        <w:rPr/>
        <w:t>sans</w:t>
      </w:r>
      <w:r>
        <w:rPr>
          <w:spacing w:val="-17"/>
        </w:rPr>
        <w:t> </w:t>
      </w:r>
      <w:r>
        <w:rPr/>
        <w:t>préavis.</w:t>
      </w: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7"/>
        <w:rPr>
          <w:i/>
          <w:sz w:val="20"/>
        </w:rPr>
      </w:pPr>
    </w:p>
    <w:p>
      <w:pPr>
        <w:pStyle w:val="Heading1"/>
      </w:pPr>
      <w:r>
        <w:rPr>
          <w:color w:val="6460A9"/>
        </w:rPr>
        <w:t>***</w:t>
      </w:r>
    </w:p>
    <w:p>
      <w:pPr>
        <w:pStyle w:val="BodyText"/>
        <w:rPr>
          <w:rFonts w:ascii="Arial"/>
          <w:b/>
          <w:i w:val="0"/>
          <w:sz w:val="26"/>
        </w:rPr>
      </w:pPr>
    </w:p>
    <w:p>
      <w:pPr>
        <w:pStyle w:val="BodyText"/>
        <w:spacing w:before="8"/>
        <w:rPr>
          <w:rFonts w:ascii="Arial"/>
          <w:b/>
          <w:i w:val="0"/>
          <w:sz w:val="22"/>
        </w:rPr>
      </w:pPr>
    </w:p>
    <w:p>
      <w:pPr>
        <w:spacing w:before="0"/>
        <w:ind w:left="1208" w:right="121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 ANALYSTES</w:t>
      </w:r>
      <w:r>
        <w:rPr>
          <w:rFonts w:ascii="Arial"/>
          <w:b/>
          <w:color w:val="6460A9"/>
          <w:spacing w:val="-3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5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spacing w:before="45"/>
        <w:ind w:left="2710" w:right="2713" w:firstLine="0"/>
        <w:jc w:val="center"/>
        <w:rPr>
          <w:sz w:val="20"/>
        </w:rPr>
      </w:pPr>
      <w:r>
        <w:rPr>
          <w:b/>
          <w:w w:val="80"/>
          <w:sz w:val="20"/>
        </w:rPr>
        <w:t>Christopher</w:t>
      </w:r>
      <w:r>
        <w:rPr>
          <w:b/>
          <w:spacing w:val="13"/>
          <w:w w:val="80"/>
          <w:sz w:val="20"/>
        </w:rPr>
        <w:t> </w:t>
      </w:r>
      <w:r>
        <w:rPr>
          <w:b/>
          <w:w w:val="80"/>
          <w:sz w:val="20"/>
        </w:rPr>
        <w:t>WELTON</w:t>
      </w:r>
      <w:r>
        <w:rPr>
          <w:b/>
          <w:spacing w:val="13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Tél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: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+33</w:t>
      </w:r>
      <w:r>
        <w:rPr>
          <w:spacing w:val="14"/>
          <w:w w:val="80"/>
          <w:sz w:val="20"/>
        </w:rPr>
        <w:t> </w:t>
      </w:r>
      <w:r>
        <w:rPr>
          <w:w w:val="80"/>
          <w:sz w:val="20"/>
        </w:rPr>
        <w:t>(0)1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53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65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64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17</w:t>
      </w:r>
      <w:r>
        <w:rPr>
          <w:spacing w:val="-54"/>
          <w:w w:val="80"/>
          <w:sz w:val="20"/>
        </w:rPr>
        <w:t> </w:t>
      </w:r>
      <w:hyperlink r:id="rId7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pStyle w:val="Heading2"/>
        <w:spacing w:before="4"/>
      </w:pPr>
      <w:r>
        <w:rPr/>
        <w:t>ou</w:t>
      </w:r>
    </w:p>
    <w:p>
      <w:pPr>
        <w:spacing w:before="40"/>
        <w:ind w:left="1211" w:right="1213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38"/>
        <w:ind w:left="1210" w:right="1213" w:firstLine="0"/>
        <w:jc w:val="center"/>
        <w:rPr>
          <w:sz w:val="20"/>
        </w:rPr>
      </w:pPr>
      <w:hyperlink r:id="rId8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1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spacing w:line="240" w:lineRule="auto" w:before="1"/>
        <w:rPr>
          <w:sz w:val="25"/>
        </w:rPr>
      </w:pPr>
    </w:p>
    <w:p>
      <w:pPr>
        <w:pStyle w:val="Heading1"/>
        <w:spacing w:before="93"/>
        <w:ind w:right="1205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pStyle w:val="Heading2"/>
        <w:spacing w:before="7"/>
        <w:ind w:left="1208"/>
      </w:pPr>
      <w:r>
        <w:rPr>
          <w:w w:val="85"/>
        </w:rPr>
        <w:t>Groupe</w:t>
      </w:r>
      <w:r>
        <w:rPr>
          <w:spacing w:val="15"/>
          <w:w w:val="85"/>
        </w:rPr>
        <w:t> </w:t>
      </w:r>
      <w:r>
        <w:rPr>
          <w:w w:val="85"/>
        </w:rPr>
        <w:t>Casino</w:t>
      </w:r>
      <w:r>
        <w:rPr>
          <w:spacing w:val="19"/>
          <w:w w:val="85"/>
        </w:rPr>
        <w:t> </w:t>
      </w:r>
      <w:r>
        <w:rPr>
          <w:w w:val="85"/>
        </w:rPr>
        <w:t>–</w:t>
      </w:r>
      <w:r>
        <w:rPr>
          <w:spacing w:val="18"/>
          <w:w w:val="85"/>
        </w:rPr>
        <w:t> </w:t>
      </w:r>
      <w:r>
        <w:rPr>
          <w:w w:val="85"/>
        </w:rPr>
        <w:t>Direction</w:t>
      </w:r>
      <w:r>
        <w:rPr>
          <w:spacing w:val="18"/>
          <w:w w:val="85"/>
        </w:rPr>
        <w:t> </w:t>
      </w:r>
      <w:r>
        <w:rPr>
          <w:w w:val="85"/>
        </w:rPr>
        <w:t>de</w:t>
      </w:r>
      <w:r>
        <w:rPr>
          <w:spacing w:val="17"/>
          <w:w w:val="85"/>
        </w:rPr>
        <w:t> </w:t>
      </w:r>
      <w:r>
        <w:rPr>
          <w:w w:val="85"/>
        </w:rPr>
        <w:t>la</w:t>
      </w:r>
      <w:r>
        <w:rPr>
          <w:spacing w:val="17"/>
          <w:w w:val="85"/>
        </w:rPr>
        <w:t> </w:t>
      </w:r>
      <w:r>
        <w:rPr>
          <w:w w:val="85"/>
        </w:rPr>
        <w:t>Communication</w:t>
      </w:r>
    </w:p>
    <w:p>
      <w:pPr>
        <w:spacing w:before="2"/>
        <w:ind w:left="1211" w:right="1213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hyperlink r:id="rId9">
        <w:r>
          <w:rPr>
            <w:w w:val="90"/>
            <w:sz w:val="20"/>
          </w:rPr>
          <w:t>sabadie@groupe-casino.fr</w:t>
        </w:r>
        <w:r>
          <w:rPr>
            <w:spacing w:val="14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pStyle w:val="Heading2"/>
      </w:pPr>
      <w:r>
        <w:rPr/>
        <w:t>ou</w:t>
      </w:r>
    </w:p>
    <w:p>
      <w:pPr>
        <w:spacing w:before="3"/>
        <w:ind w:left="1210" w:right="1213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10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spacing w:line="240" w:lineRule="auto" w:before="3"/>
        <w:rPr>
          <w:sz w:val="12"/>
        </w:rPr>
      </w:pPr>
    </w:p>
    <w:p>
      <w:pPr>
        <w:pStyle w:val="Heading2"/>
        <w:spacing w:before="100"/>
        <w:ind w:left="1211"/>
      </w:pPr>
      <w:r>
        <w:rPr>
          <w:w w:val="90"/>
        </w:rPr>
        <w:t>Agence</w:t>
      </w:r>
      <w:r>
        <w:rPr>
          <w:spacing w:val="-8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7</w:t>
      </w:r>
    </w:p>
    <w:p>
      <w:pPr>
        <w:spacing w:before="1"/>
        <w:ind w:left="1211" w:right="1213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0"/>
          <w:w w:val="85"/>
          <w:sz w:val="20"/>
        </w:rPr>
        <w:t> </w:t>
      </w:r>
      <w:hyperlink r:id="rId11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1211" w:right="1213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2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"/>
        <w:rPr>
          <w:sz w:val="20"/>
        </w:rPr>
      </w:pPr>
    </w:p>
    <w:p>
      <w:pPr>
        <w:spacing w:before="0"/>
        <w:ind w:left="144" w:right="0" w:firstLine="0"/>
        <w:jc w:val="left"/>
        <w:rPr>
          <w:b/>
          <w:sz w:val="20"/>
        </w:rPr>
      </w:pPr>
      <w:r>
        <w:rPr>
          <w:w w:val="90"/>
          <w:sz w:val="20"/>
        </w:rPr>
        <w:t>Vendredi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30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juin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4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</w:p>
    <w:sectPr>
      <w:type w:val="continuous"/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213" w:right="1213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212" w:right="1213"/>
      <w:jc w:val="center"/>
      <w:outlineLvl w:val="2"/>
    </w:pPr>
    <w:rPr>
      <w:rFonts w:ascii="Verdana" w:hAnsi="Verdana" w:eastAsia="Verdana" w:cs="Verdan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1213" w:right="1213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sabadi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2023-12-04T14:32:28Z</dcterms:created>
  <dcterms:modified xsi:type="dcterms:W3CDTF">2023-12-04T14:32:28Z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LastSaved">
    <vt:filetime>2023-12-04T00:00:00Z</vt:filetime>
  </property>
</Properties>
</file>