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64" w:lineRule="auto"/>
      </w:pPr>
      <w:r>
        <w:rPr/>
        <w:drawing>
          <wp:anchor distT="0" distB="0" distL="0" distR="0" allowOverlap="1" layoutInCell="1" locked="0" behindDoc="1" simplePos="0" relativeHeight="487393792">
            <wp:simplePos x="0" y="0"/>
            <wp:positionH relativeFrom="page">
              <wp:posOffset>724117</wp:posOffset>
            </wp:positionH>
            <wp:positionV relativeFrom="page">
              <wp:posOffset>219518</wp:posOffset>
            </wp:positionV>
            <wp:extent cx="6834287" cy="1047286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287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304">
                <wp:simplePos x="0" y="0"/>
                <wp:positionH relativeFrom="page">
                  <wp:posOffset>464184</wp:posOffset>
                </wp:positionH>
                <wp:positionV relativeFrom="page">
                  <wp:posOffset>820419</wp:posOffset>
                </wp:positionV>
                <wp:extent cx="6607175" cy="86283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607175" cy="8628380"/>
                          <a:chExt cx="6607175" cy="86283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0" y="12700"/>
                            <a:ext cx="6581775" cy="8599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1775" h="8599170">
                                <a:moveTo>
                                  <a:pt x="0" y="0"/>
                                </a:moveTo>
                                <a:lnTo>
                                  <a:pt x="6581775" y="0"/>
                                </a:lnTo>
                                <a:lnTo>
                                  <a:pt x="6581775" y="8599170"/>
                                </a:lnTo>
                                <a:lnTo>
                                  <a:pt x="0" y="8599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6460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5143" y="8622283"/>
                            <a:ext cx="18288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6350">
                                <a:moveTo>
                                  <a:pt x="1828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1828800" y="6095"/>
                                </a:lnTo>
                                <a:lnTo>
                                  <a:pt x="1828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549999pt;margin-top:64.599983pt;width:520.25pt;height:679.4pt;mso-position-horizontal-relative:page;mso-position-vertical-relative:page;z-index:-15922176" id="docshapegroup1" coordorigin="731,1292" coordsize="10405,13588">
                <v:rect style="position:absolute;left:751;top:1312;width:10365;height:13542" id="docshape2" filled="false" stroked="true" strokeweight="2pt" strokecolor="#6460a9">
                  <v:stroke dashstyle="solid"/>
                </v:rect>
                <v:rect style="position:absolute;left:1132;top:14870;width:2880;height:10" id="docshape3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6460A9"/>
        </w:rPr>
        <w:t>Point</w:t>
      </w:r>
      <w:r>
        <w:rPr>
          <w:color w:val="6460A9"/>
          <w:spacing w:val="-1"/>
        </w:rPr>
        <w:t> </w:t>
      </w:r>
      <w:r>
        <w:rPr>
          <w:color w:val="6460A9"/>
        </w:rPr>
        <w:t>sur</w:t>
      </w:r>
      <w:r>
        <w:rPr>
          <w:color w:val="6460A9"/>
          <w:spacing w:val="-5"/>
        </w:rPr>
        <w:t> </w:t>
      </w:r>
      <w:r>
        <w:rPr>
          <w:color w:val="6460A9"/>
        </w:rPr>
        <w:t>l’activité</w:t>
      </w:r>
      <w:r>
        <w:rPr>
          <w:color w:val="6460A9"/>
          <w:spacing w:val="-3"/>
        </w:rPr>
        <w:t> </w:t>
      </w:r>
      <w:r>
        <w:rPr>
          <w:color w:val="6460A9"/>
        </w:rPr>
        <w:t>France</w:t>
      </w:r>
      <w:r>
        <w:rPr>
          <w:color w:val="6460A9"/>
          <w:spacing w:val="-4"/>
        </w:rPr>
        <w:t> </w:t>
      </w:r>
      <w:r>
        <w:rPr>
          <w:color w:val="6460A9"/>
        </w:rPr>
        <w:t>au</w:t>
      </w:r>
      <w:r>
        <w:rPr>
          <w:color w:val="6460A9"/>
          <w:spacing w:val="-2"/>
        </w:rPr>
        <w:t> </w:t>
      </w:r>
      <w:r>
        <w:rPr>
          <w:color w:val="6460A9"/>
        </w:rPr>
        <w:t>30</w:t>
      </w:r>
      <w:r>
        <w:rPr>
          <w:color w:val="6460A9"/>
          <w:spacing w:val="-4"/>
        </w:rPr>
        <w:t> </w:t>
      </w:r>
      <w:r>
        <w:rPr>
          <w:color w:val="6460A9"/>
        </w:rPr>
        <w:t>juin</w:t>
      </w:r>
      <w:r>
        <w:rPr>
          <w:color w:val="6460A9"/>
          <w:spacing w:val="-5"/>
        </w:rPr>
        <w:t> </w:t>
      </w:r>
      <w:r>
        <w:rPr>
          <w:color w:val="6460A9"/>
        </w:rPr>
        <w:t>2023</w:t>
      </w:r>
      <w:r>
        <w:rPr>
          <w:color w:val="6460A9"/>
          <w:spacing w:val="-1"/>
        </w:rPr>
        <w:t> </w:t>
      </w:r>
      <w:r>
        <w:rPr>
          <w:color w:val="6460A9"/>
        </w:rPr>
        <w:t>et</w:t>
      </w:r>
      <w:r>
        <w:rPr>
          <w:color w:val="6460A9"/>
          <w:spacing w:val="-3"/>
        </w:rPr>
        <w:t> </w:t>
      </w:r>
      <w:r>
        <w:rPr>
          <w:color w:val="6460A9"/>
        </w:rPr>
        <w:t>prochaines</w:t>
      </w:r>
      <w:r>
        <w:rPr>
          <w:color w:val="6460A9"/>
          <w:spacing w:val="-1"/>
        </w:rPr>
        <w:t> </w:t>
      </w:r>
      <w:r>
        <w:rPr>
          <w:color w:val="6460A9"/>
        </w:rPr>
        <w:t>étapes</w:t>
      </w:r>
      <w:r>
        <w:rPr>
          <w:color w:val="6460A9"/>
          <w:spacing w:val="-4"/>
        </w:rPr>
        <w:t> </w:t>
      </w:r>
      <w:r>
        <w:rPr>
          <w:color w:val="6460A9"/>
        </w:rPr>
        <w:t>de</w:t>
      </w:r>
      <w:r>
        <w:rPr>
          <w:color w:val="6460A9"/>
          <w:spacing w:val="-4"/>
        </w:rPr>
        <w:t> </w:t>
      </w:r>
      <w:r>
        <w:rPr>
          <w:color w:val="6460A9"/>
        </w:rPr>
        <w:t>la </w:t>
      </w:r>
      <w:r>
        <w:rPr>
          <w:color w:val="6460A9"/>
          <w:spacing w:val="-2"/>
        </w:rPr>
        <w:t>conciliation</w:t>
      </w:r>
    </w:p>
    <w:p>
      <w:pPr>
        <w:pStyle w:val="BodyText"/>
        <w:spacing w:before="43"/>
        <w:rPr>
          <w:rFonts w:ascii="Arial"/>
          <w:b/>
          <w:sz w:val="28"/>
        </w:rPr>
      </w:pPr>
    </w:p>
    <w:p>
      <w:pPr>
        <w:pStyle w:val="BodyText"/>
        <w:spacing w:before="1"/>
        <w:ind w:left="112"/>
        <w:jc w:val="both"/>
      </w:pPr>
      <w:r>
        <w:rPr>
          <w:w w:val="85"/>
        </w:rPr>
        <w:t>Paris,</w:t>
      </w:r>
      <w:r>
        <w:rPr>
          <w:spacing w:val="-11"/>
        </w:rPr>
        <w:t> </w:t>
      </w:r>
      <w:r>
        <w:rPr>
          <w:w w:val="85"/>
        </w:rPr>
        <w:t>le</w:t>
      </w:r>
      <w:r>
        <w:rPr>
          <w:spacing w:val="-7"/>
        </w:rPr>
        <w:t> </w:t>
      </w:r>
      <w:r>
        <w:rPr>
          <w:w w:val="85"/>
        </w:rPr>
        <w:t>12</w:t>
      </w:r>
      <w:r>
        <w:rPr>
          <w:spacing w:val="-6"/>
        </w:rPr>
        <w:t> </w:t>
      </w:r>
      <w:r>
        <w:rPr>
          <w:w w:val="85"/>
        </w:rPr>
        <w:t>juillet</w:t>
      </w:r>
      <w:r>
        <w:rPr>
          <w:spacing w:val="-9"/>
        </w:rPr>
        <w:t> </w:t>
      </w:r>
      <w:r>
        <w:rPr>
          <w:spacing w:val="-4"/>
          <w:w w:val="85"/>
        </w:rPr>
        <w:t>2023</w:t>
      </w:r>
    </w:p>
    <w:p>
      <w:pPr>
        <w:pStyle w:val="BodyText"/>
        <w:spacing w:before="12"/>
      </w:pPr>
    </w:p>
    <w:p>
      <w:pPr>
        <w:pStyle w:val="BodyText"/>
        <w:spacing w:line="278" w:lineRule="auto"/>
        <w:ind w:left="113" w:right="109"/>
        <w:jc w:val="both"/>
      </w:pPr>
      <w:r>
        <w:rPr/>
        <w:t>Dans le cadre de la procédure de conciliation, le groupe Casino annonce aujourd’hui une </w:t>
      </w:r>
      <w:r>
        <w:rPr>
          <w:spacing w:val="-6"/>
        </w:rPr>
        <w:t>estimation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son</w:t>
      </w:r>
      <w:r>
        <w:rPr>
          <w:spacing w:val="-8"/>
        </w:rPr>
        <w:t> </w:t>
      </w:r>
      <w:r>
        <w:rPr>
          <w:spacing w:val="-6"/>
        </w:rPr>
        <w:t>chiffre</w:t>
      </w:r>
      <w:r>
        <w:rPr>
          <w:spacing w:val="-9"/>
        </w:rPr>
        <w:t> </w:t>
      </w:r>
      <w:r>
        <w:rPr>
          <w:spacing w:val="-6"/>
        </w:rPr>
        <w:t>d'affaires</w:t>
      </w:r>
      <w:r>
        <w:rPr>
          <w:spacing w:val="-9"/>
        </w:rPr>
        <w:t> </w:t>
      </w:r>
      <w:r>
        <w:rPr>
          <w:spacing w:val="-6"/>
        </w:rPr>
        <w:t>France</w:t>
      </w:r>
      <w:r>
        <w:rPr>
          <w:spacing w:val="-11"/>
        </w:rPr>
        <w:t> </w:t>
      </w:r>
      <w:r>
        <w:rPr>
          <w:spacing w:val="-6"/>
        </w:rPr>
        <w:t>réalisé</w:t>
      </w:r>
      <w:r>
        <w:rPr>
          <w:spacing w:val="-9"/>
        </w:rPr>
        <w:t> </w:t>
      </w:r>
      <w:r>
        <w:rPr>
          <w:spacing w:val="-6"/>
        </w:rPr>
        <w:t>au</w:t>
      </w:r>
      <w:r>
        <w:rPr>
          <w:spacing w:val="-10"/>
        </w:rPr>
        <w:t> </w:t>
      </w:r>
      <w:r>
        <w:rPr>
          <w:spacing w:val="-6"/>
        </w:rPr>
        <w:t>deuxième</w:t>
      </w:r>
      <w:r>
        <w:rPr>
          <w:spacing w:val="-9"/>
        </w:rPr>
        <w:t> </w:t>
      </w:r>
      <w:r>
        <w:rPr>
          <w:spacing w:val="-6"/>
        </w:rPr>
        <w:t>trimestre</w:t>
      </w:r>
      <w:r>
        <w:rPr>
          <w:spacing w:val="-9"/>
        </w:rPr>
        <w:t> </w:t>
      </w:r>
      <w:r>
        <w:rPr>
          <w:spacing w:val="-6"/>
        </w:rPr>
        <w:t>2023</w:t>
      </w:r>
      <w:r>
        <w:rPr>
          <w:spacing w:val="-8"/>
        </w:rPr>
        <w:t> </w:t>
      </w:r>
      <w:r>
        <w:rPr>
          <w:spacing w:val="-6"/>
        </w:rPr>
        <w:t>et</w:t>
      </w:r>
      <w:r>
        <w:rPr>
          <w:spacing w:val="-10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son</w:t>
      </w:r>
      <w:r>
        <w:rPr>
          <w:spacing w:val="-10"/>
        </w:rPr>
        <w:t> </w:t>
      </w:r>
      <w:r>
        <w:rPr>
          <w:spacing w:val="-6"/>
        </w:rPr>
        <w:t>EBITDA </w:t>
      </w:r>
      <w:r>
        <w:rPr>
          <w:spacing w:val="-4"/>
        </w:rPr>
        <w:t>France</w:t>
      </w:r>
      <w:r>
        <w:rPr>
          <w:spacing w:val="-12"/>
        </w:rPr>
        <w:t> </w:t>
      </w:r>
      <w:r>
        <w:rPr>
          <w:spacing w:val="-4"/>
        </w:rPr>
        <w:t>après</w:t>
      </w:r>
      <w:r>
        <w:rPr>
          <w:spacing w:val="-15"/>
        </w:rPr>
        <w:t> </w:t>
      </w:r>
      <w:r>
        <w:rPr>
          <w:spacing w:val="-4"/>
        </w:rPr>
        <w:t>loyers</w:t>
      </w:r>
      <w:r>
        <w:rPr>
          <w:spacing w:val="-12"/>
        </w:rPr>
        <w:t> </w:t>
      </w:r>
      <w:r>
        <w:rPr>
          <w:spacing w:val="-4"/>
        </w:rPr>
        <w:t>réalisé</w:t>
      </w:r>
      <w:r>
        <w:rPr>
          <w:spacing w:val="-12"/>
        </w:rPr>
        <w:t> </w:t>
      </w:r>
      <w:r>
        <w:rPr>
          <w:spacing w:val="-4"/>
        </w:rPr>
        <w:t>au</w:t>
      </w:r>
      <w:r>
        <w:rPr>
          <w:spacing w:val="-13"/>
        </w:rPr>
        <w:t> </w:t>
      </w:r>
      <w:r>
        <w:rPr>
          <w:spacing w:val="-4"/>
        </w:rPr>
        <w:t>premier</w:t>
      </w:r>
      <w:r>
        <w:rPr>
          <w:spacing w:val="-13"/>
        </w:rPr>
        <w:t> </w:t>
      </w:r>
      <w:r>
        <w:rPr>
          <w:spacing w:val="-4"/>
        </w:rPr>
        <w:t>semestre</w:t>
      </w:r>
      <w:r>
        <w:rPr>
          <w:spacing w:val="-12"/>
        </w:rPr>
        <w:t> </w:t>
      </w:r>
      <w:r>
        <w:rPr>
          <w:spacing w:val="-4"/>
        </w:rPr>
        <w:t>2023.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5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2"/>
        <w:gridCol w:w="116"/>
        <w:gridCol w:w="867"/>
        <w:gridCol w:w="850"/>
        <w:gridCol w:w="906"/>
        <w:gridCol w:w="910"/>
      </w:tblGrid>
      <w:tr>
        <w:trPr>
          <w:trHeight w:val="613" w:hRule="atLeast"/>
        </w:trPr>
        <w:tc>
          <w:tcPr>
            <w:tcW w:w="3202" w:type="dxa"/>
          </w:tcPr>
          <w:p>
            <w:pPr>
              <w:pStyle w:val="TableParagraph"/>
              <w:spacing w:line="240" w:lineRule="auto" w:before="116"/>
              <w:ind w:left="14"/>
              <w:jc w:val="left"/>
              <w:rPr>
                <w:i/>
                <w:sz w:val="20"/>
              </w:rPr>
            </w:pPr>
            <w:r>
              <w:rPr>
                <w:i/>
                <w:sz w:val="20"/>
                <w:u w:val="single"/>
              </w:rPr>
              <w:t>Chiffre</w:t>
            </w:r>
            <w:r>
              <w:rPr>
                <w:i/>
                <w:spacing w:val="-10"/>
                <w:sz w:val="20"/>
                <w:u w:val="single"/>
              </w:rPr>
              <w:t> </w:t>
            </w:r>
            <w:r>
              <w:rPr>
                <w:i/>
                <w:sz w:val="20"/>
                <w:u w:val="single"/>
              </w:rPr>
              <w:t>d'affaires</w:t>
            </w:r>
            <w:r>
              <w:rPr>
                <w:i/>
                <w:spacing w:val="-12"/>
                <w:sz w:val="20"/>
                <w:u w:val="single"/>
              </w:rPr>
              <w:t> </w:t>
            </w:r>
            <w:r>
              <w:rPr>
                <w:i/>
                <w:spacing w:val="-4"/>
                <w:sz w:val="20"/>
                <w:u w:val="single"/>
              </w:rPr>
              <w:t>(HT)</w:t>
            </w:r>
          </w:p>
        </w:tc>
        <w:tc>
          <w:tcPr>
            <w:tcW w:w="116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16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line="20" w:lineRule="exact" w:before="0"/>
              <w:ind w:left="-3"/>
              <w:jc w:val="left"/>
              <w:rPr>
                <w:rFonts w:ascii="Verdana"/>
                <w:sz w:val="2"/>
              </w:rPr>
            </w:pPr>
            <w:r>
              <w:rPr>
                <w:rFonts w:ascii="Verdan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079500" cy="12700"/>
                      <wp:effectExtent l="0" t="0" r="0" b="0"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1079500" cy="12700"/>
                                <a:chExt cx="1079500" cy="1270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10795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9500" h="12700">
                                      <a:moveTo>
                                        <a:pt x="10789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1078991" y="12192"/>
                                      </a:lnTo>
                                      <a:lnTo>
                                        <a:pt x="10789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85pt;height:1pt;mso-position-horizontal-relative:char;mso-position-vertical-relative:line" id="docshapegroup4" coordorigin="0,0" coordsize="1700,20">
                      <v:rect style="position:absolute;left:0;top:0;width:1700;height:20" id="docshape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Verdana"/>
                <w:sz w:val="2"/>
              </w:rPr>
            </w:r>
          </w:p>
          <w:p>
            <w:pPr>
              <w:pStyle w:val="TableParagraph"/>
              <w:spacing w:line="278" w:lineRule="auto" w:before="71"/>
              <w:ind w:left="64" w:right="187" w:firstLine="432"/>
              <w:jc w:val="left"/>
              <w:rPr>
                <w:rFonts w:ascii="Verdana"/>
                <w:b/>
                <w:i/>
                <w:sz w:val="10"/>
              </w:rPr>
            </w:pPr>
            <w:r>
              <w:rPr>
                <w:rFonts w:ascii="Verdana"/>
                <w:b/>
                <w:i/>
                <w:spacing w:val="-2"/>
                <w:w w:val="95"/>
                <w:sz w:val="16"/>
              </w:rPr>
              <w:t>Variation </w:t>
            </w:r>
            <w:r>
              <w:rPr>
                <w:rFonts w:ascii="Verdana"/>
                <w:b/>
                <w:i/>
                <w:w w:val="85"/>
                <w:sz w:val="16"/>
              </w:rPr>
              <w:t>comparable vs N-1</w:t>
            </w:r>
            <w:hyperlink w:history="true" w:anchor="_bookmark0">
              <w:r>
                <w:rPr>
                  <w:rFonts w:ascii="Verdana"/>
                  <w:b/>
                  <w:i/>
                  <w:w w:val="85"/>
                  <w:position w:val="4"/>
                  <w:sz w:val="10"/>
                </w:rPr>
                <w:t>1</w:t>
              </w:r>
            </w:hyperlink>
          </w:p>
        </w:tc>
      </w:tr>
      <w:tr>
        <w:trPr>
          <w:trHeight w:val="253" w:hRule="atLeast"/>
        </w:trPr>
        <w:tc>
          <w:tcPr>
            <w:tcW w:w="320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22" w:lineRule="exact" w:before="10"/>
              <w:ind w:left="16"/>
              <w:rPr>
                <w:b/>
                <w:sz w:val="22"/>
              </w:rPr>
            </w:pPr>
            <w:r>
              <w:rPr>
                <w:b/>
                <w:sz w:val="22"/>
              </w:rPr>
              <w:t>T2 </w:t>
            </w:r>
            <w:r>
              <w:rPr>
                <w:b/>
                <w:spacing w:val="-5"/>
                <w:sz w:val="22"/>
              </w:rPr>
              <w:t>22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CD6ED"/>
          </w:tcPr>
          <w:p>
            <w:pPr>
              <w:pStyle w:val="TableParagraph"/>
              <w:spacing w:line="222" w:lineRule="exact" w:before="10"/>
              <w:ind w:left="1" w:right="4"/>
              <w:rPr>
                <w:b/>
                <w:sz w:val="22"/>
              </w:rPr>
            </w:pPr>
            <w:r>
              <w:rPr>
                <w:b/>
                <w:sz w:val="22"/>
              </w:rPr>
              <w:t>T2 </w:t>
            </w:r>
            <w:r>
              <w:rPr>
                <w:b/>
                <w:spacing w:val="-4"/>
                <w:sz w:val="22"/>
              </w:rPr>
              <w:t>23e</w:t>
            </w:r>
            <w:hyperlink w:history="true" w:anchor="_bookmark1">
              <w:r>
                <w:rPr>
                  <w:b/>
                  <w:spacing w:val="-4"/>
                  <w:sz w:val="22"/>
                  <w:vertAlign w:val="superscript"/>
                </w:rPr>
                <w:t>2</w:t>
              </w:r>
            </w:hyperlink>
          </w:p>
        </w:tc>
        <w:tc>
          <w:tcPr>
            <w:tcW w:w="90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20" w:lineRule="exact"/>
              <w:ind w:left="1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T2</w:t>
            </w:r>
            <w:r>
              <w:rPr>
                <w:b/>
                <w:spacing w:val="-5"/>
                <w:sz w:val="20"/>
              </w:rPr>
              <w:t> 23e</w:t>
            </w:r>
          </w:p>
        </w:tc>
        <w:tc>
          <w:tcPr>
            <w:tcW w:w="9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20" w:lineRule="exact"/>
              <w:ind w:left="2" w:right="9"/>
              <w:rPr>
                <w:b/>
                <w:sz w:val="20"/>
              </w:rPr>
            </w:pPr>
            <w:r>
              <w:rPr>
                <w:b/>
                <w:sz w:val="20"/>
              </w:rPr>
              <w:t>T1</w:t>
            </w:r>
            <w:r>
              <w:rPr>
                <w:b/>
                <w:spacing w:val="-5"/>
                <w:sz w:val="20"/>
              </w:rPr>
              <w:t> 23</w:t>
            </w:r>
          </w:p>
        </w:tc>
      </w:tr>
      <w:tr>
        <w:trPr>
          <w:trHeight w:val="250" w:hRule="atLeast"/>
        </w:trPr>
        <w:tc>
          <w:tcPr>
            <w:tcW w:w="3202" w:type="dxa"/>
            <w:tcBorders>
              <w:top w:val="single" w:sz="12" w:space="0" w:color="000000"/>
              <w:bottom w:val="single" w:sz="8" w:space="0" w:color="D9D9D9"/>
            </w:tcBorders>
          </w:tcPr>
          <w:p>
            <w:pPr>
              <w:pStyle w:val="TableParagraph"/>
              <w:spacing w:line="220" w:lineRule="exact" w:before="10"/>
              <w:ind w:left="1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Proximité</w:t>
            </w:r>
          </w:p>
        </w:tc>
        <w:tc>
          <w:tcPr>
            <w:tcW w:w="116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8" w:space="0" w:color="D9D9D9"/>
            </w:tcBorders>
          </w:tcPr>
          <w:p>
            <w:pPr>
              <w:pStyle w:val="TableParagraph"/>
              <w:spacing w:line="220" w:lineRule="exact" w:before="10"/>
              <w:ind w:left="16" w:right="5"/>
              <w:rPr>
                <w:sz w:val="21"/>
              </w:rPr>
            </w:pPr>
            <w:r>
              <w:rPr>
                <w:spacing w:val="-5"/>
                <w:sz w:val="21"/>
              </w:rPr>
              <w:t>387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8" w:space="0" w:color="D9D9D9"/>
            </w:tcBorders>
            <w:shd w:val="clear" w:color="auto" w:fill="BCD6ED"/>
          </w:tcPr>
          <w:p>
            <w:pPr>
              <w:pStyle w:val="TableParagraph"/>
              <w:spacing w:line="220" w:lineRule="exact" w:before="10"/>
              <w:ind w:right="4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380</w:t>
            </w:r>
          </w:p>
        </w:tc>
        <w:tc>
          <w:tcPr>
            <w:tcW w:w="906" w:type="dxa"/>
            <w:tcBorders>
              <w:top w:val="single" w:sz="12" w:space="0" w:color="000000"/>
              <w:bottom w:val="single" w:sz="8" w:space="0" w:color="D9D9D9"/>
            </w:tcBorders>
          </w:tcPr>
          <w:p>
            <w:pPr>
              <w:pStyle w:val="TableParagraph"/>
              <w:spacing w:line="218" w:lineRule="exact"/>
              <w:ind w:right="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+2,7%</w:t>
            </w:r>
          </w:p>
        </w:tc>
        <w:tc>
          <w:tcPr>
            <w:tcW w:w="910" w:type="dxa"/>
            <w:tcBorders>
              <w:top w:val="single" w:sz="12" w:space="0" w:color="000000"/>
              <w:bottom w:val="single" w:sz="8" w:space="0" w:color="D9D9D9"/>
            </w:tcBorders>
          </w:tcPr>
          <w:p>
            <w:pPr>
              <w:pStyle w:val="TableParagraph"/>
              <w:spacing w:line="218" w:lineRule="exact"/>
              <w:ind w:right="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+4,9%</w:t>
            </w:r>
          </w:p>
        </w:tc>
      </w:tr>
      <w:tr>
        <w:trPr>
          <w:trHeight w:val="263" w:hRule="atLeast"/>
        </w:trPr>
        <w:tc>
          <w:tcPr>
            <w:tcW w:w="320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ind w:left="1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Franprix</w:t>
            </w:r>
          </w:p>
        </w:tc>
        <w:tc>
          <w:tcPr>
            <w:tcW w:w="116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ind w:left="16" w:right="5"/>
              <w:rPr>
                <w:sz w:val="21"/>
              </w:rPr>
            </w:pPr>
            <w:r>
              <w:rPr>
                <w:spacing w:val="-5"/>
                <w:sz w:val="21"/>
              </w:rPr>
              <w:t>385</w:t>
            </w:r>
          </w:p>
        </w:tc>
        <w:tc>
          <w:tcPr>
            <w:tcW w:w="85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BCD6ED"/>
          </w:tcPr>
          <w:p>
            <w:pPr>
              <w:pStyle w:val="TableParagraph"/>
              <w:ind w:right="4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396</w:t>
            </w:r>
          </w:p>
        </w:tc>
        <w:tc>
          <w:tcPr>
            <w:tcW w:w="90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28" w:lineRule="exact" w:before="15"/>
              <w:ind w:right="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+4,3%</w:t>
            </w:r>
          </w:p>
        </w:tc>
        <w:tc>
          <w:tcPr>
            <w:tcW w:w="91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28" w:lineRule="exact" w:before="15"/>
              <w:ind w:right="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+6,0%</w:t>
            </w:r>
          </w:p>
        </w:tc>
      </w:tr>
      <w:tr>
        <w:trPr>
          <w:trHeight w:val="263" w:hRule="atLeast"/>
        </w:trPr>
        <w:tc>
          <w:tcPr>
            <w:tcW w:w="320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ind w:left="1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Monoprix</w:t>
            </w:r>
          </w:p>
        </w:tc>
        <w:tc>
          <w:tcPr>
            <w:tcW w:w="116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ind w:left="16" w:right="4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111</w:t>
            </w:r>
          </w:p>
        </w:tc>
        <w:tc>
          <w:tcPr>
            <w:tcW w:w="85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BCD6ED"/>
          </w:tcPr>
          <w:p>
            <w:pPr>
              <w:pStyle w:val="TableParagraph"/>
              <w:ind w:left="2" w:right="4"/>
              <w:rPr>
                <w:b/>
                <w:sz w:val="21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088</w:t>
            </w:r>
          </w:p>
        </w:tc>
        <w:tc>
          <w:tcPr>
            <w:tcW w:w="90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28" w:lineRule="exact" w:before="15"/>
              <w:ind w:right="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+2,2%</w:t>
            </w:r>
          </w:p>
        </w:tc>
        <w:tc>
          <w:tcPr>
            <w:tcW w:w="91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28" w:lineRule="exact" w:before="15"/>
              <w:ind w:right="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+4,2%</w:t>
            </w:r>
          </w:p>
        </w:tc>
      </w:tr>
      <w:tr>
        <w:trPr>
          <w:trHeight w:val="263" w:hRule="atLeast"/>
        </w:trPr>
        <w:tc>
          <w:tcPr>
            <w:tcW w:w="3202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BCD6ED"/>
          </w:tcPr>
          <w:p>
            <w:pPr>
              <w:pStyle w:val="TableParagraph"/>
              <w:ind w:left="14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Enseignes</w:t>
            </w:r>
            <w:r>
              <w:rPr>
                <w:b/>
                <w:spacing w:val="-9"/>
                <w:sz w:val="21"/>
              </w:rPr>
              <w:t> </w:t>
            </w:r>
            <w:r>
              <w:rPr>
                <w:b/>
                <w:sz w:val="21"/>
              </w:rPr>
              <w:t>parisiennes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et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proximité</w:t>
            </w:r>
          </w:p>
        </w:tc>
        <w:tc>
          <w:tcPr>
            <w:tcW w:w="116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ind w:left="16" w:right="4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883</w:t>
            </w:r>
          </w:p>
        </w:tc>
        <w:tc>
          <w:tcPr>
            <w:tcW w:w="85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BCD6ED"/>
          </w:tcPr>
          <w:p>
            <w:pPr>
              <w:pStyle w:val="TableParagraph"/>
              <w:ind w:left="2" w:right="4"/>
              <w:rPr>
                <w:b/>
                <w:sz w:val="21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864</w:t>
            </w:r>
          </w:p>
        </w:tc>
        <w:tc>
          <w:tcPr>
            <w:tcW w:w="90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28" w:lineRule="exact" w:before="15"/>
              <w:ind w:right="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+2,6%</w:t>
            </w:r>
          </w:p>
        </w:tc>
        <w:tc>
          <w:tcPr>
            <w:tcW w:w="91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28" w:lineRule="exact" w:before="15"/>
              <w:ind w:right="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+4,6%</w:t>
            </w:r>
          </w:p>
        </w:tc>
      </w:tr>
      <w:tr>
        <w:trPr>
          <w:trHeight w:val="263" w:hRule="atLeast"/>
        </w:trPr>
        <w:tc>
          <w:tcPr>
            <w:tcW w:w="320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ind w:left="1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Hypermarchés</w:t>
            </w:r>
          </w:p>
        </w:tc>
        <w:tc>
          <w:tcPr>
            <w:tcW w:w="116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ind w:left="16" w:right="5"/>
              <w:rPr>
                <w:sz w:val="21"/>
              </w:rPr>
            </w:pPr>
            <w:r>
              <w:rPr>
                <w:spacing w:val="-5"/>
                <w:sz w:val="21"/>
              </w:rPr>
              <w:t>775</w:t>
            </w:r>
          </w:p>
        </w:tc>
        <w:tc>
          <w:tcPr>
            <w:tcW w:w="85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BCD6ED"/>
          </w:tcPr>
          <w:p>
            <w:pPr>
              <w:pStyle w:val="TableParagraph"/>
              <w:ind w:right="4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582</w:t>
            </w:r>
          </w:p>
        </w:tc>
        <w:tc>
          <w:tcPr>
            <w:tcW w:w="90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28" w:lineRule="exact" w:before="15"/>
              <w:ind w:left="2" w:right="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-17,1%</w:t>
            </w:r>
          </w:p>
        </w:tc>
        <w:tc>
          <w:tcPr>
            <w:tcW w:w="91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28" w:lineRule="exact" w:before="15"/>
              <w:ind w:left="3" w:right="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-12,4%</w:t>
            </w:r>
          </w:p>
        </w:tc>
      </w:tr>
      <w:tr>
        <w:trPr>
          <w:trHeight w:val="263" w:hRule="atLeast"/>
        </w:trPr>
        <w:tc>
          <w:tcPr>
            <w:tcW w:w="320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ind w:left="1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Supermarchés</w:t>
            </w:r>
          </w:p>
        </w:tc>
        <w:tc>
          <w:tcPr>
            <w:tcW w:w="116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ind w:left="16" w:right="5"/>
              <w:rPr>
                <w:sz w:val="21"/>
              </w:rPr>
            </w:pPr>
            <w:r>
              <w:rPr>
                <w:spacing w:val="-5"/>
                <w:sz w:val="21"/>
              </w:rPr>
              <w:t>857</w:t>
            </w:r>
          </w:p>
        </w:tc>
        <w:tc>
          <w:tcPr>
            <w:tcW w:w="85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BCD6ED"/>
          </w:tcPr>
          <w:p>
            <w:pPr>
              <w:pStyle w:val="TableParagraph"/>
              <w:ind w:right="4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789</w:t>
            </w:r>
          </w:p>
        </w:tc>
        <w:tc>
          <w:tcPr>
            <w:tcW w:w="90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28" w:lineRule="exact" w:before="15"/>
              <w:ind w:left="2" w:right="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-13,9%</w:t>
            </w:r>
          </w:p>
        </w:tc>
        <w:tc>
          <w:tcPr>
            <w:tcW w:w="91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28" w:lineRule="exact" w:before="15"/>
              <w:ind w:right="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>7,8%</w:t>
            </w:r>
          </w:p>
        </w:tc>
      </w:tr>
      <w:tr>
        <w:trPr>
          <w:trHeight w:val="263" w:hRule="atLeast"/>
        </w:trPr>
        <w:tc>
          <w:tcPr>
            <w:tcW w:w="3202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BCD6ED"/>
          </w:tcPr>
          <w:p>
            <w:pPr>
              <w:pStyle w:val="TableParagraph"/>
              <w:ind w:left="14"/>
              <w:jc w:val="lef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Hyper-/Supermarchés</w:t>
            </w:r>
          </w:p>
        </w:tc>
        <w:tc>
          <w:tcPr>
            <w:tcW w:w="116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ind w:left="16" w:right="4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632</w:t>
            </w:r>
          </w:p>
        </w:tc>
        <w:tc>
          <w:tcPr>
            <w:tcW w:w="85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BCD6ED"/>
          </w:tcPr>
          <w:p>
            <w:pPr>
              <w:pStyle w:val="TableParagraph"/>
              <w:ind w:left="2" w:right="4"/>
              <w:rPr>
                <w:b/>
                <w:sz w:val="21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371</w:t>
            </w:r>
          </w:p>
        </w:tc>
        <w:tc>
          <w:tcPr>
            <w:tcW w:w="90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28" w:lineRule="exact" w:before="15"/>
              <w:ind w:left="2" w:right="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-15,3%</w:t>
            </w:r>
          </w:p>
        </w:tc>
        <w:tc>
          <w:tcPr>
            <w:tcW w:w="91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28" w:lineRule="exact" w:before="15"/>
              <w:ind w:right="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>9,9%</w:t>
            </w:r>
          </w:p>
        </w:tc>
      </w:tr>
      <w:tr>
        <w:trPr>
          <w:trHeight w:val="263" w:hRule="atLeast"/>
        </w:trPr>
        <w:tc>
          <w:tcPr>
            <w:tcW w:w="3318" w:type="dxa"/>
            <w:gridSpan w:val="2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ind w:left="1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Divers</w:t>
            </w:r>
          </w:p>
        </w:tc>
        <w:tc>
          <w:tcPr>
            <w:tcW w:w="86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ind w:left="16" w:right="4"/>
              <w:rPr>
                <w:sz w:val="21"/>
              </w:rPr>
            </w:pPr>
            <w:r>
              <w:rPr>
                <w:spacing w:val="-5"/>
                <w:sz w:val="21"/>
              </w:rPr>
              <w:t>69</w:t>
            </w:r>
          </w:p>
        </w:tc>
        <w:tc>
          <w:tcPr>
            <w:tcW w:w="85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BCD6ED"/>
          </w:tcPr>
          <w:p>
            <w:pPr>
              <w:pStyle w:val="TableParagraph"/>
              <w:ind w:left="2" w:right="4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81</w:t>
            </w:r>
          </w:p>
        </w:tc>
        <w:tc>
          <w:tcPr>
            <w:tcW w:w="90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28" w:lineRule="exact" w:before="15"/>
              <w:ind w:right="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+8,6%</w:t>
            </w:r>
          </w:p>
        </w:tc>
        <w:tc>
          <w:tcPr>
            <w:tcW w:w="91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28" w:lineRule="exact" w:before="15"/>
              <w:ind w:right="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+1,3%</w:t>
            </w:r>
          </w:p>
        </w:tc>
      </w:tr>
      <w:tr>
        <w:trPr>
          <w:trHeight w:val="263" w:hRule="atLeast"/>
        </w:trPr>
        <w:tc>
          <w:tcPr>
            <w:tcW w:w="3202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BCD6ED"/>
          </w:tcPr>
          <w:p>
            <w:pPr>
              <w:pStyle w:val="TableParagraph"/>
              <w:spacing w:line="232" w:lineRule="exact" w:before="11"/>
              <w:ind w:left="14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France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Retail</w:t>
            </w:r>
          </w:p>
        </w:tc>
        <w:tc>
          <w:tcPr>
            <w:tcW w:w="116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32" w:lineRule="exact" w:before="11"/>
              <w:ind w:left="16" w:right="4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584</w:t>
            </w:r>
          </w:p>
        </w:tc>
        <w:tc>
          <w:tcPr>
            <w:tcW w:w="85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BCD6ED"/>
          </w:tcPr>
          <w:p>
            <w:pPr>
              <w:pStyle w:val="TableParagraph"/>
              <w:spacing w:line="232" w:lineRule="exact" w:before="11"/>
              <w:ind w:left="2" w:right="4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316</w:t>
            </w:r>
          </w:p>
        </w:tc>
        <w:tc>
          <w:tcPr>
            <w:tcW w:w="90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ind w:right="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>4,2%</w:t>
            </w:r>
          </w:p>
        </w:tc>
        <w:tc>
          <w:tcPr>
            <w:tcW w:w="91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ind w:right="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>0,4%</w:t>
            </w:r>
          </w:p>
        </w:tc>
      </w:tr>
      <w:tr>
        <w:trPr>
          <w:trHeight w:val="263" w:hRule="atLeast"/>
        </w:trPr>
        <w:tc>
          <w:tcPr>
            <w:tcW w:w="320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32" w:lineRule="exact" w:before="11"/>
              <w:ind w:left="1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Cdiscount</w:t>
            </w:r>
            <w:hyperlink w:history="true" w:anchor="_bookmark2">
              <w:r>
                <w:rPr>
                  <w:spacing w:val="-2"/>
                  <w:sz w:val="21"/>
                  <w:vertAlign w:val="superscript"/>
                </w:rPr>
                <w:t>3</w:t>
              </w:r>
            </w:hyperlink>
          </w:p>
        </w:tc>
        <w:tc>
          <w:tcPr>
            <w:tcW w:w="116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32" w:lineRule="exact" w:before="11"/>
              <w:ind w:left="16" w:right="5"/>
              <w:rPr>
                <w:sz w:val="21"/>
              </w:rPr>
            </w:pPr>
            <w:r>
              <w:rPr>
                <w:spacing w:val="-5"/>
                <w:sz w:val="21"/>
              </w:rPr>
              <w:t>369</w:t>
            </w:r>
          </w:p>
        </w:tc>
        <w:tc>
          <w:tcPr>
            <w:tcW w:w="85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BCD6ED"/>
          </w:tcPr>
          <w:p>
            <w:pPr>
              <w:pStyle w:val="TableParagraph"/>
              <w:spacing w:line="232" w:lineRule="exact" w:before="11"/>
              <w:ind w:right="4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284</w:t>
            </w:r>
          </w:p>
        </w:tc>
        <w:tc>
          <w:tcPr>
            <w:tcW w:w="90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ind w:left="2" w:right="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-22,1%</w:t>
            </w:r>
          </w:p>
        </w:tc>
        <w:tc>
          <w:tcPr>
            <w:tcW w:w="91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ind w:left="3" w:right="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-24,8%</w:t>
            </w:r>
          </w:p>
        </w:tc>
      </w:tr>
      <w:tr>
        <w:trPr>
          <w:trHeight w:val="234" w:hRule="atLeast"/>
        </w:trPr>
        <w:tc>
          <w:tcPr>
            <w:tcW w:w="320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01" w:lineRule="exact"/>
              <w:ind w:left="285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Volume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d’affaires</w:t>
            </w:r>
            <w:r>
              <w:rPr>
                <w:i/>
                <w:spacing w:val="-2"/>
                <w:sz w:val="18"/>
              </w:rPr>
              <w:t> (GMV)</w:t>
            </w:r>
            <w:hyperlink w:history="true" w:anchor="_bookmark3">
              <w:r>
                <w:rPr>
                  <w:i/>
                  <w:spacing w:val="-2"/>
                  <w:sz w:val="18"/>
                  <w:vertAlign w:val="superscript"/>
                </w:rPr>
                <w:t>4</w:t>
              </w:r>
            </w:hyperlink>
          </w:p>
        </w:tc>
        <w:tc>
          <w:tcPr>
            <w:tcW w:w="116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01" w:lineRule="exact"/>
              <w:ind w:left="16" w:right="3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876</w:t>
            </w:r>
          </w:p>
        </w:tc>
        <w:tc>
          <w:tcPr>
            <w:tcW w:w="85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BCD6ED"/>
          </w:tcPr>
          <w:p>
            <w:pPr>
              <w:pStyle w:val="TableParagraph"/>
              <w:spacing w:line="201" w:lineRule="exact"/>
              <w:ind w:left="3" w:right="4"/>
              <w:rPr>
                <w:b/>
                <w:i/>
                <w:sz w:val="18"/>
              </w:rPr>
            </w:pPr>
            <w:r>
              <w:rPr>
                <w:b/>
                <w:i/>
                <w:spacing w:val="-5"/>
                <w:sz w:val="18"/>
              </w:rPr>
              <w:t>668</w:t>
            </w:r>
          </w:p>
        </w:tc>
        <w:tc>
          <w:tcPr>
            <w:tcW w:w="90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01" w:lineRule="exact"/>
              <w:ind w:left="5" w:right="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2"/>
                <w:sz w:val="18"/>
              </w:rPr>
              <w:t>13,2%</w:t>
            </w:r>
          </w:p>
        </w:tc>
        <w:tc>
          <w:tcPr>
            <w:tcW w:w="91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01" w:lineRule="exact"/>
              <w:ind w:left="6" w:right="9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2"/>
                <w:sz w:val="18"/>
              </w:rPr>
              <w:t>15,0%</w:t>
            </w:r>
          </w:p>
        </w:tc>
      </w:tr>
      <w:tr>
        <w:trPr>
          <w:trHeight w:val="234" w:hRule="atLeast"/>
        </w:trPr>
        <w:tc>
          <w:tcPr>
            <w:tcW w:w="320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199" w:lineRule="exact" w:before="15"/>
              <w:ind w:left="285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GMV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Marketplace</w:t>
            </w:r>
          </w:p>
        </w:tc>
        <w:tc>
          <w:tcPr>
            <w:tcW w:w="116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199" w:lineRule="exact" w:before="15"/>
              <w:ind w:left="16" w:right="3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326</w:t>
            </w:r>
          </w:p>
        </w:tc>
        <w:tc>
          <w:tcPr>
            <w:tcW w:w="85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BCD6ED"/>
          </w:tcPr>
          <w:p>
            <w:pPr>
              <w:pStyle w:val="TableParagraph"/>
              <w:spacing w:line="199" w:lineRule="exact" w:before="15"/>
              <w:ind w:left="3" w:right="4"/>
              <w:rPr>
                <w:b/>
                <w:i/>
                <w:sz w:val="18"/>
              </w:rPr>
            </w:pPr>
            <w:r>
              <w:rPr>
                <w:b/>
                <w:i/>
                <w:spacing w:val="-5"/>
                <w:sz w:val="18"/>
              </w:rPr>
              <w:t>318</w:t>
            </w:r>
          </w:p>
        </w:tc>
        <w:tc>
          <w:tcPr>
            <w:tcW w:w="90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199" w:lineRule="exact" w:before="15"/>
              <w:ind w:left="6" w:right="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4"/>
                <w:sz w:val="18"/>
              </w:rPr>
              <w:t>2,5%</w:t>
            </w:r>
          </w:p>
        </w:tc>
        <w:tc>
          <w:tcPr>
            <w:tcW w:w="91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199" w:lineRule="exact" w:before="15"/>
              <w:ind w:left="6" w:right="9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  <w:r>
              <w:rPr>
                <w:i/>
                <w:spacing w:val="-4"/>
                <w:sz w:val="18"/>
              </w:rPr>
              <w:t>3,7%</w:t>
            </w:r>
          </w:p>
        </w:tc>
      </w:tr>
      <w:tr>
        <w:trPr>
          <w:trHeight w:val="265" w:hRule="atLeast"/>
        </w:trPr>
        <w:tc>
          <w:tcPr>
            <w:tcW w:w="3202" w:type="dxa"/>
            <w:tcBorders>
              <w:top w:val="single" w:sz="8" w:space="0" w:color="D9D9D9"/>
              <w:bottom w:val="single" w:sz="12" w:space="0" w:color="000000"/>
            </w:tcBorders>
            <w:shd w:val="clear" w:color="auto" w:fill="BCD6ED"/>
          </w:tcPr>
          <w:p>
            <w:pPr>
              <w:pStyle w:val="TableParagraph"/>
              <w:spacing w:line="226" w:lineRule="exact" w:before="20"/>
              <w:ind w:left="14"/>
              <w:jc w:val="left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w w:val="85"/>
                <w:sz w:val="21"/>
              </w:rPr>
              <w:t>TOTAL</w:t>
            </w:r>
            <w:r>
              <w:rPr>
                <w:rFonts w:ascii="Tahoma"/>
                <w:b/>
                <w:spacing w:val="15"/>
                <w:sz w:val="21"/>
              </w:rPr>
              <w:t> </w:t>
            </w:r>
            <w:r>
              <w:rPr>
                <w:rFonts w:ascii="Tahoma"/>
                <w:b/>
                <w:spacing w:val="-2"/>
                <w:sz w:val="21"/>
              </w:rPr>
              <w:t>FRANCE</w:t>
            </w:r>
          </w:p>
        </w:tc>
        <w:tc>
          <w:tcPr>
            <w:tcW w:w="116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  <w:tcBorders>
              <w:top w:val="single" w:sz="8" w:space="0" w:color="D9D9D9"/>
              <w:bottom w:val="single" w:sz="12" w:space="0" w:color="000000"/>
            </w:tcBorders>
          </w:tcPr>
          <w:p>
            <w:pPr>
              <w:pStyle w:val="TableParagraph"/>
              <w:spacing w:line="232" w:lineRule="exact"/>
              <w:ind w:left="16" w:right="4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954</w:t>
            </w:r>
          </w:p>
        </w:tc>
        <w:tc>
          <w:tcPr>
            <w:tcW w:w="850" w:type="dxa"/>
            <w:tcBorders>
              <w:top w:val="single" w:sz="8" w:space="0" w:color="D9D9D9"/>
              <w:bottom w:val="single" w:sz="12" w:space="0" w:color="000000"/>
            </w:tcBorders>
            <w:shd w:val="clear" w:color="auto" w:fill="BCD6ED"/>
          </w:tcPr>
          <w:p>
            <w:pPr>
              <w:pStyle w:val="TableParagraph"/>
              <w:spacing w:line="232" w:lineRule="exact"/>
              <w:ind w:left="2" w:right="4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600</w:t>
            </w:r>
          </w:p>
        </w:tc>
        <w:tc>
          <w:tcPr>
            <w:tcW w:w="906" w:type="dxa"/>
            <w:tcBorders>
              <w:top w:val="single" w:sz="8" w:space="0" w:color="D9D9D9"/>
              <w:bottom w:val="single" w:sz="12" w:space="0" w:color="000000"/>
            </w:tcBorders>
          </w:tcPr>
          <w:p>
            <w:pPr>
              <w:pStyle w:val="TableParagraph"/>
              <w:spacing w:before="15"/>
              <w:ind w:right="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>6,6%</w:t>
            </w:r>
          </w:p>
        </w:tc>
        <w:tc>
          <w:tcPr>
            <w:tcW w:w="910" w:type="dxa"/>
            <w:tcBorders>
              <w:top w:val="single" w:sz="8" w:space="0" w:color="D9D9D9"/>
              <w:bottom w:val="single" w:sz="12" w:space="0" w:color="000000"/>
            </w:tcBorders>
          </w:tcPr>
          <w:p>
            <w:pPr>
              <w:pStyle w:val="TableParagraph"/>
              <w:spacing w:before="15"/>
              <w:ind w:right="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>4,6%</w:t>
            </w:r>
          </w:p>
        </w:tc>
      </w:tr>
    </w:tbl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78" w:lineRule="auto"/>
        <w:ind w:left="112" w:right="112"/>
        <w:jc w:val="both"/>
      </w:pPr>
      <w:r>
        <w:rPr>
          <w:spacing w:val="-8"/>
        </w:rPr>
        <w:t>Le</w:t>
      </w:r>
      <w:r>
        <w:rPr>
          <w:spacing w:val="-11"/>
        </w:rPr>
        <w:t> </w:t>
      </w:r>
      <w:r>
        <w:rPr>
          <w:spacing w:val="-8"/>
        </w:rPr>
        <w:t>chiffre</w:t>
      </w:r>
      <w:r>
        <w:rPr>
          <w:spacing w:val="-9"/>
        </w:rPr>
        <w:t> </w:t>
      </w:r>
      <w:r>
        <w:rPr>
          <w:spacing w:val="-8"/>
        </w:rPr>
        <w:t>d'affaires</w:t>
      </w:r>
      <w:r>
        <w:rPr>
          <w:spacing w:val="-10"/>
        </w:rPr>
        <w:t> </w:t>
      </w:r>
      <w:r>
        <w:rPr>
          <w:spacing w:val="-8"/>
        </w:rPr>
        <w:t>estimé</w:t>
      </w:r>
      <w:r>
        <w:rPr>
          <w:spacing w:val="-10"/>
        </w:rPr>
        <w:t> </w:t>
      </w:r>
      <w:r>
        <w:rPr>
          <w:spacing w:val="-8"/>
        </w:rPr>
        <w:t>du</w:t>
      </w:r>
      <w:r>
        <w:rPr>
          <w:spacing w:val="-11"/>
        </w:rPr>
        <w:t> </w:t>
      </w:r>
      <w:r>
        <w:rPr>
          <w:spacing w:val="-8"/>
        </w:rPr>
        <w:t>deuxième</w:t>
      </w:r>
      <w:r>
        <w:rPr>
          <w:spacing w:val="-9"/>
        </w:rPr>
        <w:t> </w:t>
      </w:r>
      <w:r>
        <w:rPr>
          <w:spacing w:val="-8"/>
        </w:rPr>
        <w:t>trimestre</w:t>
      </w:r>
      <w:r>
        <w:rPr>
          <w:spacing w:val="-10"/>
        </w:rPr>
        <w:t> </w:t>
      </w:r>
      <w:r>
        <w:rPr>
          <w:spacing w:val="-8"/>
        </w:rPr>
        <w:t>2023</w:t>
      </w:r>
      <w:r>
        <w:rPr>
          <w:spacing w:val="-9"/>
        </w:rPr>
        <w:t> </w:t>
      </w:r>
      <w:r>
        <w:rPr>
          <w:spacing w:val="-8"/>
        </w:rPr>
        <w:t>des</w:t>
      </w:r>
      <w:r>
        <w:rPr>
          <w:spacing w:val="-10"/>
        </w:rPr>
        <w:t> </w:t>
      </w:r>
      <w:r>
        <w:rPr>
          <w:spacing w:val="-8"/>
        </w:rPr>
        <w:t>enseignes</w:t>
      </w:r>
      <w:r>
        <w:rPr>
          <w:spacing w:val="-10"/>
        </w:rPr>
        <w:t> </w:t>
      </w:r>
      <w:r>
        <w:rPr>
          <w:spacing w:val="-8"/>
        </w:rPr>
        <w:t>parisiennes</w:t>
      </w:r>
      <w:r>
        <w:rPr>
          <w:spacing w:val="-9"/>
        </w:rPr>
        <w:t> </w:t>
      </w:r>
      <w:r>
        <w:rPr>
          <w:spacing w:val="-8"/>
        </w:rPr>
        <w:t>et</w:t>
      </w:r>
      <w:r>
        <w:rPr>
          <w:spacing w:val="-11"/>
        </w:rPr>
        <w:t> </w:t>
      </w:r>
      <w:r>
        <w:rPr>
          <w:spacing w:val="-8"/>
        </w:rPr>
        <w:t>de</w:t>
      </w:r>
      <w:r>
        <w:rPr>
          <w:spacing w:val="-9"/>
        </w:rPr>
        <w:t> </w:t>
      </w:r>
      <w:r>
        <w:rPr>
          <w:spacing w:val="-8"/>
        </w:rPr>
        <w:t>proximité </w:t>
      </w:r>
      <w:r>
        <w:rPr/>
        <w:t>augmente de +2,6% à périmètre comparable. L'activité estimée des hyper- et des supermarchés</w:t>
      </w:r>
      <w:r>
        <w:rPr>
          <w:spacing w:val="-17"/>
        </w:rPr>
        <w:t> </w:t>
      </w:r>
      <w:r>
        <w:rPr/>
        <w:t>est</w:t>
      </w:r>
      <w:r>
        <w:rPr>
          <w:spacing w:val="-18"/>
        </w:rPr>
        <w:t> </w:t>
      </w:r>
      <w:r>
        <w:rPr/>
        <w:t>en</w:t>
      </w:r>
      <w:r>
        <w:rPr>
          <w:spacing w:val="-16"/>
        </w:rPr>
        <w:t> </w:t>
      </w:r>
      <w:r>
        <w:rPr/>
        <w:t>baisse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respectivement</w:t>
      </w:r>
      <w:r>
        <w:rPr>
          <w:spacing w:val="-18"/>
        </w:rPr>
        <w:t> </w:t>
      </w:r>
      <w:r>
        <w:rPr/>
        <w:t>-17%</w:t>
      </w:r>
      <w:r>
        <w:rPr>
          <w:spacing w:val="-17"/>
        </w:rPr>
        <w:t> </w:t>
      </w:r>
      <w:r>
        <w:rPr/>
        <w:t>et</w:t>
      </w:r>
      <w:r>
        <w:rPr>
          <w:spacing w:val="-18"/>
        </w:rPr>
        <w:t> </w:t>
      </w:r>
      <w:r>
        <w:rPr/>
        <w:t>-14%</w:t>
      </w:r>
      <w:r>
        <w:rPr>
          <w:spacing w:val="-17"/>
        </w:rPr>
        <w:t> </w:t>
      </w:r>
      <w:r>
        <w:rPr/>
        <w:t>à</w:t>
      </w:r>
      <w:r>
        <w:rPr>
          <w:spacing w:val="-17"/>
        </w:rPr>
        <w:t> </w:t>
      </w:r>
      <w:r>
        <w:rPr/>
        <w:t>périmètre</w:t>
      </w:r>
      <w:r>
        <w:rPr>
          <w:spacing w:val="-17"/>
        </w:rPr>
        <w:t> </w:t>
      </w:r>
      <w:r>
        <w:rPr/>
        <w:t>comparable,</w:t>
      </w:r>
      <w:r>
        <w:rPr>
          <w:spacing w:val="-19"/>
        </w:rPr>
        <w:t> </w:t>
      </w:r>
      <w:r>
        <w:rPr/>
        <w:t>sous l’effet</w:t>
      </w:r>
      <w:r>
        <w:rPr>
          <w:spacing w:val="-12"/>
        </w:rPr>
        <w:t> </w:t>
      </w:r>
      <w:r>
        <w:rPr/>
        <w:t>notamment</w:t>
      </w:r>
      <w:r>
        <w:rPr>
          <w:spacing w:val="-12"/>
        </w:rPr>
        <w:t> </w:t>
      </w:r>
      <w:r>
        <w:rPr/>
        <w:t>des</w:t>
      </w:r>
      <w:r>
        <w:rPr>
          <w:spacing w:val="-10"/>
        </w:rPr>
        <w:t> </w:t>
      </w:r>
      <w:r>
        <w:rPr/>
        <w:t>baisses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prix.</w:t>
      </w:r>
    </w:p>
    <w:p>
      <w:pPr>
        <w:pStyle w:val="BodyText"/>
        <w:spacing w:line="278" w:lineRule="auto" w:before="239"/>
        <w:ind w:left="112" w:right="110"/>
        <w:jc w:val="both"/>
      </w:pPr>
      <w:r>
        <w:rPr/>
        <w:t>Pour la même période, le chiffre d'affaires de Cdiscount devrait être en baisse de -22% à périmètre</w:t>
      </w:r>
      <w:r>
        <w:rPr>
          <w:spacing w:val="-10"/>
        </w:rPr>
        <w:t> </w:t>
      </w:r>
      <w:r>
        <w:rPr/>
        <w:t>comparable.</w:t>
      </w:r>
      <w:r>
        <w:rPr>
          <w:spacing w:val="-12"/>
        </w:rPr>
        <w:t> </w:t>
      </w:r>
      <w:r>
        <w:rPr/>
        <w:t>La</w:t>
      </w:r>
      <w:r>
        <w:rPr>
          <w:spacing w:val="-9"/>
        </w:rPr>
        <w:t> </w:t>
      </w:r>
      <w:r>
        <w:rPr/>
        <w:t>GMV</w:t>
      </w:r>
      <w:r>
        <w:rPr>
          <w:spacing w:val="-11"/>
        </w:rPr>
        <w:t> </w:t>
      </w:r>
      <w:r>
        <w:rPr/>
        <w:t>baisse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-13%</w:t>
      </w:r>
      <w:r>
        <w:rPr>
          <w:spacing w:val="-10"/>
        </w:rPr>
        <w:t> </w:t>
      </w:r>
      <w:r>
        <w:rPr/>
        <w:t>tandis</w:t>
      </w:r>
      <w:r>
        <w:rPr>
          <w:spacing w:val="-10"/>
        </w:rPr>
        <w:t> </w:t>
      </w:r>
      <w:r>
        <w:rPr/>
        <w:t>que</w:t>
      </w:r>
      <w:r>
        <w:rPr>
          <w:spacing w:val="-12"/>
        </w:rPr>
        <w:t> </w:t>
      </w:r>
      <w:r>
        <w:rPr/>
        <w:t>la</w:t>
      </w:r>
      <w:r>
        <w:rPr>
          <w:spacing w:val="-9"/>
        </w:rPr>
        <w:t> </w:t>
      </w:r>
      <w:r>
        <w:rPr/>
        <w:t>GMV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Marketplace</w:t>
      </w:r>
      <w:r>
        <w:rPr>
          <w:spacing w:val="-9"/>
        </w:rPr>
        <w:t> </w:t>
      </w:r>
      <w:r>
        <w:rPr/>
        <w:t>devrait être</w:t>
      </w:r>
      <w:r>
        <w:rPr>
          <w:spacing w:val="-19"/>
        </w:rPr>
        <w:t> </w:t>
      </w:r>
      <w:r>
        <w:rPr/>
        <w:t>proche</w:t>
      </w:r>
      <w:r>
        <w:rPr>
          <w:spacing w:val="-17"/>
        </w:rPr>
        <w:t> </w:t>
      </w:r>
      <w:r>
        <w:rPr/>
        <w:t>de</w:t>
      </w:r>
      <w:r>
        <w:rPr>
          <w:spacing w:val="-20"/>
        </w:rPr>
        <w:t> </w:t>
      </w:r>
      <w:r>
        <w:rPr/>
        <w:t>l’équilibre</w:t>
      </w:r>
      <w:r>
        <w:rPr>
          <w:spacing w:val="-16"/>
        </w:rPr>
        <w:t> </w:t>
      </w:r>
      <w:r>
        <w:rPr/>
        <w:t>(-3%).</w:t>
      </w:r>
    </w:p>
    <w:p>
      <w:pPr>
        <w:pStyle w:val="BodyText"/>
        <w:spacing w:line="278" w:lineRule="auto" w:before="240"/>
        <w:ind w:left="112" w:right="110"/>
        <w:jc w:val="both"/>
      </w:pPr>
      <w:r>
        <w:rPr/>
        <w:t>L'EBITDA France après loyers du premier semestre 2023 (hors promotion immobilière) est </w:t>
      </w:r>
      <w:r>
        <w:rPr>
          <w:spacing w:val="-2"/>
        </w:rPr>
        <w:t>actuellement</w:t>
      </w:r>
      <w:r>
        <w:rPr>
          <w:spacing w:val="-12"/>
        </w:rPr>
        <w:t> </w:t>
      </w:r>
      <w:r>
        <w:rPr>
          <w:spacing w:val="-2"/>
        </w:rPr>
        <w:t>estimé</w:t>
      </w:r>
      <w:r>
        <w:rPr>
          <w:spacing w:val="-11"/>
        </w:rPr>
        <w:t> </w:t>
      </w:r>
      <w:r>
        <w:rPr>
          <w:spacing w:val="-2"/>
        </w:rPr>
        <w:t>entre</w:t>
      </w:r>
      <w:r>
        <w:rPr>
          <w:spacing w:val="-11"/>
        </w:rPr>
        <w:t> </w:t>
      </w:r>
      <w:r>
        <w:rPr>
          <w:spacing w:val="-2"/>
        </w:rPr>
        <w:t>-165</w:t>
      </w:r>
      <w:r>
        <w:rPr>
          <w:spacing w:val="-12"/>
        </w:rPr>
        <w:t> </w:t>
      </w:r>
      <w:r>
        <w:rPr>
          <w:spacing w:val="-2"/>
        </w:rPr>
        <w:t>millions</w:t>
      </w:r>
      <w:r>
        <w:rPr>
          <w:spacing w:val="-11"/>
        </w:rPr>
        <w:t> </w:t>
      </w:r>
      <w:r>
        <w:rPr>
          <w:spacing w:val="-2"/>
        </w:rPr>
        <w:t>d'euros</w:t>
      </w:r>
      <w:r>
        <w:rPr>
          <w:spacing w:val="-11"/>
        </w:rPr>
        <w:t> </w:t>
      </w:r>
      <w:r>
        <w:rPr>
          <w:spacing w:val="-2"/>
        </w:rPr>
        <w:t>et</w:t>
      </w:r>
      <w:r>
        <w:rPr>
          <w:spacing w:val="-12"/>
        </w:rPr>
        <w:t> </w:t>
      </w:r>
      <w:r>
        <w:rPr>
          <w:spacing w:val="-2"/>
        </w:rPr>
        <w:t>-175</w:t>
      </w:r>
      <w:r>
        <w:rPr>
          <w:spacing w:val="-12"/>
        </w:rPr>
        <w:t> </w:t>
      </w:r>
      <w:r>
        <w:rPr>
          <w:spacing w:val="-2"/>
        </w:rPr>
        <w:t>millions</w:t>
      </w:r>
      <w:r>
        <w:rPr>
          <w:spacing w:val="-11"/>
        </w:rPr>
        <w:t> </w:t>
      </w:r>
      <w:r>
        <w:rPr>
          <w:spacing w:val="-2"/>
        </w:rPr>
        <w:t>d'euros</w:t>
      </w:r>
      <w:r>
        <w:rPr>
          <w:spacing w:val="-11"/>
        </w:rPr>
        <w:t> </w:t>
      </w:r>
      <w:r>
        <w:rPr>
          <w:spacing w:val="-2"/>
        </w:rPr>
        <w:t>contre</w:t>
      </w:r>
      <w:r>
        <w:rPr>
          <w:spacing w:val="-11"/>
        </w:rPr>
        <w:t> </w:t>
      </w:r>
      <w:r>
        <w:rPr>
          <w:spacing w:val="-2"/>
        </w:rPr>
        <w:t>+191</w:t>
      </w:r>
      <w:r>
        <w:rPr>
          <w:spacing w:val="-12"/>
        </w:rPr>
        <w:t> </w:t>
      </w:r>
      <w:r>
        <w:rPr>
          <w:spacing w:val="-2"/>
        </w:rPr>
        <w:t>millions </w:t>
      </w:r>
      <w:r>
        <w:rPr>
          <w:spacing w:val="-4"/>
        </w:rPr>
        <w:t>d'euros</w:t>
      </w:r>
      <w:r>
        <w:rPr>
          <w:spacing w:val="-15"/>
        </w:rPr>
        <w:t> </w:t>
      </w:r>
      <w:r>
        <w:rPr>
          <w:spacing w:val="-4"/>
        </w:rPr>
        <w:t>pour</w:t>
      </w:r>
      <w:r>
        <w:rPr>
          <w:spacing w:val="-14"/>
        </w:rPr>
        <w:t> </w:t>
      </w:r>
      <w:r>
        <w:rPr>
          <w:spacing w:val="-4"/>
        </w:rPr>
        <w:t>la</w:t>
      </w:r>
      <w:r>
        <w:rPr>
          <w:spacing w:val="-15"/>
        </w:rPr>
        <w:t> </w:t>
      </w:r>
      <w:r>
        <w:rPr>
          <w:spacing w:val="-4"/>
        </w:rPr>
        <w:t>même</w:t>
      </w:r>
      <w:r>
        <w:rPr>
          <w:spacing w:val="-14"/>
        </w:rPr>
        <w:t> </w:t>
      </w:r>
      <w:r>
        <w:rPr>
          <w:spacing w:val="-4"/>
        </w:rPr>
        <w:t>période</w:t>
      </w:r>
      <w:r>
        <w:rPr>
          <w:spacing w:val="-15"/>
        </w:rPr>
        <w:t> </w:t>
      </w:r>
      <w:r>
        <w:rPr>
          <w:spacing w:val="-4"/>
        </w:rPr>
        <w:t>en</w:t>
      </w:r>
      <w:r>
        <w:rPr>
          <w:spacing w:val="-14"/>
        </w:rPr>
        <w:t> </w:t>
      </w:r>
      <w:r>
        <w:rPr>
          <w:spacing w:val="-4"/>
        </w:rPr>
        <w:t>2022,</w:t>
      </w:r>
      <w:r>
        <w:rPr>
          <w:spacing w:val="-15"/>
        </w:rPr>
        <w:t> </w:t>
      </w:r>
      <w:r>
        <w:rPr>
          <w:spacing w:val="-4"/>
        </w:rPr>
        <w:t>lié</w:t>
      </w:r>
      <w:r>
        <w:rPr>
          <w:spacing w:val="-14"/>
        </w:rPr>
        <w:t> </w:t>
      </w:r>
      <w:r>
        <w:rPr>
          <w:spacing w:val="-4"/>
        </w:rPr>
        <w:t>à</w:t>
      </w:r>
      <w:r>
        <w:rPr>
          <w:spacing w:val="-15"/>
        </w:rPr>
        <w:t> </w:t>
      </w:r>
      <w:r>
        <w:rPr>
          <w:spacing w:val="-4"/>
        </w:rPr>
        <w:t>la</w:t>
      </w:r>
      <w:r>
        <w:rPr>
          <w:spacing w:val="-14"/>
        </w:rPr>
        <w:t> </w:t>
      </w:r>
      <w:r>
        <w:rPr>
          <w:spacing w:val="-4"/>
        </w:rPr>
        <w:t>baisse</w:t>
      </w:r>
      <w:r>
        <w:rPr>
          <w:spacing w:val="-15"/>
        </w:rPr>
        <w:t> </w:t>
      </w:r>
      <w:r>
        <w:rPr>
          <w:spacing w:val="-4"/>
        </w:rPr>
        <w:t>du</w:t>
      </w:r>
      <w:r>
        <w:rPr>
          <w:spacing w:val="-14"/>
        </w:rPr>
        <w:t> </w:t>
      </w:r>
      <w:r>
        <w:rPr>
          <w:spacing w:val="-4"/>
        </w:rPr>
        <w:t>chiffre</w:t>
      </w:r>
      <w:r>
        <w:rPr>
          <w:spacing w:val="-14"/>
        </w:rPr>
        <w:t> </w:t>
      </w:r>
      <w:r>
        <w:rPr>
          <w:spacing w:val="-4"/>
        </w:rPr>
        <w:t>d’affaires</w:t>
      </w:r>
      <w:r>
        <w:rPr>
          <w:spacing w:val="-15"/>
        </w:rPr>
        <w:t> </w:t>
      </w:r>
      <w:r>
        <w:rPr>
          <w:spacing w:val="-4"/>
        </w:rPr>
        <w:t>et</w:t>
      </w:r>
      <w:r>
        <w:rPr>
          <w:spacing w:val="-14"/>
        </w:rPr>
        <w:t> </w:t>
      </w:r>
      <w:r>
        <w:rPr>
          <w:spacing w:val="-4"/>
        </w:rPr>
        <w:t>à</w:t>
      </w:r>
      <w:r>
        <w:rPr>
          <w:spacing w:val="-15"/>
        </w:rPr>
        <w:t> </w:t>
      </w:r>
      <w:r>
        <w:rPr>
          <w:spacing w:val="-4"/>
        </w:rPr>
        <w:t>la</w:t>
      </w:r>
      <w:r>
        <w:rPr>
          <w:spacing w:val="-13"/>
        </w:rPr>
        <w:t> </w:t>
      </w:r>
      <w:r>
        <w:rPr>
          <w:spacing w:val="-4"/>
        </w:rPr>
        <w:t>baisse</w:t>
      </w:r>
      <w:r>
        <w:rPr>
          <w:spacing w:val="-14"/>
        </w:rPr>
        <w:t> </w:t>
      </w:r>
      <w:r>
        <w:rPr>
          <w:spacing w:val="-4"/>
        </w:rPr>
        <w:t>des</w:t>
      </w:r>
      <w:r>
        <w:rPr>
          <w:spacing w:val="-14"/>
        </w:rPr>
        <w:t> </w:t>
      </w:r>
      <w:r>
        <w:rPr>
          <w:spacing w:val="-4"/>
        </w:rPr>
        <w:t>prix </w:t>
      </w:r>
      <w:r>
        <w:rPr/>
        <w:t>en</w:t>
      </w:r>
      <w:r>
        <w:rPr>
          <w:spacing w:val="-19"/>
        </w:rPr>
        <w:t> </w:t>
      </w:r>
      <w:r>
        <w:rPr/>
        <w:t>hyper</w:t>
      </w:r>
      <w:r>
        <w:rPr>
          <w:spacing w:val="-18"/>
        </w:rPr>
        <w:t> </w:t>
      </w:r>
      <w:r>
        <w:rPr/>
        <w:t>et</w:t>
      </w:r>
      <w:r>
        <w:rPr>
          <w:spacing w:val="-19"/>
        </w:rPr>
        <w:t> </w:t>
      </w:r>
      <w:r>
        <w:rPr/>
        <w:t>supermarchés.</w:t>
      </w:r>
      <w:r>
        <w:rPr>
          <w:spacing w:val="-18"/>
        </w:rPr>
        <w:t> </w:t>
      </w:r>
      <w:r>
        <w:rPr/>
        <w:t>Hors</w:t>
      </w:r>
      <w:r>
        <w:rPr>
          <w:spacing w:val="-19"/>
        </w:rPr>
        <w:t> </w:t>
      </w:r>
      <w:r>
        <w:rPr/>
        <w:t>hyper-</w:t>
      </w:r>
      <w:r>
        <w:rPr>
          <w:spacing w:val="-18"/>
        </w:rPr>
        <w:t> </w:t>
      </w:r>
      <w:r>
        <w:rPr/>
        <w:t>et</w:t>
      </w:r>
      <w:r>
        <w:rPr>
          <w:spacing w:val="-19"/>
        </w:rPr>
        <w:t> </w:t>
      </w:r>
      <w:r>
        <w:rPr/>
        <w:t>supermarchés,</w:t>
      </w:r>
      <w:r>
        <w:rPr>
          <w:spacing w:val="-18"/>
        </w:rPr>
        <w:t> </w:t>
      </w:r>
      <w:r>
        <w:rPr/>
        <w:t>l'EBITDA</w:t>
      </w:r>
      <w:r>
        <w:rPr>
          <w:spacing w:val="-19"/>
        </w:rPr>
        <w:t> </w:t>
      </w:r>
      <w:r>
        <w:rPr/>
        <w:t>France</w:t>
      </w:r>
      <w:r>
        <w:rPr>
          <w:spacing w:val="-18"/>
        </w:rPr>
        <w:t> </w:t>
      </w:r>
      <w:r>
        <w:rPr/>
        <w:t>après</w:t>
      </w:r>
      <w:r>
        <w:rPr>
          <w:spacing w:val="-19"/>
        </w:rPr>
        <w:t> </w:t>
      </w:r>
      <w:r>
        <w:rPr/>
        <w:t>loyers</w:t>
      </w:r>
      <w:r>
        <w:rPr>
          <w:spacing w:val="-18"/>
        </w:rPr>
        <w:t> </w:t>
      </w:r>
      <w:r>
        <w:rPr/>
        <w:t>(hors </w:t>
      </w:r>
      <w:r>
        <w:rPr>
          <w:spacing w:val="-6"/>
        </w:rPr>
        <w:t>promotion immobilière)</w:t>
      </w:r>
      <w:r>
        <w:rPr>
          <w:spacing w:val="-7"/>
        </w:rPr>
        <w:t> </w:t>
      </w:r>
      <w:r>
        <w:rPr>
          <w:spacing w:val="-6"/>
        </w:rPr>
        <w:t>du S1 2023 serait</w:t>
      </w:r>
      <w:r>
        <w:rPr>
          <w:spacing w:val="-7"/>
        </w:rPr>
        <w:t> </w:t>
      </w:r>
      <w:r>
        <w:rPr>
          <w:spacing w:val="-6"/>
        </w:rPr>
        <w:t>compris entre +150</w:t>
      </w:r>
      <w:r>
        <w:rPr>
          <w:spacing w:val="-7"/>
        </w:rPr>
        <w:t> </w:t>
      </w:r>
      <w:r>
        <w:rPr>
          <w:spacing w:val="-6"/>
        </w:rPr>
        <w:t>millions d'euros et +160</w:t>
      </w:r>
      <w:r>
        <w:rPr>
          <w:spacing w:val="-7"/>
        </w:rPr>
        <w:t> </w:t>
      </w:r>
      <w:r>
        <w:rPr>
          <w:spacing w:val="-6"/>
        </w:rPr>
        <w:t>millions d'euros</w:t>
      </w:r>
      <w:r>
        <w:rPr>
          <w:spacing w:val="-17"/>
        </w:rPr>
        <w:t> </w:t>
      </w:r>
      <w:r>
        <w:rPr>
          <w:spacing w:val="-6"/>
        </w:rPr>
        <w:t>(contre</w:t>
      </w:r>
      <w:r>
        <w:rPr>
          <w:spacing w:val="-17"/>
        </w:rPr>
        <w:t> </w:t>
      </w:r>
      <w:r>
        <w:rPr>
          <w:spacing w:val="-6"/>
        </w:rPr>
        <w:t>+152</w:t>
      </w:r>
      <w:r>
        <w:rPr>
          <w:spacing w:val="-19"/>
        </w:rPr>
        <w:t> </w:t>
      </w:r>
      <w:r>
        <w:rPr>
          <w:spacing w:val="-6"/>
        </w:rPr>
        <w:t>millions</w:t>
      </w:r>
      <w:r>
        <w:rPr>
          <w:spacing w:val="-17"/>
        </w:rPr>
        <w:t> </w:t>
      </w:r>
      <w:r>
        <w:rPr>
          <w:spacing w:val="-6"/>
        </w:rPr>
        <w:t>d'euros</w:t>
      </w:r>
      <w:r>
        <w:rPr>
          <w:spacing w:val="-17"/>
        </w:rPr>
        <w:t> </w:t>
      </w:r>
      <w:r>
        <w:rPr>
          <w:spacing w:val="-6"/>
        </w:rPr>
        <w:t>au</w:t>
      </w:r>
      <w:r>
        <w:rPr>
          <w:spacing w:val="-18"/>
        </w:rPr>
        <w:t> </w:t>
      </w:r>
      <w:r>
        <w:rPr>
          <w:spacing w:val="-6"/>
        </w:rPr>
        <w:t>S1</w:t>
      </w:r>
      <w:r>
        <w:rPr>
          <w:spacing w:val="-16"/>
        </w:rPr>
        <w:t> </w:t>
      </w:r>
      <w:r>
        <w:rPr>
          <w:spacing w:val="-6"/>
        </w:rPr>
        <w:t>2022).</w:t>
      </w:r>
    </w:p>
    <w:p>
      <w:pPr>
        <w:pStyle w:val="BodyText"/>
        <w:spacing w:before="242"/>
        <w:ind w:left="112"/>
        <w:jc w:val="both"/>
      </w:pPr>
      <w:r>
        <w:rPr>
          <w:w w:val="90"/>
        </w:rPr>
        <w:t>Sur</w:t>
      </w:r>
      <w:r>
        <w:rPr>
          <w:spacing w:val="-5"/>
          <w:w w:val="90"/>
        </w:rPr>
        <w:t> </w:t>
      </w:r>
      <w:r>
        <w:rPr>
          <w:w w:val="90"/>
        </w:rPr>
        <w:t>douze</w:t>
      </w:r>
      <w:r>
        <w:rPr>
          <w:spacing w:val="-7"/>
          <w:w w:val="90"/>
        </w:rPr>
        <w:t> </w:t>
      </w:r>
      <w:r>
        <w:rPr>
          <w:w w:val="90"/>
        </w:rPr>
        <w:t>mois</w:t>
      </w:r>
      <w:r>
        <w:rPr>
          <w:spacing w:val="-4"/>
          <w:w w:val="90"/>
        </w:rPr>
        <w:t> </w:t>
      </w:r>
      <w:r>
        <w:rPr>
          <w:w w:val="90"/>
        </w:rPr>
        <w:t>glissants,</w:t>
      </w:r>
      <w:r>
        <w:rPr>
          <w:spacing w:val="-5"/>
          <w:w w:val="90"/>
        </w:rPr>
        <w:t> </w:t>
      </w:r>
      <w:r>
        <w:rPr>
          <w:w w:val="90"/>
        </w:rPr>
        <w:t>l’EBITDA</w:t>
      </w:r>
      <w:r>
        <w:rPr>
          <w:spacing w:val="-6"/>
          <w:w w:val="90"/>
        </w:rPr>
        <w:t> </w:t>
      </w:r>
      <w:r>
        <w:rPr>
          <w:w w:val="90"/>
        </w:rPr>
        <w:t>après</w:t>
      </w:r>
      <w:r>
        <w:rPr>
          <w:spacing w:val="-6"/>
          <w:w w:val="90"/>
        </w:rPr>
        <w:t> </w:t>
      </w:r>
      <w:r>
        <w:rPr>
          <w:w w:val="90"/>
        </w:rPr>
        <w:t>loyers</w:t>
      </w:r>
      <w:r>
        <w:rPr>
          <w:spacing w:val="-4"/>
          <w:w w:val="90"/>
        </w:rPr>
        <w:t> </w:t>
      </w:r>
      <w:r>
        <w:rPr>
          <w:w w:val="90"/>
        </w:rPr>
        <w:t>est</w:t>
      </w:r>
      <w:r>
        <w:rPr>
          <w:spacing w:val="-6"/>
          <w:w w:val="90"/>
        </w:rPr>
        <w:t> </w:t>
      </w:r>
      <w:r>
        <w:rPr>
          <w:w w:val="90"/>
        </w:rPr>
        <w:t>estimé</w:t>
      </w:r>
      <w:r>
        <w:rPr>
          <w:spacing w:val="-4"/>
          <w:w w:val="90"/>
        </w:rPr>
        <w:t> </w:t>
      </w:r>
      <w:r>
        <w:rPr>
          <w:w w:val="90"/>
        </w:rPr>
        <w:t>à</w:t>
      </w:r>
      <w:r>
        <w:rPr>
          <w:spacing w:val="-3"/>
          <w:w w:val="90"/>
        </w:rPr>
        <w:t> </w:t>
      </w:r>
      <w:r>
        <w:rPr>
          <w:w w:val="90"/>
        </w:rPr>
        <w:t>environ</w:t>
      </w:r>
      <w:r>
        <w:rPr>
          <w:spacing w:val="-3"/>
          <w:w w:val="90"/>
        </w:rPr>
        <w:t> </w:t>
      </w:r>
      <w:r>
        <w:rPr>
          <w:w w:val="90"/>
        </w:rPr>
        <w:t>300</w:t>
      </w:r>
      <w:r>
        <w:rPr>
          <w:spacing w:val="-6"/>
          <w:w w:val="90"/>
        </w:rPr>
        <w:t> </w:t>
      </w:r>
      <w:r>
        <w:rPr>
          <w:w w:val="90"/>
        </w:rPr>
        <w:t>millions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d'euros.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1"/>
        <w:rPr>
          <w:sz w:val="16"/>
        </w:rPr>
      </w:pPr>
    </w:p>
    <w:p>
      <w:pPr>
        <w:spacing w:before="0"/>
        <w:ind w:left="112" w:right="0" w:firstLine="0"/>
        <w:jc w:val="left"/>
        <w:rPr>
          <w:sz w:val="16"/>
        </w:rPr>
      </w:pPr>
      <w:bookmarkStart w:name="_bookmark0" w:id="1"/>
      <w:bookmarkEnd w:id="1"/>
      <w:r>
        <w:rPr/>
      </w:r>
      <w:r>
        <w:rPr>
          <w:color w:val="0D0D0D"/>
          <w:spacing w:val="-6"/>
          <w:position w:val="5"/>
          <w:sz w:val="13"/>
        </w:rPr>
        <w:t>1</w:t>
      </w:r>
      <w:r>
        <w:rPr>
          <w:color w:val="0D0D0D"/>
          <w:spacing w:val="9"/>
          <w:position w:val="5"/>
          <w:sz w:val="13"/>
        </w:rPr>
        <w:t> </w:t>
      </w:r>
      <w:r>
        <w:rPr>
          <w:color w:val="0D0D0D"/>
          <w:spacing w:val="-6"/>
          <w:sz w:val="16"/>
        </w:rPr>
        <w:t>Hors</w:t>
      </w:r>
      <w:r>
        <w:rPr>
          <w:color w:val="0D0D0D"/>
          <w:spacing w:val="-13"/>
          <w:sz w:val="16"/>
        </w:rPr>
        <w:t> </w:t>
      </w:r>
      <w:r>
        <w:rPr>
          <w:color w:val="0D0D0D"/>
          <w:spacing w:val="-6"/>
          <w:sz w:val="16"/>
        </w:rPr>
        <w:t>essence</w:t>
      </w:r>
      <w:r>
        <w:rPr>
          <w:color w:val="0D0D0D"/>
          <w:spacing w:val="-12"/>
          <w:sz w:val="16"/>
        </w:rPr>
        <w:t> </w:t>
      </w:r>
      <w:r>
        <w:rPr>
          <w:color w:val="0D0D0D"/>
          <w:spacing w:val="-6"/>
          <w:sz w:val="16"/>
        </w:rPr>
        <w:t>et</w:t>
      </w:r>
      <w:r>
        <w:rPr>
          <w:color w:val="0D0D0D"/>
          <w:spacing w:val="-12"/>
          <w:sz w:val="16"/>
        </w:rPr>
        <w:t> </w:t>
      </w:r>
      <w:r>
        <w:rPr>
          <w:color w:val="0D0D0D"/>
          <w:spacing w:val="-6"/>
          <w:sz w:val="16"/>
        </w:rPr>
        <w:t>hors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6"/>
          <w:sz w:val="16"/>
        </w:rPr>
        <w:t>calendaire</w:t>
      </w:r>
    </w:p>
    <w:p>
      <w:pPr>
        <w:spacing w:before="33"/>
        <w:ind w:left="112" w:right="0" w:firstLine="0"/>
        <w:jc w:val="left"/>
        <w:rPr>
          <w:sz w:val="16"/>
        </w:rPr>
      </w:pPr>
      <w:bookmarkStart w:name="_bookmark1" w:id="2"/>
      <w:bookmarkEnd w:id="2"/>
      <w:r>
        <w:rPr/>
      </w:r>
      <w:r>
        <w:rPr>
          <w:color w:val="0D0D0D"/>
          <w:spacing w:val="-4"/>
          <w:position w:val="5"/>
          <w:sz w:val="13"/>
        </w:rPr>
        <w:t>2</w:t>
      </w:r>
      <w:r>
        <w:rPr>
          <w:color w:val="0D0D0D"/>
          <w:spacing w:val="20"/>
          <w:position w:val="5"/>
          <w:sz w:val="13"/>
        </w:rPr>
        <w:t> </w:t>
      </w:r>
      <w:r>
        <w:rPr>
          <w:color w:val="0D0D0D"/>
          <w:spacing w:val="-4"/>
          <w:sz w:val="16"/>
        </w:rPr>
        <w:t>Chiffres</w:t>
      </w:r>
      <w:r>
        <w:rPr>
          <w:color w:val="0D0D0D"/>
          <w:spacing w:val="-5"/>
          <w:sz w:val="16"/>
        </w:rPr>
        <w:t> </w:t>
      </w:r>
      <w:r>
        <w:rPr>
          <w:color w:val="0D0D0D"/>
          <w:spacing w:val="-4"/>
          <w:sz w:val="16"/>
        </w:rPr>
        <w:t>provisoires</w:t>
      </w:r>
      <w:r>
        <w:rPr>
          <w:color w:val="0D0D0D"/>
          <w:spacing w:val="-7"/>
          <w:sz w:val="16"/>
        </w:rPr>
        <w:t> </w:t>
      </w:r>
      <w:r>
        <w:rPr>
          <w:color w:val="0D0D0D"/>
          <w:spacing w:val="-4"/>
          <w:sz w:val="16"/>
        </w:rPr>
        <w:t>et</w:t>
      </w:r>
      <w:r>
        <w:rPr>
          <w:color w:val="0D0D0D"/>
          <w:spacing w:val="-3"/>
          <w:sz w:val="16"/>
        </w:rPr>
        <w:t> </w:t>
      </w:r>
      <w:r>
        <w:rPr>
          <w:color w:val="0D0D0D"/>
          <w:spacing w:val="-4"/>
          <w:sz w:val="16"/>
        </w:rPr>
        <w:t>non-audités</w:t>
      </w:r>
      <w:r>
        <w:rPr>
          <w:color w:val="0D0D0D"/>
          <w:spacing w:val="-2"/>
          <w:sz w:val="16"/>
        </w:rPr>
        <w:t> </w:t>
      </w:r>
      <w:r>
        <w:rPr>
          <w:color w:val="0D0D0D"/>
          <w:spacing w:val="-4"/>
          <w:sz w:val="16"/>
        </w:rPr>
        <w:t>susceptible</w:t>
      </w:r>
      <w:r>
        <w:rPr>
          <w:color w:val="0D0D0D"/>
          <w:spacing w:val="-2"/>
          <w:sz w:val="16"/>
        </w:rPr>
        <w:t> </w:t>
      </w:r>
      <w:r>
        <w:rPr>
          <w:color w:val="0D0D0D"/>
          <w:spacing w:val="-4"/>
          <w:sz w:val="16"/>
        </w:rPr>
        <w:t>d’être</w:t>
      </w:r>
      <w:r>
        <w:rPr>
          <w:color w:val="0D0D0D"/>
          <w:spacing w:val="-3"/>
          <w:sz w:val="16"/>
        </w:rPr>
        <w:t> </w:t>
      </w:r>
      <w:r>
        <w:rPr>
          <w:color w:val="0D0D0D"/>
          <w:spacing w:val="-4"/>
          <w:sz w:val="16"/>
        </w:rPr>
        <w:t>modifiés</w:t>
      </w:r>
      <w:r>
        <w:rPr>
          <w:color w:val="0D0D0D"/>
          <w:spacing w:val="-7"/>
          <w:sz w:val="16"/>
        </w:rPr>
        <w:t> </w:t>
      </w:r>
      <w:r>
        <w:rPr>
          <w:color w:val="0D0D0D"/>
          <w:spacing w:val="-4"/>
          <w:sz w:val="16"/>
        </w:rPr>
        <w:t>d’ici</w:t>
      </w:r>
      <w:r>
        <w:rPr>
          <w:color w:val="0D0D0D"/>
          <w:spacing w:val="-2"/>
          <w:sz w:val="16"/>
        </w:rPr>
        <w:t> </w:t>
      </w:r>
      <w:r>
        <w:rPr>
          <w:color w:val="0D0D0D"/>
          <w:spacing w:val="-4"/>
          <w:sz w:val="16"/>
        </w:rPr>
        <w:t>la</w:t>
      </w:r>
      <w:r>
        <w:rPr>
          <w:color w:val="0D0D0D"/>
          <w:spacing w:val="-6"/>
          <w:sz w:val="16"/>
        </w:rPr>
        <w:t> </w:t>
      </w:r>
      <w:r>
        <w:rPr>
          <w:color w:val="0D0D0D"/>
          <w:spacing w:val="-4"/>
          <w:sz w:val="16"/>
        </w:rPr>
        <w:t>date</w:t>
      </w:r>
      <w:r>
        <w:rPr>
          <w:color w:val="0D0D0D"/>
          <w:spacing w:val="-3"/>
          <w:sz w:val="16"/>
        </w:rPr>
        <w:t> </w:t>
      </w:r>
      <w:r>
        <w:rPr>
          <w:color w:val="0D0D0D"/>
          <w:spacing w:val="-4"/>
          <w:sz w:val="16"/>
        </w:rPr>
        <w:t>d’arrête</w:t>
      </w:r>
      <w:r>
        <w:rPr>
          <w:color w:val="0D0D0D"/>
          <w:spacing w:val="-2"/>
          <w:sz w:val="16"/>
        </w:rPr>
        <w:t> </w:t>
      </w:r>
      <w:r>
        <w:rPr>
          <w:color w:val="0D0D0D"/>
          <w:spacing w:val="-4"/>
          <w:sz w:val="16"/>
        </w:rPr>
        <w:t>des</w:t>
      </w:r>
      <w:r>
        <w:rPr>
          <w:color w:val="0D0D0D"/>
          <w:spacing w:val="-5"/>
          <w:sz w:val="16"/>
        </w:rPr>
        <w:t> </w:t>
      </w:r>
      <w:r>
        <w:rPr>
          <w:color w:val="0D0D0D"/>
          <w:spacing w:val="-4"/>
          <w:sz w:val="16"/>
        </w:rPr>
        <w:t>comptes</w:t>
      </w:r>
      <w:r>
        <w:rPr>
          <w:color w:val="0D0D0D"/>
          <w:spacing w:val="-1"/>
          <w:sz w:val="16"/>
        </w:rPr>
        <w:t> </w:t>
      </w:r>
      <w:r>
        <w:rPr>
          <w:color w:val="0D0D0D"/>
          <w:spacing w:val="-4"/>
          <w:sz w:val="16"/>
        </w:rPr>
        <w:t>semestriels</w:t>
      </w:r>
    </w:p>
    <w:p>
      <w:pPr>
        <w:spacing w:before="30"/>
        <w:ind w:left="112" w:right="0" w:firstLine="0"/>
        <w:jc w:val="left"/>
        <w:rPr>
          <w:sz w:val="16"/>
        </w:rPr>
      </w:pPr>
      <w:bookmarkStart w:name="_bookmark2" w:id="3"/>
      <w:bookmarkEnd w:id="3"/>
      <w:r>
        <w:rPr/>
      </w:r>
      <w:r>
        <w:rPr>
          <w:color w:val="0D0D0D"/>
          <w:spacing w:val="-2"/>
          <w:position w:val="5"/>
          <w:sz w:val="13"/>
        </w:rPr>
        <w:t>3</w:t>
      </w:r>
      <w:r>
        <w:rPr>
          <w:color w:val="0D0D0D"/>
          <w:spacing w:val="6"/>
          <w:position w:val="5"/>
          <w:sz w:val="13"/>
        </w:rPr>
        <w:t> </w:t>
      </w:r>
      <w:r>
        <w:rPr>
          <w:color w:val="0D0D0D"/>
          <w:spacing w:val="-2"/>
          <w:sz w:val="16"/>
        </w:rPr>
        <w:t>Consolidation</w:t>
      </w:r>
      <w:r>
        <w:rPr>
          <w:color w:val="0D0D0D"/>
          <w:spacing w:val="-12"/>
          <w:sz w:val="16"/>
        </w:rPr>
        <w:t> </w:t>
      </w:r>
      <w:r>
        <w:rPr>
          <w:color w:val="0D0D0D"/>
          <w:spacing w:val="-2"/>
          <w:sz w:val="16"/>
        </w:rPr>
        <w:t>Casino</w:t>
      </w:r>
    </w:p>
    <w:p>
      <w:pPr>
        <w:spacing w:before="31"/>
        <w:ind w:left="112" w:right="0" w:firstLine="0"/>
        <w:jc w:val="left"/>
        <w:rPr>
          <w:sz w:val="16"/>
        </w:rPr>
      </w:pPr>
      <w:bookmarkStart w:name="_bookmark3" w:id="4"/>
      <w:bookmarkEnd w:id="4"/>
      <w:r>
        <w:rPr/>
      </w:r>
      <w:r>
        <w:rPr>
          <w:color w:val="0D0D0D"/>
          <w:spacing w:val="-2"/>
          <w:position w:val="5"/>
          <w:sz w:val="13"/>
        </w:rPr>
        <w:t>4</w:t>
      </w:r>
      <w:r>
        <w:rPr>
          <w:color w:val="0D0D0D"/>
          <w:spacing w:val="6"/>
          <w:position w:val="5"/>
          <w:sz w:val="13"/>
        </w:rPr>
        <w:t> </w:t>
      </w:r>
      <w:r>
        <w:rPr>
          <w:color w:val="0D0D0D"/>
          <w:spacing w:val="-2"/>
          <w:sz w:val="16"/>
        </w:rPr>
        <w:t>Consolidation</w:t>
      </w:r>
      <w:r>
        <w:rPr>
          <w:color w:val="0D0D0D"/>
          <w:spacing w:val="-12"/>
          <w:sz w:val="16"/>
        </w:rPr>
        <w:t> </w:t>
      </w:r>
      <w:r>
        <w:rPr>
          <w:color w:val="0D0D0D"/>
          <w:spacing w:val="-4"/>
          <w:sz w:val="16"/>
        </w:rPr>
        <w:t>Cnova</w:t>
      </w:r>
    </w:p>
    <w:p>
      <w:pPr>
        <w:spacing w:before="84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0"/>
          <w:sz w:val="20"/>
        </w:rPr>
        <w:t>Mercredi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12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juillet</w:t>
      </w:r>
      <w:r>
        <w:rPr>
          <w:spacing w:val="-7"/>
          <w:sz w:val="20"/>
        </w:rPr>
        <w:t> </w:t>
      </w:r>
      <w:r>
        <w:rPr>
          <w:w w:val="90"/>
          <w:sz w:val="20"/>
        </w:rPr>
        <w:t>2023</w:t>
      </w:r>
      <w:r>
        <w:rPr>
          <w:spacing w:val="-2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▪</w:t>
      </w:r>
      <w:r>
        <w:rPr>
          <w:b/>
          <w:color w:val="3CA05A"/>
          <w:spacing w:val="-5"/>
          <w:sz w:val="20"/>
        </w:rPr>
        <w:t> </w:t>
      </w:r>
      <w:r>
        <w:rPr>
          <w:rFonts w:ascii="Tahoma" w:hAnsi="Tahoma"/>
          <w:b/>
          <w:color w:val="3CA05A"/>
          <w:spacing w:val="-10"/>
          <w:w w:val="90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280" w:bottom="280" w:left="1020" w:right="1020"/>
        </w:sectPr>
      </w:pPr>
    </w:p>
    <w:p>
      <w:pPr>
        <w:pStyle w:val="BodyText"/>
        <w:spacing w:before="65"/>
        <w:rPr>
          <w:rFonts w:ascii="Tahoma"/>
          <w:b/>
        </w:rPr>
      </w:pPr>
      <w:r>
        <w:rPr/>
        <w:drawing>
          <wp:anchor distT="0" distB="0" distL="0" distR="0" allowOverlap="1" layoutInCell="1" locked="0" behindDoc="1" simplePos="0" relativeHeight="487394816">
            <wp:simplePos x="0" y="0"/>
            <wp:positionH relativeFrom="page">
              <wp:posOffset>724117</wp:posOffset>
            </wp:positionH>
            <wp:positionV relativeFrom="page">
              <wp:posOffset>219518</wp:posOffset>
            </wp:positionV>
            <wp:extent cx="6834287" cy="10472865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287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328">
                <wp:simplePos x="0" y="0"/>
                <wp:positionH relativeFrom="page">
                  <wp:posOffset>476884</wp:posOffset>
                </wp:positionH>
                <wp:positionV relativeFrom="page">
                  <wp:posOffset>833119</wp:posOffset>
                </wp:positionV>
                <wp:extent cx="6581775" cy="40271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581775" cy="4027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 h="4027170">
                              <a:moveTo>
                                <a:pt x="0" y="0"/>
                              </a:moveTo>
                              <a:lnTo>
                                <a:pt x="6581775" y="0"/>
                              </a:lnTo>
                              <a:lnTo>
                                <a:pt x="6581775" y="4027170"/>
                              </a:lnTo>
                              <a:lnTo>
                                <a:pt x="0" y="40271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6460A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49999pt;margin-top:65.599983pt;width:518.25pt;height:317.1pt;mso-position-horizontal-relative:page;mso-position-vertical-relative:page;z-index:-15921152" id="docshape6" filled="false" stroked="true" strokeweight="2pt" strokecolor="#6460a9">
                <v:stroke dashstyle="solid"/>
                <w10:wrap type="none"/>
              </v:rect>
            </w:pict>
          </mc:Fallback>
        </mc:AlternateContent>
      </w:r>
    </w:p>
    <w:p>
      <w:pPr>
        <w:pStyle w:val="BodyText"/>
        <w:spacing w:line="278" w:lineRule="auto"/>
        <w:ind w:left="112" w:right="109"/>
        <w:jc w:val="both"/>
      </w:pPr>
      <w:r>
        <w:rPr/>
        <w:t>Au</w:t>
      </w:r>
      <w:r>
        <w:rPr>
          <w:spacing w:val="-19"/>
        </w:rPr>
        <w:t> </w:t>
      </w:r>
      <w:r>
        <w:rPr/>
        <w:t>vu</w:t>
      </w:r>
      <w:r>
        <w:rPr>
          <w:spacing w:val="-18"/>
        </w:rPr>
        <w:t> </w:t>
      </w:r>
      <w:r>
        <w:rPr/>
        <w:t>des</w:t>
      </w:r>
      <w:r>
        <w:rPr>
          <w:spacing w:val="-19"/>
        </w:rPr>
        <w:t> </w:t>
      </w:r>
      <w:r>
        <w:rPr/>
        <w:t>performances</w:t>
      </w:r>
      <w:r>
        <w:rPr>
          <w:spacing w:val="-18"/>
        </w:rPr>
        <w:t> </w:t>
      </w:r>
      <w:r>
        <w:rPr/>
        <w:t>estimées</w:t>
      </w:r>
      <w:r>
        <w:rPr>
          <w:spacing w:val="-19"/>
        </w:rPr>
        <w:t> </w:t>
      </w:r>
      <w:r>
        <w:rPr/>
        <w:t>à</w:t>
      </w:r>
      <w:r>
        <w:rPr>
          <w:spacing w:val="-18"/>
        </w:rPr>
        <w:t> </w:t>
      </w:r>
      <w:r>
        <w:rPr/>
        <w:t>la</w:t>
      </w:r>
      <w:r>
        <w:rPr>
          <w:spacing w:val="-19"/>
        </w:rPr>
        <w:t> </w:t>
      </w:r>
      <w:r>
        <w:rPr/>
        <w:t>fin</w:t>
      </w:r>
      <w:r>
        <w:rPr>
          <w:spacing w:val="-18"/>
        </w:rPr>
        <w:t> </w:t>
      </w:r>
      <w:r>
        <w:rPr/>
        <w:t>du</w:t>
      </w:r>
      <w:r>
        <w:rPr>
          <w:spacing w:val="-19"/>
        </w:rPr>
        <w:t> </w:t>
      </w:r>
      <w:r>
        <w:rPr/>
        <w:t>premier</w:t>
      </w:r>
      <w:r>
        <w:rPr>
          <w:spacing w:val="-18"/>
        </w:rPr>
        <w:t> </w:t>
      </w:r>
      <w:r>
        <w:rPr/>
        <w:t>semestre,</w:t>
      </w:r>
      <w:r>
        <w:rPr>
          <w:spacing w:val="-19"/>
        </w:rPr>
        <w:t> </w:t>
      </w:r>
      <w:r>
        <w:rPr/>
        <w:t>le</w:t>
      </w:r>
      <w:r>
        <w:rPr>
          <w:spacing w:val="-18"/>
        </w:rPr>
        <w:t> </w:t>
      </w:r>
      <w:r>
        <w:rPr/>
        <w:t>Groupe</w:t>
      </w:r>
      <w:r>
        <w:rPr>
          <w:spacing w:val="-18"/>
        </w:rPr>
        <w:t> </w:t>
      </w:r>
      <w:r>
        <w:rPr/>
        <w:t>anticipe</w:t>
      </w:r>
      <w:r>
        <w:rPr>
          <w:spacing w:val="-19"/>
        </w:rPr>
        <w:t> </w:t>
      </w:r>
      <w:r>
        <w:rPr/>
        <w:t>désormais </w:t>
      </w:r>
      <w:r>
        <w:rPr>
          <w:spacing w:val="-8"/>
        </w:rPr>
        <w:t>un EBITDA</w:t>
      </w:r>
      <w:r>
        <w:rPr>
          <w:spacing w:val="-11"/>
        </w:rPr>
        <w:t> </w:t>
      </w:r>
      <w:r>
        <w:rPr>
          <w:spacing w:val="-8"/>
        </w:rPr>
        <w:t>France après loyer</w:t>
      </w:r>
      <w:r>
        <w:rPr>
          <w:spacing w:val="-9"/>
        </w:rPr>
        <w:t> </w:t>
      </w:r>
      <w:r>
        <w:rPr>
          <w:spacing w:val="-8"/>
        </w:rPr>
        <w:t>payés inférieur</w:t>
      </w:r>
      <w:r>
        <w:rPr>
          <w:spacing w:val="-9"/>
        </w:rPr>
        <w:t> </w:t>
      </w:r>
      <w:r>
        <w:rPr>
          <w:spacing w:val="-8"/>
        </w:rPr>
        <w:t>à 300</w:t>
      </w:r>
      <w:r>
        <w:rPr>
          <w:spacing w:val="-10"/>
        </w:rPr>
        <w:t> </w:t>
      </w:r>
      <w:r>
        <w:rPr>
          <w:spacing w:val="-8"/>
        </w:rPr>
        <w:t>millions d'euros sur</w:t>
      </w:r>
      <w:r>
        <w:rPr>
          <w:spacing w:val="-9"/>
        </w:rPr>
        <w:t> </w:t>
      </w:r>
      <w:r>
        <w:rPr>
          <w:spacing w:val="-8"/>
        </w:rPr>
        <w:t>l’année 2023 (contre 440 </w:t>
      </w:r>
      <w:r>
        <w:rPr>
          <w:spacing w:val="-4"/>
        </w:rPr>
        <w:t>millions</w:t>
      </w:r>
      <w:r>
        <w:rPr>
          <w:spacing w:val="-11"/>
        </w:rPr>
        <w:t> </w:t>
      </w:r>
      <w:r>
        <w:rPr>
          <w:spacing w:val="-4"/>
        </w:rPr>
        <w:t>d'euros</w:t>
      </w:r>
      <w:r>
        <w:rPr>
          <w:spacing w:val="-11"/>
        </w:rPr>
        <w:t> </w:t>
      </w:r>
      <w:r>
        <w:rPr>
          <w:spacing w:val="-4"/>
        </w:rPr>
        <w:t>dans</w:t>
      </w:r>
      <w:r>
        <w:rPr>
          <w:spacing w:val="-15"/>
        </w:rPr>
        <w:t> </w:t>
      </w:r>
      <w:r>
        <w:rPr>
          <w:spacing w:val="-4"/>
        </w:rPr>
        <w:t>le</w:t>
      </w:r>
      <w:r>
        <w:rPr>
          <w:spacing w:val="-15"/>
        </w:rPr>
        <w:t> </w:t>
      </w:r>
      <w:r>
        <w:rPr>
          <w:spacing w:val="-4"/>
        </w:rPr>
        <w:t>plan</w:t>
      </w:r>
      <w:r>
        <w:rPr>
          <w:spacing w:val="-10"/>
        </w:rPr>
        <w:t> </w:t>
      </w:r>
      <w:r>
        <w:rPr>
          <w:spacing w:val="-4"/>
        </w:rPr>
        <w:t>d’affaires</w:t>
      </w:r>
      <w:r>
        <w:rPr>
          <w:spacing w:val="-11"/>
        </w:rPr>
        <w:t> </w:t>
      </w:r>
      <w:r>
        <w:rPr>
          <w:spacing w:val="-4"/>
        </w:rPr>
        <w:t>présenté</w:t>
      </w:r>
      <w:r>
        <w:rPr>
          <w:spacing w:val="-15"/>
        </w:rPr>
        <w:t> </w:t>
      </w:r>
      <w:r>
        <w:rPr>
          <w:spacing w:val="-4"/>
        </w:rPr>
        <w:t>au</w:t>
      </w:r>
      <w:r>
        <w:rPr>
          <w:spacing w:val="-12"/>
        </w:rPr>
        <w:t> </w:t>
      </w:r>
      <w:r>
        <w:rPr>
          <w:spacing w:val="-4"/>
        </w:rPr>
        <w:t>marché</w:t>
      </w:r>
      <w:r>
        <w:rPr>
          <w:spacing w:val="-15"/>
        </w:rPr>
        <w:t> </w:t>
      </w:r>
      <w:r>
        <w:rPr>
          <w:spacing w:val="-4"/>
        </w:rPr>
        <w:t>le</w:t>
      </w:r>
      <w:r>
        <w:rPr>
          <w:spacing w:val="-11"/>
        </w:rPr>
        <w:t> </w:t>
      </w:r>
      <w:r>
        <w:rPr>
          <w:spacing w:val="-4"/>
        </w:rPr>
        <w:t>26</w:t>
      </w:r>
      <w:r>
        <w:rPr>
          <w:spacing w:val="-10"/>
        </w:rPr>
        <w:t> </w:t>
      </w:r>
      <w:r>
        <w:rPr>
          <w:spacing w:val="-4"/>
        </w:rPr>
        <w:t>juin</w:t>
      </w:r>
      <w:r>
        <w:rPr>
          <w:spacing w:val="-10"/>
        </w:rPr>
        <w:t> </w:t>
      </w:r>
      <w:r>
        <w:rPr>
          <w:spacing w:val="-4"/>
        </w:rPr>
        <w:t>2023).</w:t>
      </w:r>
    </w:p>
    <w:p>
      <w:pPr>
        <w:pStyle w:val="BodyText"/>
        <w:spacing w:before="40"/>
      </w:pPr>
    </w:p>
    <w:p>
      <w:pPr>
        <w:spacing w:before="0"/>
        <w:ind w:left="112" w:right="0" w:firstLine="0"/>
        <w:jc w:val="both"/>
        <w:rPr>
          <w:i/>
          <w:sz w:val="21"/>
        </w:rPr>
      </w:pPr>
      <w:r>
        <w:rPr>
          <w:i/>
          <w:spacing w:val="-4"/>
          <w:sz w:val="21"/>
          <w:u w:val="single"/>
        </w:rPr>
        <w:t>Prochaines</w:t>
      </w:r>
      <w:r>
        <w:rPr>
          <w:i/>
          <w:spacing w:val="-5"/>
          <w:sz w:val="21"/>
          <w:u w:val="single"/>
        </w:rPr>
        <w:t> </w:t>
      </w:r>
      <w:r>
        <w:rPr>
          <w:i/>
          <w:spacing w:val="-2"/>
          <w:sz w:val="21"/>
          <w:u w:val="single"/>
        </w:rPr>
        <w:t>étapes</w:t>
      </w:r>
    </w:p>
    <w:p>
      <w:pPr>
        <w:pStyle w:val="BodyText"/>
        <w:spacing w:before="25"/>
        <w:rPr>
          <w:i/>
        </w:rPr>
      </w:pPr>
    </w:p>
    <w:p>
      <w:pPr>
        <w:pStyle w:val="BodyText"/>
        <w:spacing w:line="278" w:lineRule="auto"/>
        <w:ind w:left="112" w:right="113"/>
        <w:jc w:val="both"/>
      </w:pPr>
      <w:r>
        <w:rPr/>
        <w:t>Afin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parvenir</w:t>
      </w:r>
      <w:r>
        <w:rPr>
          <w:spacing w:val="-13"/>
        </w:rPr>
        <w:t> </w:t>
      </w:r>
      <w:r>
        <w:rPr/>
        <w:t>à</w:t>
      </w:r>
      <w:r>
        <w:rPr>
          <w:spacing w:val="-13"/>
        </w:rPr>
        <w:t> </w:t>
      </w:r>
      <w:r>
        <w:rPr/>
        <w:t>un</w:t>
      </w:r>
      <w:r>
        <w:rPr>
          <w:spacing w:val="-14"/>
        </w:rPr>
        <w:t> </w:t>
      </w:r>
      <w:r>
        <w:rPr/>
        <w:t>accord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principe</w:t>
      </w:r>
      <w:r>
        <w:rPr>
          <w:spacing w:val="-13"/>
        </w:rPr>
        <w:t> </w:t>
      </w:r>
      <w:r>
        <w:rPr/>
        <w:t>avec</w:t>
      </w:r>
      <w:r>
        <w:rPr>
          <w:spacing w:val="-14"/>
        </w:rPr>
        <w:t> </w:t>
      </w:r>
      <w:r>
        <w:rPr/>
        <w:t>les</w:t>
      </w:r>
      <w:r>
        <w:rPr>
          <w:spacing w:val="-13"/>
        </w:rPr>
        <w:t> </w:t>
      </w:r>
      <w:r>
        <w:rPr/>
        <w:t>principaux</w:t>
      </w:r>
      <w:r>
        <w:rPr>
          <w:spacing w:val="-13"/>
        </w:rPr>
        <w:t> </w:t>
      </w:r>
      <w:r>
        <w:rPr/>
        <w:t>créanciers</w:t>
      </w:r>
      <w:r>
        <w:rPr>
          <w:spacing w:val="-13"/>
        </w:rPr>
        <w:t> </w:t>
      </w:r>
      <w:r>
        <w:rPr/>
        <w:t>sur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restructuration </w:t>
      </w:r>
      <w:r>
        <w:rPr>
          <w:spacing w:val="-4"/>
        </w:rPr>
        <w:t>de</w:t>
      </w:r>
      <w:r>
        <w:rPr>
          <w:spacing w:val="-15"/>
        </w:rPr>
        <w:t> </w:t>
      </w:r>
      <w:r>
        <w:rPr>
          <w:spacing w:val="-4"/>
        </w:rPr>
        <w:t>la</w:t>
      </w:r>
      <w:r>
        <w:rPr>
          <w:spacing w:val="-14"/>
        </w:rPr>
        <w:t> </w:t>
      </w:r>
      <w:r>
        <w:rPr>
          <w:spacing w:val="-4"/>
        </w:rPr>
        <w:t>dette</w:t>
      </w:r>
      <w:r>
        <w:rPr>
          <w:spacing w:val="-15"/>
        </w:rPr>
        <w:t> </w:t>
      </w:r>
      <w:r>
        <w:rPr>
          <w:spacing w:val="-4"/>
        </w:rPr>
        <w:t>financière</w:t>
      </w:r>
      <w:r>
        <w:rPr>
          <w:spacing w:val="-13"/>
        </w:rPr>
        <w:t> </w:t>
      </w:r>
      <w:r>
        <w:rPr>
          <w:spacing w:val="-4"/>
        </w:rPr>
        <w:t>du</w:t>
      </w:r>
      <w:r>
        <w:rPr>
          <w:spacing w:val="-15"/>
        </w:rPr>
        <w:t> </w:t>
      </w:r>
      <w:r>
        <w:rPr>
          <w:spacing w:val="-4"/>
        </w:rPr>
        <w:t>Groupe</w:t>
      </w:r>
      <w:r>
        <w:rPr>
          <w:spacing w:val="-13"/>
        </w:rPr>
        <w:t> </w:t>
      </w:r>
      <w:r>
        <w:rPr>
          <w:spacing w:val="-4"/>
        </w:rPr>
        <w:t>au</w:t>
      </w:r>
      <w:r>
        <w:rPr>
          <w:spacing w:val="-15"/>
        </w:rPr>
        <w:t> </w:t>
      </w:r>
      <w:r>
        <w:rPr>
          <w:spacing w:val="-4"/>
        </w:rPr>
        <w:t>plus</w:t>
      </w:r>
      <w:r>
        <w:rPr>
          <w:spacing w:val="-13"/>
        </w:rPr>
        <w:t> </w:t>
      </w:r>
      <w:r>
        <w:rPr>
          <w:spacing w:val="-4"/>
        </w:rPr>
        <w:t>tard</w:t>
      </w:r>
      <w:r>
        <w:rPr>
          <w:spacing w:val="-15"/>
        </w:rPr>
        <w:t> </w:t>
      </w:r>
      <w:r>
        <w:rPr>
          <w:spacing w:val="-4"/>
        </w:rPr>
        <w:t>le</w:t>
      </w:r>
      <w:r>
        <w:rPr>
          <w:spacing w:val="-13"/>
        </w:rPr>
        <w:t> </w:t>
      </w:r>
      <w:r>
        <w:rPr>
          <w:spacing w:val="-4"/>
        </w:rPr>
        <w:t>27</w:t>
      </w:r>
      <w:r>
        <w:rPr>
          <w:spacing w:val="-12"/>
        </w:rPr>
        <w:t> </w:t>
      </w:r>
      <w:r>
        <w:rPr>
          <w:spacing w:val="-4"/>
        </w:rPr>
        <w:t>juillet</w:t>
      </w:r>
      <w:r>
        <w:rPr>
          <w:spacing w:val="-15"/>
        </w:rPr>
        <w:t> </w:t>
      </w:r>
      <w:r>
        <w:rPr>
          <w:spacing w:val="-4"/>
        </w:rPr>
        <w:t>2023,</w:t>
      </w:r>
      <w:r>
        <w:rPr>
          <w:spacing w:val="-14"/>
        </w:rPr>
        <w:t> </w:t>
      </w:r>
      <w:r>
        <w:rPr>
          <w:spacing w:val="-4"/>
        </w:rPr>
        <w:t>les</w:t>
      </w:r>
      <w:r>
        <w:rPr>
          <w:spacing w:val="-13"/>
        </w:rPr>
        <w:t> </w:t>
      </w:r>
      <w:r>
        <w:rPr>
          <w:spacing w:val="-4"/>
        </w:rPr>
        <w:t>conciliateurs</w:t>
      </w:r>
      <w:r>
        <w:rPr>
          <w:spacing w:val="-13"/>
        </w:rPr>
        <w:t> </w:t>
      </w:r>
      <w:r>
        <w:rPr>
          <w:spacing w:val="-4"/>
        </w:rPr>
        <w:t>ont</w:t>
      </w:r>
      <w:r>
        <w:rPr>
          <w:spacing w:val="-15"/>
        </w:rPr>
        <w:t> </w:t>
      </w:r>
      <w:r>
        <w:rPr>
          <w:spacing w:val="-4"/>
        </w:rPr>
        <w:t>sollicité</w:t>
      </w:r>
      <w:r>
        <w:rPr>
          <w:spacing w:val="-13"/>
        </w:rPr>
        <w:t> </w:t>
      </w:r>
      <w:r>
        <w:rPr>
          <w:spacing w:val="-4"/>
        </w:rPr>
        <w:t>des </w:t>
      </w:r>
      <w:r>
        <w:rPr>
          <w:spacing w:val="-6"/>
        </w:rPr>
        <w:t>parties</w:t>
      </w:r>
      <w:r>
        <w:rPr>
          <w:spacing w:val="-10"/>
        </w:rPr>
        <w:t> </w:t>
      </w:r>
      <w:r>
        <w:rPr>
          <w:spacing w:val="-6"/>
        </w:rPr>
        <w:t>prenantes</w:t>
      </w:r>
      <w:r>
        <w:rPr>
          <w:spacing w:val="-10"/>
        </w:rPr>
        <w:t> </w:t>
      </w:r>
      <w:r>
        <w:rPr>
          <w:spacing w:val="-6"/>
        </w:rPr>
        <w:t>la</w:t>
      </w:r>
      <w:r>
        <w:rPr>
          <w:spacing w:val="-10"/>
        </w:rPr>
        <w:t> </w:t>
      </w:r>
      <w:r>
        <w:rPr>
          <w:spacing w:val="-6"/>
        </w:rPr>
        <w:t>remise</w:t>
      </w:r>
      <w:r>
        <w:rPr>
          <w:spacing w:val="-10"/>
        </w:rPr>
        <w:t> </w:t>
      </w:r>
      <w:r>
        <w:rPr>
          <w:spacing w:val="-6"/>
        </w:rPr>
        <w:t>d’offres</w:t>
      </w:r>
      <w:r>
        <w:rPr>
          <w:spacing w:val="-10"/>
        </w:rPr>
        <w:t> </w:t>
      </w:r>
      <w:r>
        <w:rPr>
          <w:spacing w:val="-6"/>
        </w:rPr>
        <w:t>révisées</w:t>
      </w:r>
      <w:r>
        <w:rPr>
          <w:spacing w:val="-10"/>
        </w:rPr>
        <w:t> </w:t>
      </w:r>
      <w:r>
        <w:rPr>
          <w:spacing w:val="-6"/>
        </w:rPr>
        <w:t>au</w:t>
      </w:r>
      <w:r>
        <w:rPr>
          <w:spacing w:val="-11"/>
        </w:rPr>
        <w:t> </w:t>
      </w:r>
      <w:r>
        <w:rPr>
          <w:spacing w:val="-6"/>
        </w:rPr>
        <w:t>plus</w:t>
      </w:r>
      <w:r>
        <w:rPr>
          <w:spacing w:val="-10"/>
        </w:rPr>
        <w:t> </w:t>
      </w:r>
      <w:r>
        <w:rPr>
          <w:spacing w:val="-6"/>
        </w:rPr>
        <w:t>tard</w:t>
      </w:r>
      <w:r>
        <w:rPr>
          <w:spacing w:val="-14"/>
        </w:rPr>
        <w:t> </w:t>
      </w:r>
      <w:r>
        <w:rPr>
          <w:spacing w:val="-6"/>
        </w:rPr>
        <w:t>le</w:t>
      </w:r>
      <w:r>
        <w:rPr>
          <w:spacing w:val="-10"/>
        </w:rPr>
        <w:t> </w:t>
      </w:r>
      <w:r>
        <w:rPr>
          <w:spacing w:val="-6"/>
        </w:rPr>
        <w:t>14</w:t>
      </w:r>
      <w:r>
        <w:rPr>
          <w:spacing w:val="-9"/>
        </w:rPr>
        <w:t> </w:t>
      </w:r>
      <w:r>
        <w:rPr>
          <w:spacing w:val="-6"/>
        </w:rPr>
        <w:t>juillet</w:t>
      </w:r>
      <w:r>
        <w:rPr>
          <w:spacing w:val="-13"/>
        </w:rPr>
        <w:t> </w:t>
      </w:r>
      <w:r>
        <w:rPr>
          <w:spacing w:val="-6"/>
        </w:rPr>
        <w:t>2023</w:t>
      </w:r>
      <w:r>
        <w:rPr>
          <w:spacing w:val="-9"/>
        </w:rPr>
        <w:t> </w:t>
      </w:r>
      <w:r>
        <w:rPr>
          <w:spacing w:val="-6"/>
        </w:rPr>
        <w:t>à</w:t>
      </w:r>
      <w:r>
        <w:rPr>
          <w:spacing w:val="-10"/>
        </w:rPr>
        <w:t> </w:t>
      </w:r>
      <w:r>
        <w:rPr>
          <w:spacing w:val="-6"/>
        </w:rPr>
        <w:t>21h.</w:t>
      </w:r>
    </w:p>
    <w:p>
      <w:pPr>
        <w:pStyle w:val="BodyText"/>
        <w:spacing w:line="278" w:lineRule="auto" w:before="242"/>
        <w:ind w:left="112" w:right="111"/>
        <w:jc w:val="both"/>
      </w:pPr>
      <w:r>
        <w:rPr/>
        <w:t>Au-delà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critères</w:t>
      </w:r>
      <w:r>
        <w:rPr>
          <w:spacing w:val="-3"/>
        </w:rPr>
        <w:t> </w:t>
      </w:r>
      <w:r>
        <w:rPr/>
        <w:t>d’appréciation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offres</w:t>
      </w:r>
      <w:r>
        <w:rPr>
          <w:spacing w:val="-4"/>
        </w:rPr>
        <w:t> </w:t>
      </w:r>
      <w:r>
        <w:rPr/>
        <w:t>publiés</w:t>
      </w:r>
      <w:r>
        <w:rPr>
          <w:spacing w:val="-3"/>
        </w:rPr>
        <w:t> </w:t>
      </w:r>
      <w:r>
        <w:rPr/>
        <w:t>par</w:t>
      </w:r>
      <w:r>
        <w:rPr>
          <w:spacing w:val="-5"/>
        </w:rPr>
        <w:t> </w:t>
      </w:r>
      <w:r>
        <w:rPr/>
        <w:t>le</w:t>
      </w:r>
      <w:r>
        <w:rPr>
          <w:spacing w:val="-4"/>
        </w:rPr>
        <w:t> </w:t>
      </w:r>
      <w:r>
        <w:rPr/>
        <w:t>Groupe</w:t>
      </w:r>
      <w:r>
        <w:rPr>
          <w:spacing w:val="-4"/>
        </w:rPr>
        <w:t> </w:t>
      </w:r>
      <w:r>
        <w:rPr/>
        <w:t>le</w:t>
      </w:r>
      <w:r>
        <w:rPr>
          <w:spacing w:val="-3"/>
        </w:rPr>
        <w:t> </w:t>
      </w:r>
      <w:r>
        <w:rPr/>
        <w:t>28</w:t>
      </w:r>
      <w:r>
        <w:rPr>
          <w:spacing w:val="-2"/>
        </w:rPr>
        <w:t> </w:t>
      </w:r>
      <w:r>
        <w:rPr/>
        <w:t>juin</w:t>
      </w:r>
      <w:r>
        <w:rPr>
          <w:spacing w:val="-2"/>
        </w:rPr>
        <w:t> </w:t>
      </w:r>
      <w:r>
        <w:rPr/>
        <w:t>2023,</w:t>
      </w:r>
      <w:r>
        <w:rPr>
          <w:spacing w:val="-5"/>
        </w:rPr>
        <w:t> </w:t>
      </w:r>
      <w:r>
        <w:rPr/>
        <w:t>Casino </w:t>
      </w:r>
      <w:r>
        <w:rPr>
          <w:spacing w:val="-4"/>
        </w:rPr>
        <w:t>indique</w:t>
      </w:r>
      <w:r>
        <w:rPr>
          <w:spacing w:val="-7"/>
        </w:rPr>
        <w:t> </w:t>
      </w:r>
      <w:r>
        <w:rPr>
          <w:spacing w:val="-4"/>
        </w:rPr>
        <w:t>que</w:t>
      </w:r>
      <w:r>
        <w:rPr>
          <w:spacing w:val="-9"/>
        </w:rPr>
        <w:t> </w:t>
      </w:r>
      <w:r>
        <w:rPr>
          <w:spacing w:val="-4"/>
        </w:rPr>
        <w:t>les</w:t>
      </w:r>
      <w:r>
        <w:rPr>
          <w:spacing w:val="-7"/>
        </w:rPr>
        <w:t> </w:t>
      </w:r>
      <w:r>
        <w:rPr>
          <w:spacing w:val="-4"/>
        </w:rPr>
        <w:t>offres</w:t>
      </w:r>
      <w:r>
        <w:rPr>
          <w:spacing w:val="-7"/>
        </w:rPr>
        <w:t> </w:t>
      </w:r>
      <w:r>
        <w:rPr>
          <w:spacing w:val="-4"/>
        </w:rPr>
        <w:t>révisées</w:t>
      </w:r>
      <w:r>
        <w:rPr>
          <w:spacing w:val="-7"/>
        </w:rPr>
        <w:t> </w:t>
      </w:r>
      <w:r>
        <w:rPr>
          <w:spacing w:val="-4"/>
        </w:rPr>
        <w:t>seront</w:t>
      </w:r>
      <w:r>
        <w:rPr>
          <w:spacing w:val="-8"/>
        </w:rPr>
        <w:t> </w:t>
      </w:r>
      <w:r>
        <w:rPr>
          <w:spacing w:val="-4"/>
        </w:rPr>
        <w:t>également</w:t>
      </w:r>
      <w:r>
        <w:rPr>
          <w:spacing w:val="-8"/>
        </w:rPr>
        <w:t> </w:t>
      </w:r>
      <w:r>
        <w:rPr>
          <w:spacing w:val="-4"/>
        </w:rPr>
        <w:t>appréciées</w:t>
      </w:r>
      <w:r>
        <w:rPr>
          <w:spacing w:val="-7"/>
        </w:rPr>
        <w:t> </w:t>
      </w:r>
      <w:r>
        <w:rPr>
          <w:spacing w:val="-4"/>
        </w:rPr>
        <w:t>au</w:t>
      </w:r>
      <w:r>
        <w:rPr>
          <w:spacing w:val="-8"/>
        </w:rPr>
        <w:t> </w:t>
      </w:r>
      <w:r>
        <w:rPr>
          <w:spacing w:val="-4"/>
        </w:rPr>
        <w:t>regard</w:t>
      </w:r>
      <w:r>
        <w:rPr>
          <w:spacing w:val="-7"/>
        </w:rPr>
        <w:t> </w:t>
      </w:r>
      <w:r>
        <w:rPr>
          <w:spacing w:val="-4"/>
        </w:rPr>
        <w:t>des</w:t>
      </w:r>
      <w:r>
        <w:rPr>
          <w:spacing w:val="-7"/>
        </w:rPr>
        <w:t> </w:t>
      </w:r>
      <w:r>
        <w:rPr>
          <w:spacing w:val="-4"/>
        </w:rPr>
        <w:t>éléments</w:t>
      </w:r>
      <w:r>
        <w:rPr>
          <w:spacing w:val="-7"/>
        </w:rPr>
        <w:t> </w:t>
      </w:r>
      <w:r>
        <w:rPr>
          <w:spacing w:val="-4"/>
        </w:rPr>
        <w:t>suivants</w:t>
      </w:r>
      <w:r>
        <w:rPr>
          <w:spacing w:val="-15"/>
        </w:rPr>
        <w:t> </w:t>
      </w:r>
      <w:r>
        <w:rPr>
          <w:spacing w:val="-4"/>
        </w:rPr>
        <w:t>:</w:t>
      </w:r>
    </w:p>
    <w:p>
      <w:pPr>
        <w:pStyle w:val="BodyText"/>
        <w:spacing w:line="278" w:lineRule="auto"/>
        <w:ind w:left="113" w:right="110" w:hanging="1"/>
        <w:jc w:val="both"/>
      </w:pPr>
      <w:r>
        <w:rPr/>
        <w:t>(i) inconditionnalité des engagements d’apport de fonds propres et (ii) niveau de liquidités disponibles</w:t>
      </w:r>
      <w:r>
        <w:rPr>
          <w:spacing w:val="-19"/>
        </w:rPr>
        <w:t> </w:t>
      </w:r>
      <w:r>
        <w:rPr/>
        <w:t>pour</w:t>
      </w:r>
      <w:r>
        <w:rPr>
          <w:spacing w:val="-18"/>
        </w:rPr>
        <w:t> </w:t>
      </w:r>
      <w:r>
        <w:rPr/>
        <w:t>le</w:t>
      </w:r>
      <w:r>
        <w:rPr>
          <w:spacing w:val="-19"/>
        </w:rPr>
        <w:t> </w:t>
      </w:r>
      <w:r>
        <w:rPr/>
        <w:t>Groupe</w:t>
      </w:r>
      <w:r>
        <w:rPr>
          <w:spacing w:val="-18"/>
        </w:rPr>
        <w:t> </w:t>
      </w:r>
      <w:r>
        <w:rPr/>
        <w:t>post-réalisation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la</w:t>
      </w:r>
      <w:r>
        <w:rPr>
          <w:spacing w:val="-19"/>
        </w:rPr>
        <w:t> </w:t>
      </w:r>
      <w:r>
        <w:rPr/>
        <w:t>restructuration</w:t>
      </w:r>
      <w:r>
        <w:rPr>
          <w:spacing w:val="-18"/>
        </w:rPr>
        <w:t> </w:t>
      </w:r>
      <w:r>
        <w:rPr/>
        <w:t>ce</w:t>
      </w:r>
      <w:r>
        <w:rPr>
          <w:spacing w:val="-19"/>
        </w:rPr>
        <w:t> </w:t>
      </w:r>
      <w:r>
        <w:rPr/>
        <w:t>qui</w:t>
      </w:r>
      <w:r>
        <w:rPr>
          <w:spacing w:val="-18"/>
        </w:rPr>
        <w:t> </w:t>
      </w:r>
      <w:r>
        <w:rPr/>
        <w:t>traduira</w:t>
      </w:r>
      <w:r>
        <w:rPr>
          <w:spacing w:val="-19"/>
        </w:rPr>
        <w:t> </w:t>
      </w:r>
      <w:r>
        <w:rPr/>
        <w:t>la</w:t>
      </w:r>
      <w:r>
        <w:rPr>
          <w:spacing w:val="-18"/>
        </w:rPr>
        <w:t> </w:t>
      </w:r>
      <w:r>
        <w:rPr/>
        <w:t>robustesse financière</w:t>
      </w:r>
      <w:r>
        <w:rPr>
          <w:spacing w:val="-4"/>
        </w:rPr>
        <w:t> </w:t>
      </w:r>
      <w:r>
        <w:rPr/>
        <w:t>du</w:t>
      </w:r>
      <w:r>
        <w:rPr>
          <w:spacing w:val="-5"/>
        </w:rPr>
        <w:t> </w:t>
      </w:r>
      <w:r>
        <w:rPr/>
        <w:t>plan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restructuration.</w:t>
      </w:r>
    </w:p>
    <w:p>
      <w:pPr>
        <w:pStyle w:val="BodyText"/>
        <w:spacing w:line="278" w:lineRule="auto" w:before="239"/>
        <w:ind w:left="113" w:right="112"/>
        <w:jc w:val="both"/>
      </w:pPr>
      <w:r>
        <w:rPr/>
        <w:t>Les offres révisées reçues feront l’objet d’un examen par le comité ad hoc du conseil d’administration puis d’une présentation aux créanciers du Groupe, sous l’égide des </w:t>
      </w:r>
      <w:r>
        <w:rPr>
          <w:spacing w:val="-4"/>
        </w:rPr>
        <w:t>conciliateurs</w:t>
      </w:r>
      <w:r>
        <w:rPr>
          <w:spacing w:val="-15"/>
        </w:rPr>
        <w:t> </w:t>
      </w:r>
      <w:r>
        <w:rPr>
          <w:spacing w:val="-4"/>
        </w:rPr>
        <w:t>et</w:t>
      </w:r>
      <w:r>
        <w:rPr>
          <w:spacing w:val="-14"/>
        </w:rPr>
        <w:t> </w:t>
      </w:r>
      <w:r>
        <w:rPr>
          <w:spacing w:val="-4"/>
        </w:rPr>
        <w:t>du</w:t>
      </w:r>
      <w:r>
        <w:rPr>
          <w:spacing w:val="-15"/>
        </w:rPr>
        <w:t> </w:t>
      </w:r>
      <w:r>
        <w:rPr>
          <w:spacing w:val="-4"/>
        </w:rPr>
        <w:t>CIRI,</w:t>
      </w:r>
      <w:r>
        <w:rPr>
          <w:spacing w:val="-14"/>
        </w:rPr>
        <w:t> </w:t>
      </w:r>
      <w:r>
        <w:rPr>
          <w:spacing w:val="-4"/>
        </w:rPr>
        <w:t>lundi</w:t>
      </w:r>
      <w:r>
        <w:rPr>
          <w:spacing w:val="-15"/>
        </w:rPr>
        <w:t> </w:t>
      </w:r>
      <w:r>
        <w:rPr>
          <w:spacing w:val="-4"/>
        </w:rPr>
        <w:t>17</w:t>
      </w:r>
      <w:r>
        <w:rPr>
          <w:spacing w:val="-14"/>
        </w:rPr>
        <w:t> </w:t>
      </w:r>
      <w:r>
        <w:rPr>
          <w:spacing w:val="-4"/>
        </w:rPr>
        <w:t>juillet</w:t>
      </w:r>
      <w:r>
        <w:rPr>
          <w:spacing w:val="-15"/>
        </w:rPr>
        <w:t> </w:t>
      </w:r>
      <w:r>
        <w:rPr>
          <w:spacing w:val="-4"/>
        </w:rPr>
        <w:t>2023.</w:t>
      </w:r>
      <w:r>
        <w:rPr>
          <w:spacing w:val="-14"/>
        </w:rPr>
        <w:t> </w:t>
      </w:r>
      <w:r>
        <w:rPr>
          <w:spacing w:val="-4"/>
        </w:rPr>
        <w:t>Le</w:t>
      </w:r>
      <w:r>
        <w:rPr>
          <w:spacing w:val="-15"/>
        </w:rPr>
        <w:t> </w:t>
      </w:r>
      <w:r>
        <w:rPr>
          <w:spacing w:val="-4"/>
        </w:rPr>
        <w:t>conseil</w:t>
      </w:r>
      <w:r>
        <w:rPr>
          <w:spacing w:val="-14"/>
        </w:rPr>
        <w:t> </w:t>
      </w:r>
      <w:r>
        <w:rPr>
          <w:spacing w:val="-4"/>
        </w:rPr>
        <w:t>d’administration</w:t>
      </w:r>
      <w:r>
        <w:rPr>
          <w:spacing w:val="-15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Casino</w:t>
      </w:r>
      <w:r>
        <w:rPr>
          <w:spacing w:val="-14"/>
        </w:rPr>
        <w:t> </w:t>
      </w:r>
      <w:r>
        <w:rPr>
          <w:spacing w:val="-4"/>
        </w:rPr>
        <w:t>se</w:t>
      </w:r>
      <w:r>
        <w:rPr>
          <w:spacing w:val="-14"/>
        </w:rPr>
        <w:t> </w:t>
      </w:r>
      <w:r>
        <w:rPr>
          <w:spacing w:val="-4"/>
        </w:rPr>
        <w:t>réunira</w:t>
      </w:r>
      <w:r>
        <w:rPr>
          <w:spacing w:val="-13"/>
        </w:rPr>
        <w:t> </w:t>
      </w:r>
      <w:r>
        <w:rPr>
          <w:spacing w:val="-4"/>
        </w:rPr>
        <w:t>à </w:t>
      </w:r>
      <w:r>
        <w:rPr/>
        <w:t>l’issue de cette réunion.</w:t>
      </w:r>
    </w:p>
    <w:p>
      <w:pPr>
        <w:pStyle w:val="BodyText"/>
      </w:pPr>
    </w:p>
    <w:p>
      <w:pPr>
        <w:pStyle w:val="BodyText"/>
        <w:spacing w:before="21"/>
      </w:pPr>
    </w:p>
    <w:p>
      <w:pPr>
        <w:spacing w:before="0"/>
        <w:ind w:left="0" w:right="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color w:val="6460A9"/>
          <w:spacing w:val="-5"/>
          <w:sz w:val="22"/>
        </w:rPr>
        <w:t>***</w:t>
      </w:r>
    </w:p>
    <w:p>
      <w:pPr>
        <w:spacing w:line="278" w:lineRule="auto" w:before="240"/>
        <w:ind w:left="112" w:right="110" w:firstLine="0"/>
        <w:jc w:val="both"/>
        <w:rPr>
          <w:i/>
          <w:sz w:val="18"/>
        </w:rPr>
      </w:pPr>
      <w:r>
        <w:rPr>
          <w:i/>
          <w:sz w:val="18"/>
        </w:rPr>
        <w:t>Ce communiqué a été préparé uniquement à titre informatif et ne doit pas être interprété comme une sollicitation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une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offre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d'achat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vente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valeurs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mobilières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instruments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financiers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connexes.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 même,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donne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doit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traité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comme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un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conseil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d'investissement.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n'a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aucun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égard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aux objectifs de placement, la situation financière ou des besoins particuliers de tout récepteur. Aucune </w:t>
      </w:r>
      <w:r>
        <w:rPr>
          <w:i/>
          <w:spacing w:val="-2"/>
          <w:sz w:val="18"/>
        </w:rPr>
        <w:t>représentation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garantie,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expresse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implicite,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n'est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fournie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par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rapport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à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l'exactitude,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l'exhaustivité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la </w:t>
      </w:r>
      <w:r>
        <w:rPr>
          <w:i/>
          <w:sz w:val="18"/>
        </w:rPr>
        <w:t>fiabilité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informations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contenues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dans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document.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devrait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considéré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par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bénéficiaires </w:t>
      </w:r>
      <w:r>
        <w:rPr>
          <w:i/>
          <w:spacing w:val="-4"/>
          <w:sz w:val="18"/>
        </w:rPr>
        <w:t>comme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un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substitut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à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l'exercice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de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leur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propre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jugement.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Toutes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les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opinions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exprimées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dans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ce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document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sont </w:t>
      </w:r>
      <w:r>
        <w:rPr>
          <w:i/>
          <w:sz w:val="18"/>
        </w:rPr>
        <w:t>sujettes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changement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sans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préavis.</w:t>
      </w:r>
    </w:p>
    <w:p>
      <w:pPr>
        <w:pStyle w:val="BodyText"/>
        <w:spacing w:before="68"/>
        <w:rPr>
          <w:i/>
          <w:sz w:val="18"/>
        </w:rPr>
      </w:pPr>
    </w:p>
    <w:p>
      <w:pPr>
        <w:spacing w:before="0"/>
        <w:ind w:left="0" w:right="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color w:val="6460A9"/>
          <w:spacing w:val="-5"/>
          <w:sz w:val="22"/>
        </w:rPr>
        <w:t>***</w:t>
      </w:r>
    </w:p>
    <w:p>
      <w:pPr>
        <w:pStyle w:val="Heading1"/>
        <w:spacing w:before="239"/>
        <w:rPr>
          <w:rFonts w:ascii="Arial"/>
        </w:rPr>
      </w:pPr>
      <w:r>
        <w:rPr>
          <w:rFonts w:ascii="Arial"/>
          <w:color w:val="6460A9"/>
        </w:rPr>
        <w:t>CONTACTS</w:t>
      </w:r>
      <w:r>
        <w:rPr>
          <w:rFonts w:ascii="Arial"/>
          <w:color w:val="6460A9"/>
          <w:spacing w:val="-3"/>
        </w:rPr>
        <w:t> </w:t>
      </w:r>
      <w:r>
        <w:rPr>
          <w:rFonts w:ascii="Arial"/>
          <w:color w:val="6460A9"/>
        </w:rPr>
        <w:t>ANALYSTES</w:t>
      </w:r>
      <w:r>
        <w:rPr>
          <w:rFonts w:ascii="Arial"/>
          <w:color w:val="6460A9"/>
          <w:spacing w:val="-7"/>
        </w:rPr>
        <w:t> </w:t>
      </w:r>
      <w:r>
        <w:rPr>
          <w:rFonts w:ascii="Arial"/>
          <w:color w:val="6460A9"/>
        </w:rPr>
        <w:t>ET</w:t>
      </w:r>
      <w:r>
        <w:rPr>
          <w:rFonts w:ascii="Arial"/>
          <w:color w:val="6460A9"/>
          <w:spacing w:val="-8"/>
        </w:rPr>
        <w:t> </w:t>
      </w:r>
      <w:r>
        <w:rPr>
          <w:rFonts w:ascii="Arial"/>
          <w:color w:val="6460A9"/>
          <w:spacing w:val="-2"/>
        </w:rPr>
        <w:t>INVESTISSEURS</w:t>
      </w:r>
    </w:p>
    <w:p>
      <w:pPr>
        <w:spacing w:line="242" w:lineRule="auto" w:before="44"/>
        <w:ind w:left="2486" w:right="2489" w:firstLine="0"/>
        <w:jc w:val="center"/>
        <w:rPr>
          <w:sz w:val="22"/>
        </w:rPr>
      </w:pPr>
      <w:r>
        <w:rPr>
          <w:rFonts w:ascii="Tahoma" w:hAnsi="Tahoma"/>
          <w:b/>
          <w:w w:val="85"/>
          <w:sz w:val="22"/>
        </w:rPr>
        <w:t>Christopher WELTON</w:t>
      </w:r>
      <w:r>
        <w:rPr>
          <w:rFonts w:ascii="Tahoma" w:hAnsi="Tahoma"/>
          <w:b/>
          <w:sz w:val="22"/>
        </w:rPr>
        <w:t> </w:t>
      </w:r>
      <w:r>
        <w:rPr>
          <w:w w:val="85"/>
          <w:sz w:val="22"/>
        </w:rPr>
        <w:t>– Tél : +33 (0)1 53 65 64 17 </w:t>
      </w:r>
      <w:hyperlink r:id="rId6">
        <w:r>
          <w:rPr>
            <w:spacing w:val="-2"/>
            <w:sz w:val="22"/>
            <w:u w:val="single"/>
          </w:rPr>
          <w:t>cwelton.exterieur@groupe-casino.fr</w:t>
        </w:r>
      </w:hyperlink>
    </w:p>
    <w:p>
      <w:pPr>
        <w:pStyle w:val="Heading1"/>
        <w:spacing w:before="2"/>
      </w:pPr>
      <w:r>
        <w:rPr>
          <w:spacing w:val="-5"/>
        </w:rPr>
        <w:t>ou</w:t>
      </w:r>
    </w:p>
    <w:p>
      <w:pPr>
        <w:spacing w:before="42"/>
        <w:ind w:left="2486" w:right="2489" w:firstLine="0"/>
        <w:jc w:val="center"/>
        <w:rPr>
          <w:sz w:val="22"/>
        </w:rPr>
      </w:pPr>
      <w:r>
        <w:rPr>
          <w:spacing w:val="-2"/>
          <w:w w:val="85"/>
          <w:sz w:val="22"/>
        </w:rPr>
        <w:t>+33</w:t>
      </w:r>
      <w:r>
        <w:rPr>
          <w:spacing w:val="-4"/>
          <w:w w:val="85"/>
          <w:sz w:val="22"/>
        </w:rPr>
        <w:t> </w:t>
      </w:r>
      <w:r>
        <w:rPr>
          <w:spacing w:val="-2"/>
          <w:w w:val="85"/>
          <w:sz w:val="22"/>
        </w:rPr>
        <w:t>(0)1</w:t>
      </w:r>
      <w:r>
        <w:rPr>
          <w:spacing w:val="-3"/>
          <w:w w:val="85"/>
          <w:sz w:val="22"/>
        </w:rPr>
        <w:t> </w:t>
      </w:r>
      <w:r>
        <w:rPr>
          <w:spacing w:val="-2"/>
          <w:w w:val="85"/>
          <w:sz w:val="22"/>
        </w:rPr>
        <w:t>53</w:t>
      </w:r>
      <w:r>
        <w:rPr>
          <w:spacing w:val="-3"/>
          <w:w w:val="85"/>
          <w:sz w:val="22"/>
        </w:rPr>
        <w:t> </w:t>
      </w:r>
      <w:r>
        <w:rPr>
          <w:spacing w:val="-2"/>
          <w:w w:val="85"/>
          <w:sz w:val="22"/>
        </w:rPr>
        <w:t>65</w:t>
      </w:r>
      <w:r>
        <w:rPr>
          <w:spacing w:val="-3"/>
          <w:w w:val="85"/>
          <w:sz w:val="22"/>
        </w:rPr>
        <w:t> </w:t>
      </w:r>
      <w:r>
        <w:rPr>
          <w:spacing w:val="-2"/>
          <w:w w:val="85"/>
          <w:sz w:val="22"/>
        </w:rPr>
        <w:t>24</w:t>
      </w:r>
      <w:r>
        <w:rPr>
          <w:spacing w:val="-3"/>
          <w:w w:val="85"/>
          <w:sz w:val="22"/>
        </w:rPr>
        <w:t> </w:t>
      </w:r>
      <w:r>
        <w:rPr>
          <w:spacing w:val="-5"/>
          <w:w w:val="85"/>
          <w:sz w:val="22"/>
        </w:rPr>
        <w:t>17</w:t>
      </w:r>
    </w:p>
    <w:p>
      <w:pPr>
        <w:spacing w:before="43"/>
        <w:ind w:left="0" w:right="0" w:firstLine="0"/>
        <w:jc w:val="center"/>
        <w:rPr>
          <w:sz w:val="22"/>
        </w:rPr>
      </w:pPr>
      <w:hyperlink r:id="rId7">
        <w:r>
          <w:rPr>
            <w:w w:val="90"/>
            <w:sz w:val="22"/>
            <w:u w:val="single"/>
          </w:rPr>
          <w:t>IR_Casino@groupe-</w:t>
        </w:r>
        <w:r>
          <w:rPr>
            <w:spacing w:val="-2"/>
            <w:w w:val="95"/>
            <w:sz w:val="22"/>
            <w:u w:val="single"/>
          </w:rPr>
          <w:t>casino.fr</w:t>
        </w:r>
      </w:hyperlink>
    </w:p>
    <w:p>
      <w:pPr>
        <w:pStyle w:val="BodyText"/>
        <w:spacing w:before="22"/>
        <w:rPr>
          <w:sz w:val="22"/>
        </w:rPr>
      </w:pPr>
    </w:p>
    <w:p>
      <w:pPr>
        <w:pStyle w:val="Heading1"/>
        <w:ind w:left="8" w:right="0"/>
        <w:rPr>
          <w:rFonts w:ascii="Arial"/>
        </w:rPr>
      </w:pPr>
      <w:r>
        <w:rPr>
          <w:rFonts w:ascii="Arial"/>
          <w:color w:val="6460A9"/>
          <w:spacing w:val="-10"/>
        </w:rPr>
        <w:t>CONTACTS</w:t>
      </w:r>
      <w:r>
        <w:rPr>
          <w:rFonts w:ascii="Arial"/>
          <w:color w:val="6460A9"/>
          <w:spacing w:val="-19"/>
        </w:rPr>
        <w:t> </w:t>
      </w:r>
      <w:r>
        <w:rPr>
          <w:rFonts w:ascii="Arial"/>
          <w:color w:val="6460A9"/>
          <w:spacing w:val="-2"/>
        </w:rPr>
        <w:t>PRESSE</w:t>
      </w:r>
    </w:p>
    <w:p>
      <w:pPr>
        <w:spacing w:before="7"/>
        <w:ind w:left="3" w:right="3" w:firstLine="0"/>
        <w:jc w:val="center"/>
        <w:rPr>
          <w:rFonts w:ascii="Tahoma" w:hAnsi="Tahoma"/>
          <w:b/>
          <w:sz w:val="22"/>
        </w:rPr>
      </w:pPr>
      <w:r>
        <w:rPr>
          <w:rFonts w:ascii="Tahoma" w:hAnsi="Tahoma"/>
          <w:b/>
          <w:spacing w:val="-2"/>
          <w:sz w:val="22"/>
        </w:rPr>
        <w:t>Groupe</w:t>
      </w:r>
      <w:r>
        <w:rPr>
          <w:rFonts w:ascii="Tahoma" w:hAnsi="Tahoma"/>
          <w:b/>
          <w:spacing w:val="-11"/>
          <w:sz w:val="22"/>
        </w:rPr>
        <w:t> </w:t>
      </w:r>
      <w:r>
        <w:rPr>
          <w:rFonts w:ascii="Tahoma" w:hAnsi="Tahoma"/>
          <w:b/>
          <w:spacing w:val="-2"/>
          <w:sz w:val="22"/>
        </w:rPr>
        <w:t>Casino</w:t>
      </w:r>
      <w:r>
        <w:rPr>
          <w:rFonts w:ascii="Tahoma" w:hAnsi="Tahoma"/>
          <w:b/>
          <w:spacing w:val="-10"/>
          <w:sz w:val="22"/>
        </w:rPr>
        <w:t> </w:t>
      </w:r>
      <w:r>
        <w:rPr>
          <w:rFonts w:ascii="Tahoma" w:hAnsi="Tahoma"/>
          <w:b/>
          <w:spacing w:val="-2"/>
          <w:sz w:val="22"/>
        </w:rPr>
        <w:t>–</w:t>
      </w:r>
      <w:r>
        <w:rPr>
          <w:rFonts w:ascii="Tahoma" w:hAnsi="Tahoma"/>
          <w:b/>
          <w:spacing w:val="-8"/>
          <w:sz w:val="22"/>
        </w:rPr>
        <w:t> </w:t>
      </w:r>
      <w:r>
        <w:rPr>
          <w:rFonts w:ascii="Tahoma" w:hAnsi="Tahoma"/>
          <w:b/>
          <w:spacing w:val="-2"/>
          <w:sz w:val="22"/>
        </w:rPr>
        <w:t>Direction</w:t>
      </w:r>
      <w:r>
        <w:rPr>
          <w:rFonts w:ascii="Tahoma" w:hAnsi="Tahoma"/>
          <w:b/>
          <w:spacing w:val="-10"/>
          <w:sz w:val="22"/>
        </w:rPr>
        <w:t> </w:t>
      </w:r>
      <w:r>
        <w:rPr>
          <w:rFonts w:ascii="Tahoma" w:hAnsi="Tahoma"/>
          <w:b/>
          <w:spacing w:val="-2"/>
          <w:sz w:val="22"/>
        </w:rPr>
        <w:t>de</w:t>
      </w:r>
      <w:r>
        <w:rPr>
          <w:rFonts w:ascii="Tahoma" w:hAnsi="Tahoma"/>
          <w:b/>
          <w:spacing w:val="-8"/>
          <w:sz w:val="22"/>
        </w:rPr>
        <w:t> </w:t>
      </w:r>
      <w:r>
        <w:rPr>
          <w:rFonts w:ascii="Tahoma" w:hAnsi="Tahoma"/>
          <w:b/>
          <w:spacing w:val="-2"/>
          <w:sz w:val="22"/>
        </w:rPr>
        <w:t>la</w:t>
      </w:r>
      <w:r>
        <w:rPr>
          <w:rFonts w:ascii="Tahoma" w:hAnsi="Tahoma"/>
          <w:b/>
          <w:spacing w:val="-9"/>
          <w:sz w:val="22"/>
        </w:rPr>
        <w:t> </w:t>
      </w:r>
      <w:r>
        <w:rPr>
          <w:rFonts w:ascii="Tahoma" w:hAnsi="Tahoma"/>
          <w:b/>
          <w:spacing w:val="-2"/>
          <w:sz w:val="22"/>
        </w:rPr>
        <w:t>Communication</w:t>
      </w:r>
    </w:p>
    <w:p>
      <w:pPr>
        <w:spacing w:before="4"/>
        <w:ind w:left="0" w:right="3" w:firstLine="0"/>
        <w:jc w:val="center"/>
        <w:rPr>
          <w:sz w:val="22"/>
        </w:rPr>
      </w:pPr>
      <w:r>
        <w:rPr>
          <w:w w:val="90"/>
          <w:sz w:val="22"/>
        </w:rPr>
        <w:t>Stéphanie</w:t>
      </w:r>
      <w:r>
        <w:rPr>
          <w:spacing w:val="10"/>
          <w:sz w:val="22"/>
        </w:rPr>
        <w:t> </w:t>
      </w:r>
      <w:r>
        <w:rPr>
          <w:w w:val="90"/>
          <w:sz w:val="22"/>
        </w:rPr>
        <w:t>Abadie</w:t>
      </w:r>
      <w:r>
        <w:rPr>
          <w:spacing w:val="10"/>
          <w:sz w:val="22"/>
        </w:rPr>
        <w:t> </w:t>
      </w:r>
      <w:r>
        <w:rPr>
          <w:w w:val="90"/>
          <w:sz w:val="22"/>
        </w:rPr>
        <w:t>-</w:t>
      </w:r>
      <w:r>
        <w:rPr>
          <w:spacing w:val="10"/>
          <w:sz w:val="22"/>
        </w:rPr>
        <w:t> </w:t>
      </w:r>
      <w:hyperlink r:id="rId8">
        <w:r>
          <w:rPr>
            <w:w w:val="90"/>
            <w:sz w:val="22"/>
          </w:rPr>
          <w:t>sabadie@groupe-casino.fr</w:t>
        </w:r>
      </w:hyperlink>
      <w:r>
        <w:rPr>
          <w:spacing w:val="10"/>
          <w:sz w:val="22"/>
        </w:rPr>
        <w:t> </w:t>
      </w:r>
      <w:r>
        <w:rPr>
          <w:w w:val="90"/>
          <w:sz w:val="22"/>
        </w:rPr>
        <w:t>-</w:t>
      </w:r>
      <w:r>
        <w:rPr>
          <w:spacing w:val="7"/>
          <w:sz w:val="22"/>
        </w:rPr>
        <w:t> </w:t>
      </w:r>
      <w:r>
        <w:rPr>
          <w:w w:val="90"/>
          <w:sz w:val="22"/>
        </w:rPr>
        <w:t>+33</w:t>
      </w:r>
      <w:r>
        <w:rPr>
          <w:spacing w:val="8"/>
          <w:sz w:val="22"/>
        </w:rPr>
        <w:t> </w:t>
      </w:r>
      <w:r>
        <w:rPr>
          <w:w w:val="90"/>
          <w:sz w:val="22"/>
        </w:rPr>
        <w:t>(0)6</w:t>
      </w:r>
      <w:r>
        <w:rPr>
          <w:spacing w:val="9"/>
          <w:sz w:val="22"/>
        </w:rPr>
        <w:t> </w:t>
      </w:r>
      <w:r>
        <w:rPr>
          <w:w w:val="90"/>
          <w:sz w:val="22"/>
        </w:rPr>
        <w:t>26</w:t>
      </w:r>
      <w:r>
        <w:rPr>
          <w:spacing w:val="8"/>
          <w:sz w:val="22"/>
        </w:rPr>
        <w:t> </w:t>
      </w:r>
      <w:r>
        <w:rPr>
          <w:w w:val="90"/>
          <w:sz w:val="22"/>
        </w:rPr>
        <w:t>27</w:t>
      </w:r>
      <w:r>
        <w:rPr>
          <w:spacing w:val="9"/>
          <w:sz w:val="22"/>
        </w:rPr>
        <w:t> </w:t>
      </w:r>
      <w:r>
        <w:rPr>
          <w:w w:val="90"/>
          <w:sz w:val="22"/>
        </w:rPr>
        <w:t>37</w:t>
      </w:r>
      <w:r>
        <w:rPr>
          <w:spacing w:val="9"/>
          <w:sz w:val="22"/>
        </w:rPr>
        <w:t> </w:t>
      </w:r>
      <w:r>
        <w:rPr>
          <w:spacing w:val="-5"/>
          <w:w w:val="90"/>
          <w:sz w:val="22"/>
        </w:rPr>
        <w:t>05</w:t>
      </w:r>
    </w:p>
    <w:p>
      <w:pPr>
        <w:pStyle w:val="Heading1"/>
        <w:spacing w:before="3"/>
      </w:pPr>
      <w:r>
        <w:rPr>
          <w:spacing w:val="-5"/>
        </w:rPr>
        <w:t>ou</w:t>
      </w:r>
    </w:p>
    <w:p>
      <w:pPr>
        <w:spacing w:before="4"/>
        <w:ind w:left="0" w:right="3" w:firstLine="0"/>
        <w:jc w:val="center"/>
        <w:rPr>
          <w:sz w:val="22"/>
        </w:rPr>
      </w:pPr>
      <w:r>
        <w:rPr>
          <w:w w:val="90"/>
          <w:sz w:val="22"/>
        </w:rPr>
        <w:t>+33(0)1</w:t>
      </w:r>
      <w:r>
        <w:rPr>
          <w:spacing w:val="23"/>
          <w:sz w:val="22"/>
        </w:rPr>
        <w:t> </w:t>
      </w:r>
      <w:r>
        <w:rPr>
          <w:w w:val="90"/>
          <w:sz w:val="22"/>
        </w:rPr>
        <w:t>53</w:t>
      </w:r>
      <w:r>
        <w:rPr>
          <w:spacing w:val="23"/>
          <w:sz w:val="22"/>
        </w:rPr>
        <w:t> </w:t>
      </w:r>
      <w:r>
        <w:rPr>
          <w:w w:val="90"/>
          <w:sz w:val="22"/>
        </w:rPr>
        <w:t>65</w:t>
      </w:r>
      <w:r>
        <w:rPr>
          <w:spacing w:val="23"/>
          <w:sz w:val="22"/>
        </w:rPr>
        <w:t> </w:t>
      </w:r>
      <w:r>
        <w:rPr>
          <w:w w:val="90"/>
          <w:sz w:val="22"/>
        </w:rPr>
        <w:t>24</w:t>
      </w:r>
      <w:r>
        <w:rPr>
          <w:spacing w:val="23"/>
          <w:sz w:val="22"/>
        </w:rPr>
        <w:t> </w:t>
      </w:r>
      <w:r>
        <w:rPr>
          <w:w w:val="90"/>
          <w:sz w:val="22"/>
        </w:rPr>
        <w:t>78</w:t>
      </w:r>
      <w:r>
        <w:rPr>
          <w:spacing w:val="24"/>
          <w:sz w:val="22"/>
        </w:rPr>
        <w:t> </w:t>
      </w:r>
      <w:r>
        <w:rPr>
          <w:w w:val="90"/>
          <w:sz w:val="22"/>
        </w:rPr>
        <w:t>-</w:t>
      </w:r>
      <w:r>
        <w:rPr>
          <w:spacing w:val="26"/>
          <w:sz w:val="22"/>
        </w:rPr>
        <w:t> </w:t>
      </w:r>
      <w:hyperlink r:id="rId9">
        <w:r>
          <w:rPr>
            <w:w w:val="90"/>
            <w:sz w:val="22"/>
            <w:u w:val="single"/>
          </w:rPr>
          <w:t>directiondelacommunication@groupe-</w:t>
        </w:r>
        <w:r>
          <w:rPr>
            <w:spacing w:val="-2"/>
            <w:w w:val="90"/>
            <w:sz w:val="22"/>
            <w:u w:val="single"/>
          </w:rPr>
          <w:t>casino.fr</w:t>
        </w:r>
      </w:hyperlink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1"/>
      </w:pPr>
      <w:r>
        <w:rPr/>
        <w:t>Agence</w:t>
      </w:r>
      <w:r>
        <w:rPr>
          <w:spacing w:val="4"/>
        </w:rPr>
        <w:t> </w:t>
      </w:r>
      <w:r>
        <w:rPr/>
        <w:t>IMAGE</w:t>
      </w:r>
      <w:r>
        <w:rPr>
          <w:spacing w:val="2"/>
        </w:rPr>
        <w:t> </w:t>
      </w:r>
      <w:r>
        <w:rPr>
          <w:spacing w:val="-10"/>
        </w:rPr>
        <w:t>7</w:t>
      </w:r>
    </w:p>
    <w:p>
      <w:pPr>
        <w:spacing w:before="4"/>
        <w:ind w:left="2" w:right="3" w:firstLine="0"/>
        <w:jc w:val="center"/>
        <w:rPr>
          <w:sz w:val="22"/>
        </w:rPr>
      </w:pPr>
      <w:r>
        <w:rPr>
          <w:w w:val="85"/>
          <w:sz w:val="22"/>
        </w:rPr>
        <w:t>Karine</w:t>
      </w:r>
      <w:r>
        <w:rPr>
          <w:spacing w:val="-12"/>
          <w:sz w:val="22"/>
        </w:rPr>
        <w:t> </w:t>
      </w:r>
      <w:r>
        <w:rPr>
          <w:w w:val="85"/>
          <w:sz w:val="22"/>
        </w:rPr>
        <w:t>Allouis</w:t>
      </w:r>
      <w:r>
        <w:rPr>
          <w:spacing w:val="-11"/>
          <w:sz w:val="22"/>
        </w:rPr>
        <w:t> </w:t>
      </w:r>
      <w:r>
        <w:rPr>
          <w:w w:val="85"/>
          <w:sz w:val="22"/>
        </w:rPr>
        <w:t>–</w:t>
      </w:r>
      <w:r>
        <w:rPr>
          <w:spacing w:val="-1"/>
          <w:w w:val="85"/>
          <w:sz w:val="22"/>
        </w:rPr>
        <w:t> </w:t>
      </w:r>
      <w:r>
        <w:rPr>
          <w:w w:val="85"/>
          <w:sz w:val="22"/>
        </w:rPr>
        <w:t>Tel</w:t>
      </w:r>
      <w:r>
        <w:rPr>
          <w:spacing w:val="-10"/>
          <w:sz w:val="22"/>
        </w:rPr>
        <w:t> </w:t>
      </w:r>
      <w:r>
        <w:rPr>
          <w:w w:val="85"/>
          <w:sz w:val="22"/>
        </w:rPr>
        <w:t>:</w:t>
      </w:r>
      <w:r>
        <w:rPr>
          <w:spacing w:val="-2"/>
          <w:w w:val="85"/>
          <w:sz w:val="22"/>
        </w:rPr>
        <w:t> </w:t>
      </w:r>
      <w:r>
        <w:rPr>
          <w:w w:val="85"/>
          <w:sz w:val="22"/>
        </w:rPr>
        <w:t>+33(0)1</w:t>
      </w:r>
      <w:r>
        <w:rPr>
          <w:spacing w:val="-12"/>
          <w:sz w:val="22"/>
        </w:rPr>
        <w:t> </w:t>
      </w:r>
      <w:r>
        <w:rPr>
          <w:w w:val="85"/>
          <w:sz w:val="22"/>
        </w:rPr>
        <w:t>53</w:t>
      </w:r>
      <w:r>
        <w:rPr>
          <w:spacing w:val="-1"/>
          <w:w w:val="85"/>
          <w:sz w:val="22"/>
        </w:rPr>
        <w:t> </w:t>
      </w:r>
      <w:r>
        <w:rPr>
          <w:w w:val="85"/>
          <w:sz w:val="22"/>
        </w:rPr>
        <w:t>70</w:t>
      </w:r>
      <w:r>
        <w:rPr>
          <w:spacing w:val="-12"/>
          <w:sz w:val="22"/>
        </w:rPr>
        <w:t> </w:t>
      </w:r>
      <w:r>
        <w:rPr>
          <w:w w:val="85"/>
          <w:sz w:val="22"/>
        </w:rPr>
        <w:t>74</w:t>
      </w:r>
      <w:r>
        <w:rPr>
          <w:spacing w:val="-1"/>
          <w:w w:val="85"/>
          <w:sz w:val="22"/>
        </w:rPr>
        <w:t> </w:t>
      </w:r>
      <w:r>
        <w:rPr>
          <w:w w:val="85"/>
          <w:sz w:val="22"/>
        </w:rPr>
        <w:t>84</w:t>
      </w:r>
      <w:r>
        <w:rPr>
          <w:spacing w:val="-12"/>
          <w:sz w:val="22"/>
        </w:rPr>
        <w:t> </w:t>
      </w:r>
      <w:r>
        <w:rPr>
          <w:w w:val="85"/>
          <w:sz w:val="22"/>
        </w:rPr>
        <w:t>-</w:t>
      </w:r>
      <w:r>
        <w:rPr>
          <w:spacing w:val="-11"/>
          <w:sz w:val="22"/>
        </w:rPr>
        <w:t> </w:t>
      </w:r>
      <w:hyperlink r:id="rId10">
        <w:r>
          <w:rPr>
            <w:spacing w:val="-2"/>
            <w:w w:val="85"/>
            <w:sz w:val="22"/>
            <w:u w:val="single"/>
          </w:rPr>
          <w:t>kallouis@image7.fr</w:t>
        </w:r>
      </w:hyperlink>
    </w:p>
    <w:p>
      <w:pPr>
        <w:spacing w:before="2"/>
        <w:ind w:left="3" w:right="3" w:firstLine="0"/>
        <w:jc w:val="center"/>
        <w:rPr>
          <w:sz w:val="22"/>
        </w:rPr>
      </w:pPr>
      <w:r>
        <w:rPr>
          <w:w w:val="85"/>
          <w:sz w:val="22"/>
        </w:rPr>
        <w:t>Laurent</w:t>
      </w:r>
      <w:r>
        <w:rPr>
          <w:spacing w:val="-6"/>
          <w:sz w:val="22"/>
        </w:rPr>
        <w:t> </w:t>
      </w:r>
      <w:r>
        <w:rPr>
          <w:w w:val="85"/>
          <w:sz w:val="22"/>
        </w:rPr>
        <w:t>Poinsot</w:t>
      </w:r>
      <w:r>
        <w:rPr>
          <w:spacing w:val="-6"/>
          <w:sz w:val="22"/>
        </w:rPr>
        <w:t> </w:t>
      </w:r>
      <w:r>
        <w:rPr>
          <w:w w:val="85"/>
          <w:sz w:val="22"/>
        </w:rPr>
        <w:t>–</w:t>
      </w:r>
      <w:r>
        <w:rPr>
          <w:spacing w:val="-6"/>
          <w:sz w:val="22"/>
        </w:rPr>
        <w:t> </w:t>
      </w:r>
      <w:r>
        <w:rPr>
          <w:w w:val="85"/>
          <w:sz w:val="22"/>
        </w:rPr>
        <w:t>Tel</w:t>
      </w:r>
      <w:r>
        <w:rPr>
          <w:spacing w:val="-4"/>
          <w:sz w:val="22"/>
        </w:rPr>
        <w:t> </w:t>
      </w:r>
      <w:r>
        <w:rPr>
          <w:w w:val="85"/>
          <w:sz w:val="22"/>
        </w:rPr>
        <w:t>:</w:t>
      </w:r>
      <w:r>
        <w:rPr>
          <w:spacing w:val="-7"/>
          <w:sz w:val="22"/>
        </w:rPr>
        <w:t> </w:t>
      </w:r>
      <w:r>
        <w:rPr>
          <w:w w:val="85"/>
          <w:sz w:val="22"/>
        </w:rPr>
        <w:t>+</w:t>
      </w:r>
      <w:r>
        <w:rPr>
          <w:spacing w:val="-5"/>
          <w:sz w:val="22"/>
        </w:rPr>
        <w:t> </w:t>
      </w:r>
      <w:r>
        <w:rPr>
          <w:w w:val="85"/>
          <w:sz w:val="22"/>
        </w:rPr>
        <w:t>33(0)6</w:t>
      </w:r>
      <w:r>
        <w:rPr>
          <w:spacing w:val="-2"/>
          <w:sz w:val="22"/>
        </w:rPr>
        <w:t> </w:t>
      </w:r>
      <w:r>
        <w:rPr>
          <w:w w:val="85"/>
          <w:sz w:val="22"/>
        </w:rPr>
        <w:t>80</w:t>
      </w:r>
      <w:r>
        <w:rPr>
          <w:spacing w:val="-6"/>
          <w:sz w:val="22"/>
        </w:rPr>
        <w:t> </w:t>
      </w:r>
      <w:r>
        <w:rPr>
          <w:w w:val="85"/>
          <w:sz w:val="22"/>
        </w:rPr>
        <w:t>11</w:t>
      </w:r>
      <w:r>
        <w:rPr>
          <w:spacing w:val="-6"/>
          <w:sz w:val="22"/>
        </w:rPr>
        <w:t> </w:t>
      </w:r>
      <w:r>
        <w:rPr>
          <w:w w:val="85"/>
          <w:sz w:val="22"/>
        </w:rPr>
        <w:t>73</w:t>
      </w:r>
      <w:r>
        <w:rPr>
          <w:spacing w:val="-6"/>
          <w:sz w:val="22"/>
        </w:rPr>
        <w:t> </w:t>
      </w:r>
      <w:r>
        <w:rPr>
          <w:w w:val="85"/>
          <w:sz w:val="22"/>
        </w:rPr>
        <w:t>52</w:t>
      </w:r>
      <w:r>
        <w:rPr>
          <w:spacing w:val="-6"/>
          <w:sz w:val="22"/>
        </w:rPr>
        <w:t> </w:t>
      </w:r>
      <w:r>
        <w:rPr>
          <w:w w:val="85"/>
          <w:sz w:val="22"/>
        </w:rPr>
        <w:t>-</w:t>
      </w:r>
      <w:r>
        <w:rPr>
          <w:spacing w:val="-4"/>
          <w:w w:val="85"/>
          <w:sz w:val="22"/>
        </w:rPr>
        <w:t> </w:t>
      </w:r>
      <w:hyperlink r:id="rId11">
        <w:r>
          <w:rPr>
            <w:spacing w:val="-2"/>
            <w:w w:val="85"/>
            <w:sz w:val="22"/>
            <w:u w:val="single"/>
          </w:rPr>
          <w:t>lpoinsot@image7.fr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</w:p>
    <w:p>
      <w:pPr>
        <w:spacing w:before="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0"/>
          <w:sz w:val="20"/>
        </w:rPr>
        <w:t>Mercredi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12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juillet</w:t>
      </w:r>
      <w:r>
        <w:rPr>
          <w:spacing w:val="-7"/>
          <w:sz w:val="20"/>
        </w:rPr>
        <w:t> </w:t>
      </w:r>
      <w:r>
        <w:rPr>
          <w:w w:val="90"/>
          <w:sz w:val="20"/>
        </w:rPr>
        <w:t>2023</w:t>
      </w:r>
      <w:r>
        <w:rPr>
          <w:spacing w:val="-2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▪</w:t>
      </w:r>
      <w:r>
        <w:rPr>
          <w:b/>
          <w:color w:val="3CA05A"/>
          <w:spacing w:val="-5"/>
          <w:sz w:val="20"/>
        </w:rPr>
        <w:t> </w:t>
      </w:r>
      <w:r>
        <w:rPr>
          <w:rFonts w:ascii="Tahoma" w:hAnsi="Tahoma"/>
          <w:b/>
          <w:color w:val="3CA05A"/>
          <w:spacing w:val="-10"/>
          <w:w w:val="90"/>
          <w:sz w:val="20"/>
        </w:rPr>
        <w:t>2</w:t>
      </w:r>
    </w:p>
    <w:sectPr>
      <w:pgSz w:w="11910" w:h="16840"/>
      <w:pgMar w:top="128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1"/>
      <w:szCs w:val="21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right="1"/>
      <w:jc w:val="center"/>
      <w:outlineLvl w:val="1"/>
    </w:pPr>
    <w:rPr>
      <w:rFonts w:ascii="Tahoma" w:hAnsi="Tahoma" w:eastAsia="Tahoma" w:cs="Tahoma"/>
      <w:b/>
      <w:bCs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41"/>
      <w:ind w:left="4152" w:hanging="3752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 w:line="230" w:lineRule="exact"/>
      <w:jc w:val="center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sabadi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Groupe Casino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gressel</dc:creator>
  <dcterms:created xsi:type="dcterms:W3CDTF">2023-12-04T14:34:37Z</dcterms:created>
  <dcterms:modified xsi:type="dcterms:W3CDTF">2023-12-04T14:34:37Z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2023-12-04T00:00:00Z</vt:filetime>
  </property>
  <property fmtid="{D5CDD505-2E9C-101B-9397-08002B2CF9AE}" pid="5" name="Producer">
    <vt:lpwstr>Adobe PDF Library 23.3.247</vt:lpwstr>
  </property>
  <property fmtid="{D5CDD505-2E9C-101B-9397-08002B2CF9AE}" pid="6" name="SWDocID">
    <vt:lpwstr>WEIL:\99249074\1\50930.0048</vt:lpwstr>
  </property>
  <property fmtid="{D5CDD505-2E9C-101B-9397-08002B2CF9AE}" pid="7" name="SourceModified">
    <vt:lpwstr>D:20230712182455</vt:lpwstr>
  </property>
</Properties>
</file>