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81"/>
        <w:ind w:firstLine="1"/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A9"/>
        </w:rPr>
        <w:t>Procédure de conciliation : conclusion d’un accord de principe du</w:t>
      </w:r>
      <w:r>
        <w:rPr>
          <w:color w:val="6460A9"/>
          <w:spacing w:val="1"/>
        </w:rPr>
        <w:t> </w:t>
      </w:r>
      <w:r>
        <w:rPr>
          <w:color w:val="6460A9"/>
        </w:rPr>
        <w:t>groupe Casino avec EPGC a.s., Fimalac, Attestor et certains de ses</w:t>
      </w:r>
      <w:r>
        <w:rPr>
          <w:color w:val="6460A9"/>
          <w:spacing w:val="-75"/>
        </w:rPr>
        <w:t> </w:t>
      </w:r>
      <w:r>
        <w:rPr>
          <w:color w:val="6460A9"/>
        </w:rPr>
        <w:t>principaux</w:t>
      </w:r>
      <w:r>
        <w:rPr>
          <w:color w:val="6460A9"/>
          <w:spacing w:val="-3"/>
        </w:rPr>
        <w:t> </w:t>
      </w:r>
      <w:r>
        <w:rPr>
          <w:color w:val="6460A9"/>
        </w:rPr>
        <w:t>créanciers</w:t>
      </w:r>
    </w:p>
    <w:p>
      <w:pPr>
        <w:pStyle w:val="BodyText"/>
        <w:spacing w:before="10"/>
        <w:rPr>
          <w:rFonts w:ascii="Arial"/>
          <w:b/>
          <w:i w:val="0"/>
          <w:sz w:val="41"/>
        </w:rPr>
      </w:pPr>
    </w:p>
    <w:p>
      <w:pPr>
        <w:pStyle w:val="Title"/>
        <w:ind w:left="1619" w:right="1619"/>
      </w:pPr>
      <w:r>
        <w:rPr>
          <w:color w:val="6460A9"/>
        </w:rPr>
        <w:t>Mise</w:t>
      </w:r>
      <w:r>
        <w:rPr>
          <w:color w:val="6460A9"/>
          <w:spacing w:val="-2"/>
        </w:rPr>
        <w:t> </w:t>
      </w:r>
      <w:r>
        <w:rPr>
          <w:color w:val="6460A9"/>
        </w:rPr>
        <w:t>à</w:t>
      </w:r>
      <w:r>
        <w:rPr>
          <w:color w:val="6460A9"/>
          <w:spacing w:val="-5"/>
        </w:rPr>
        <w:t> </w:t>
      </w:r>
      <w:r>
        <w:rPr>
          <w:color w:val="6460A9"/>
        </w:rPr>
        <w:t>jour</w:t>
      </w:r>
      <w:r>
        <w:rPr>
          <w:color w:val="6460A9"/>
          <w:spacing w:val="-1"/>
        </w:rPr>
        <w:t> </w:t>
      </w:r>
      <w:r>
        <w:rPr>
          <w:color w:val="6460A9"/>
        </w:rPr>
        <w:t>des</w:t>
      </w:r>
      <w:r>
        <w:rPr>
          <w:color w:val="6460A9"/>
          <w:spacing w:val="-4"/>
        </w:rPr>
        <w:t> </w:t>
      </w:r>
      <w:r>
        <w:rPr>
          <w:color w:val="6460A9"/>
        </w:rPr>
        <w:t>éléments</w:t>
      </w:r>
      <w:r>
        <w:rPr>
          <w:color w:val="6460A9"/>
          <w:spacing w:val="-2"/>
        </w:rPr>
        <w:t> </w:t>
      </w:r>
      <w:r>
        <w:rPr>
          <w:color w:val="6460A9"/>
        </w:rPr>
        <w:t>prospectifs</w:t>
      </w:r>
      <w:r>
        <w:rPr>
          <w:color w:val="6460A9"/>
          <w:spacing w:val="-2"/>
        </w:rPr>
        <w:t> </w:t>
      </w:r>
      <w:r>
        <w:rPr>
          <w:color w:val="6460A9"/>
        </w:rPr>
        <w:t>2023</w:t>
      </w:r>
    </w:p>
    <w:p>
      <w:pPr>
        <w:pStyle w:val="BodyText"/>
        <w:spacing w:before="2"/>
        <w:rPr>
          <w:rFonts w:ascii="Arial"/>
          <w:b/>
          <w:i w:val="0"/>
          <w:sz w:val="42"/>
        </w:rPr>
      </w:pPr>
    </w:p>
    <w:p>
      <w:pPr>
        <w:pStyle w:val="Heading2"/>
        <w:ind w:right="0"/>
      </w:pPr>
      <w:r>
        <w:rPr>
          <w:w w:val="85"/>
        </w:rPr>
        <w:t>Paris,</w:t>
      </w:r>
      <w:r>
        <w:rPr>
          <w:spacing w:val="3"/>
          <w:w w:val="85"/>
        </w:rPr>
        <w:t> </w:t>
      </w:r>
      <w:r>
        <w:rPr>
          <w:w w:val="85"/>
        </w:rPr>
        <w:t>le</w:t>
      </w:r>
      <w:r>
        <w:rPr>
          <w:spacing w:val="6"/>
          <w:w w:val="85"/>
        </w:rPr>
        <w:t> </w:t>
      </w:r>
      <w:r>
        <w:rPr>
          <w:w w:val="85"/>
        </w:rPr>
        <w:t>28</w:t>
      </w:r>
      <w:r>
        <w:rPr>
          <w:spacing w:val="5"/>
          <w:w w:val="85"/>
        </w:rPr>
        <w:t> </w:t>
      </w:r>
      <w:r>
        <w:rPr>
          <w:w w:val="85"/>
        </w:rPr>
        <w:t>juillet</w:t>
      </w:r>
      <w:r>
        <w:rPr>
          <w:spacing w:val="5"/>
          <w:w w:val="85"/>
        </w:rPr>
        <w:t> </w:t>
      </w:r>
      <w:r>
        <w:rPr>
          <w:w w:val="85"/>
        </w:rPr>
        <w:t>2023</w:t>
      </w:r>
    </w:p>
    <w:p>
      <w:pPr>
        <w:spacing w:line="240" w:lineRule="auto" w:before="2"/>
        <w:rPr>
          <w:sz w:val="23"/>
        </w:rPr>
      </w:pPr>
    </w:p>
    <w:p>
      <w:pPr>
        <w:spacing w:line="278" w:lineRule="auto" w:before="1"/>
        <w:ind w:left="112" w:right="110" w:firstLine="0"/>
        <w:jc w:val="both"/>
        <w:rPr>
          <w:sz w:val="22"/>
        </w:rPr>
      </w:pPr>
      <w:r>
        <w:rPr>
          <w:sz w:val="22"/>
        </w:rPr>
        <w:t>Le groupe Casino annonce avoir conclu, sous l’égide des conciliateurs et du CIRI, un</w:t>
      </w:r>
      <w:r>
        <w:rPr>
          <w:spacing w:val="1"/>
          <w:sz w:val="22"/>
        </w:rPr>
        <w:t> </w:t>
      </w:r>
      <w:r>
        <w:rPr>
          <w:w w:val="95"/>
          <w:sz w:val="22"/>
        </w:rPr>
        <w:t>accord de principe le 27 juillet 2023 avec EP Global Commerce a.s., Fimalac et Attestor (ci-</w:t>
      </w:r>
      <w:r>
        <w:rPr>
          <w:spacing w:val="-71"/>
          <w:w w:val="95"/>
          <w:sz w:val="22"/>
        </w:rPr>
        <w:t> </w:t>
      </w:r>
      <w:r>
        <w:rPr>
          <w:w w:val="95"/>
          <w:sz w:val="22"/>
        </w:rPr>
        <w:t>après collectivement « le Consortium ») et des créanciers détenant plus des deux tiers du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Term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Loan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B,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vue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renforcement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fonds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propres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Groupe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restructuration</w:t>
      </w:r>
      <w:r>
        <w:rPr>
          <w:spacing w:val="-7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son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endettement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financier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(l’«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Accord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Principe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»).</w:t>
      </w:r>
    </w:p>
    <w:p>
      <w:pPr>
        <w:spacing w:line="240" w:lineRule="auto" w:before="8"/>
        <w:rPr>
          <w:sz w:val="19"/>
        </w:rPr>
      </w:pPr>
    </w:p>
    <w:p>
      <w:pPr>
        <w:pStyle w:val="Heading2"/>
        <w:spacing w:line="278" w:lineRule="auto"/>
        <w:ind w:right="109"/>
      </w:pPr>
      <w:r>
        <w:rPr/>
        <w:t>L’Accord de Principe a été approuvé par le Conseil d’administration de Casino sur</w:t>
      </w:r>
      <w:r>
        <w:rPr>
          <w:spacing w:val="1"/>
        </w:rPr>
        <w:t> </w:t>
      </w:r>
      <w:r>
        <w:rPr>
          <w:spacing w:val="-1"/>
        </w:rPr>
        <w:t>recommandation</w:t>
      </w:r>
      <w:r>
        <w:rPr>
          <w:spacing w:val="-15"/>
        </w:rPr>
        <w:t> </w:t>
      </w:r>
      <w:r>
        <w:rPr>
          <w:spacing w:val="-1"/>
        </w:rPr>
        <w:t>unanime</w:t>
      </w:r>
      <w:r>
        <w:rPr>
          <w:spacing w:val="-14"/>
        </w:rPr>
        <w:t> </w:t>
      </w:r>
      <w:r>
        <w:rPr>
          <w:spacing w:val="-1"/>
        </w:rPr>
        <w:t>du</w:t>
      </w:r>
      <w:r>
        <w:rPr>
          <w:spacing w:val="-14"/>
        </w:rPr>
        <w:t> </w:t>
      </w:r>
      <w:r>
        <w:rPr>
          <w:spacing w:val="-1"/>
        </w:rPr>
        <w:t>comité</w:t>
      </w:r>
      <w:r>
        <w:rPr>
          <w:spacing w:val="-15"/>
        </w:rPr>
        <w:t> </w:t>
      </w:r>
      <w:r>
        <w:rPr>
          <w:spacing w:val="-1"/>
        </w:rPr>
        <w:t>ad</w:t>
      </w:r>
      <w:r>
        <w:rPr>
          <w:spacing w:val="-14"/>
        </w:rPr>
        <w:t> </w:t>
      </w:r>
      <w:r>
        <w:rPr>
          <w:spacing w:val="-1"/>
        </w:rPr>
        <w:t>hoc.</w:t>
      </w:r>
      <w:r>
        <w:rPr>
          <w:spacing w:val="-18"/>
        </w:rPr>
        <w:t> </w:t>
      </w:r>
      <w:r>
        <w:rPr>
          <w:spacing w:val="-1"/>
        </w:rPr>
        <w:t>Il</w:t>
      </w:r>
      <w:r>
        <w:rPr>
          <w:spacing w:val="-13"/>
        </w:rPr>
        <w:t> </w:t>
      </w:r>
      <w:r>
        <w:rPr>
          <w:spacing w:val="-1"/>
        </w:rPr>
        <w:t>prévoit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conclusion</w:t>
      </w:r>
      <w:r>
        <w:rPr>
          <w:spacing w:val="-15"/>
        </w:rPr>
        <w:t> </w:t>
      </w:r>
      <w:r>
        <w:rPr/>
        <w:t>par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parties</w:t>
      </w:r>
      <w:r>
        <w:rPr>
          <w:spacing w:val="-14"/>
        </w:rPr>
        <w:t> </w:t>
      </w:r>
      <w:r>
        <w:rPr/>
        <w:t>et</w:t>
      </w:r>
      <w:r>
        <w:rPr>
          <w:spacing w:val="-15"/>
        </w:rPr>
        <w:t> </w:t>
      </w:r>
      <w:r>
        <w:rPr/>
        <w:t>les</w:t>
      </w:r>
      <w:r>
        <w:rPr>
          <w:spacing w:val="-75"/>
        </w:rPr>
        <w:t> </w:t>
      </w:r>
      <w:r>
        <w:rPr/>
        <w:t>autres créanciers soutenant l’Accord de Principe d’un accord de lock-up</w:t>
      </w:r>
      <w:hyperlink w:history="true" w:anchor="_bookmark0">
        <w:r>
          <w:rPr>
            <w:i/>
            <w:position w:val="6"/>
            <w:sz w:val="14"/>
          </w:rPr>
          <w:t>1</w:t>
        </w:r>
      </w:hyperlink>
      <w:r>
        <w:rPr>
          <w:i/>
          <w:position w:val="6"/>
          <w:sz w:val="14"/>
        </w:rPr>
        <w:t> </w:t>
      </w:r>
      <w:r>
        <w:rPr/>
        <w:t>contraignant,</w:t>
      </w:r>
      <w:r>
        <w:rPr>
          <w:spacing w:val="1"/>
        </w:rPr>
        <w:t> </w:t>
      </w:r>
      <w:r>
        <w:rPr/>
        <w:t>au cours du mois de septembre 2023, permettant l’ouverture d’une procédure de</w:t>
      </w:r>
      <w:r>
        <w:rPr>
          <w:spacing w:val="1"/>
        </w:rPr>
        <w:t> </w:t>
      </w:r>
      <w:r>
        <w:rPr/>
        <w:t>sauvegarde accélérée au mois d’octobre 2023 et la réalisation effective de toutes les</w:t>
      </w:r>
      <w:r>
        <w:rPr>
          <w:spacing w:val="1"/>
        </w:rPr>
        <w:t> </w:t>
      </w:r>
      <w:r>
        <w:rPr>
          <w:spacing w:val="-1"/>
          <w:w w:val="95"/>
        </w:rPr>
        <w:t>opérations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restructuration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cours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du</w:t>
      </w:r>
      <w:r>
        <w:rPr>
          <w:spacing w:val="-16"/>
          <w:w w:val="95"/>
        </w:rPr>
        <w:t> </w:t>
      </w:r>
      <w:r>
        <w:rPr>
          <w:w w:val="95"/>
        </w:rPr>
        <w:t>premier</w:t>
      </w:r>
      <w:r>
        <w:rPr>
          <w:spacing w:val="-13"/>
          <w:w w:val="95"/>
        </w:rPr>
        <w:t> </w:t>
      </w:r>
      <w:r>
        <w:rPr>
          <w:w w:val="95"/>
        </w:rPr>
        <w:t>trimestre</w:t>
      </w:r>
      <w:r>
        <w:rPr>
          <w:spacing w:val="-13"/>
          <w:w w:val="95"/>
        </w:rPr>
        <w:t> </w:t>
      </w:r>
      <w:r>
        <w:rPr>
          <w:w w:val="95"/>
        </w:rPr>
        <w:t>2024.</w:t>
      </w:r>
    </w:p>
    <w:p>
      <w:pPr>
        <w:spacing w:line="240" w:lineRule="auto" w:before="11"/>
        <w:rPr>
          <w:sz w:val="19"/>
        </w:rPr>
      </w:pPr>
    </w:p>
    <w:p>
      <w:pPr>
        <w:spacing w:line="278" w:lineRule="auto" w:before="0"/>
        <w:ind w:left="112" w:right="109" w:firstLine="0"/>
        <w:jc w:val="both"/>
        <w:rPr>
          <w:sz w:val="22"/>
        </w:rPr>
      </w:pPr>
      <w:r>
        <w:rPr>
          <w:w w:val="95"/>
          <w:sz w:val="22"/>
        </w:rPr>
        <w:t>Des groupes bancaires français (détenant, ensemble avec certains des créanciers susvisés,</w:t>
      </w:r>
      <w:r>
        <w:rPr>
          <w:spacing w:val="-71"/>
          <w:w w:val="95"/>
          <w:sz w:val="22"/>
        </w:rPr>
        <w:t> </w:t>
      </w:r>
      <w:r>
        <w:rPr>
          <w:sz w:val="22"/>
        </w:rPr>
        <w:t>plus des deux tiers du RCF) ont confirmé au Groupe leur accord de principe sur les</w:t>
      </w:r>
      <w:r>
        <w:rPr>
          <w:spacing w:val="1"/>
          <w:sz w:val="22"/>
        </w:rPr>
        <w:t> </w:t>
      </w:r>
      <w:r>
        <w:rPr>
          <w:w w:val="95"/>
          <w:sz w:val="22"/>
        </w:rPr>
        <w:t>principaux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termes de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restructuration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tels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qu’ils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découlent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l’Accord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Principe.</w:t>
      </w:r>
    </w:p>
    <w:p>
      <w:pPr>
        <w:spacing w:line="240" w:lineRule="auto" w:before="9"/>
        <w:rPr>
          <w:sz w:val="19"/>
        </w:rPr>
      </w:pPr>
    </w:p>
    <w:p>
      <w:pPr>
        <w:pStyle w:val="Heading2"/>
        <w:spacing w:line="278" w:lineRule="auto" w:before="1"/>
        <w:ind w:left="113"/>
      </w:pPr>
      <w:r>
        <w:rPr>
          <w:w w:val="95"/>
        </w:rPr>
        <w:t>En toute hypothèse, les actionnaires de Casino seront massivement dilués et Rallye perdra</w:t>
      </w:r>
      <w:r>
        <w:rPr>
          <w:spacing w:val="1"/>
          <w:w w:val="95"/>
        </w:rPr>
        <w:t> </w:t>
      </w:r>
      <w:r>
        <w:rPr/>
        <w:t>le</w:t>
      </w:r>
      <w:r>
        <w:rPr>
          <w:spacing w:val="-17"/>
        </w:rPr>
        <w:t> </w:t>
      </w:r>
      <w:r>
        <w:rPr/>
        <w:t>contrôle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Casino.</w:t>
      </w:r>
    </w:p>
    <w:p>
      <w:pPr>
        <w:spacing w:line="240" w:lineRule="auto" w:before="7"/>
        <w:rPr>
          <w:sz w:val="19"/>
        </w:rPr>
      </w:pPr>
    </w:p>
    <w:p>
      <w:pPr>
        <w:spacing w:line="278" w:lineRule="auto" w:before="1"/>
        <w:ind w:left="113" w:right="110" w:firstLine="0"/>
        <w:jc w:val="both"/>
        <w:rPr>
          <w:sz w:val="22"/>
        </w:rPr>
      </w:pPr>
      <w:r>
        <w:rPr>
          <w:w w:val="95"/>
          <w:sz w:val="22"/>
        </w:rPr>
        <w:t>Une présentation synthétique de l’Accord de Principe a été mise en ligne ce jour sur le site</w:t>
      </w:r>
      <w:r>
        <w:rPr>
          <w:spacing w:val="1"/>
          <w:w w:val="95"/>
          <w:sz w:val="22"/>
        </w:rPr>
        <w:t> </w:t>
      </w:r>
      <w:r>
        <w:rPr>
          <w:sz w:val="22"/>
        </w:rPr>
        <w:t>internet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Casino</w:t>
      </w:r>
      <w:r>
        <w:rPr>
          <w:spacing w:val="-18"/>
          <w:sz w:val="22"/>
        </w:rPr>
        <w:t> </w:t>
      </w:r>
      <w:r>
        <w:rPr>
          <w:sz w:val="22"/>
        </w:rPr>
        <w:t>(</w:t>
      </w:r>
      <w:hyperlink r:id="rId6">
        <w:r>
          <w:rPr>
            <w:color w:val="0000FF"/>
            <w:sz w:val="22"/>
            <w:u w:val="single" w:color="0000FF"/>
          </w:rPr>
          <w:t>Accord</w:t>
        </w:r>
      </w:hyperlink>
      <w:r>
        <w:rPr>
          <w:sz w:val="22"/>
        </w:rPr>
        <w:t>).</w:t>
      </w:r>
    </w:p>
    <w:p>
      <w:pPr>
        <w:spacing w:line="240" w:lineRule="auto" w:before="6"/>
        <w:rPr>
          <w:sz w:val="11"/>
        </w:rPr>
      </w:pPr>
    </w:p>
    <w:p>
      <w:pPr>
        <w:pStyle w:val="Heading2"/>
        <w:spacing w:line="278" w:lineRule="auto" w:before="101"/>
      </w:pPr>
      <w:r>
        <w:rPr>
          <w:w w:val="95"/>
        </w:rPr>
        <w:t>Cette présentation contient des éléments financiers prospectifs clés transmis par le groupe</w:t>
      </w:r>
      <w:r>
        <w:rPr>
          <w:spacing w:val="1"/>
          <w:w w:val="95"/>
        </w:rPr>
        <w:t> </w:t>
      </w:r>
      <w:r>
        <w:rPr/>
        <w:t>Casino</w:t>
      </w:r>
      <w:r>
        <w:rPr>
          <w:spacing w:val="-13"/>
        </w:rPr>
        <w:t> </w:t>
      </w:r>
      <w:r>
        <w:rPr/>
        <w:t>aux</w:t>
      </w:r>
      <w:r>
        <w:rPr>
          <w:spacing w:val="-12"/>
        </w:rPr>
        <w:t> </w:t>
      </w:r>
      <w:r>
        <w:rPr/>
        <w:t>parties</w:t>
      </w:r>
      <w:r>
        <w:rPr>
          <w:spacing w:val="-14"/>
        </w:rPr>
        <w:t> </w:t>
      </w:r>
      <w:r>
        <w:rPr/>
        <w:t>prenantes</w:t>
      </w:r>
      <w:r>
        <w:rPr>
          <w:spacing w:val="-11"/>
        </w:rPr>
        <w:t> </w:t>
      </w:r>
      <w:r>
        <w:rPr/>
        <w:t>dans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cadre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procédure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conciliation,</w:t>
      </w:r>
      <w:r>
        <w:rPr>
          <w:spacing w:val="-12"/>
        </w:rPr>
        <w:t> </w:t>
      </w:r>
      <w:r>
        <w:rPr/>
        <w:t>ainsi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les</w:t>
      </w:r>
      <w:r>
        <w:rPr>
          <w:spacing w:val="-75"/>
        </w:rPr>
        <w:t> </w:t>
      </w:r>
      <w:r>
        <w:rPr/>
        <w:t>éléments clés du business plan préparé à date par le Consortium sur la base desdits</w:t>
      </w:r>
      <w:r>
        <w:rPr>
          <w:spacing w:val="1"/>
        </w:rPr>
        <w:t> </w:t>
      </w:r>
      <w:r>
        <w:rPr>
          <w:w w:val="95"/>
        </w:rPr>
        <w:t>éléments</w:t>
      </w:r>
      <w:r>
        <w:rPr>
          <w:spacing w:val="-13"/>
          <w:w w:val="95"/>
        </w:rPr>
        <w:t> </w:t>
      </w:r>
      <w:r>
        <w:rPr>
          <w:w w:val="95"/>
        </w:rPr>
        <w:t>financiers</w:t>
      </w:r>
      <w:r>
        <w:rPr>
          <w:spacing w:val="-13"/>
          <w:w w:val="95"/>
        </w:rPr>
        <w:t> </w:t>
      </w:r>
      <w:r>
        <w:rPr>
          <w:w w:val="95"/>
        </w:rPr>
        <w:t>transmis</w:t>
      </w:r>
      <w:r>
        <w:rPr>
          <w:spacing w:val="-12"/>
          <w:w w:val="95"/>
        </w:rPr>
        <w:t> </w:t>
      </w:r>
      <w:r>
        <w:rPr>
          <w:w w:val="95"/>
        </w:rPr>
        <w:t>par</w:t>
      </w:r>
      <w:r>
        <w:rPr>
          <w:spacing w:val="-16"/>
          <w:w w:val="95"/>
        </w:rPr>
        <w:t> </w:t>
      </w:r>
      <w:r>
        <w:rPr>
          <w:w w:val="95"/>
        </w:rPr>
        <w:t>le</w:t>
      </w:r>
      <w:r>
        <w:rPr>
          <w:spacing w:val="-12"/>
          <w:w w:val="95"/>
        </w:rPr>
        <w:t> </w:t>
      </w:r>
      <w:r>
        <w:rPr>
          <w:w w:val="95"/>
        </w:rPr>
        <w:t>groupe</w:t>
      </w:r>
      <w:r>
        <w:rPr>
          <w:spacing w:val="-13"/>
          <w:w w:val="95"/>
        </w:rPr>
        <w:t> </w:t>
      </w:r>
      <w:r>
        <w:rPr>
          <w:w w:val="95"/>
        </w:rPr>
        <w:t>Casino.</w:t>
      </w:r>
    </w:p>
    <w:p>
      <w:pPr>
        <w:spacing w:line="240" w:lineRule="auto" w:before="9"/>
        <w:rPr>
          <w:sz w:val="19"/>
        </w:rPr>
      </w:pPr>
    </w:p>
    <w:p>
      <w:pPr>
        <w:spacing w:line="278" w:lineRule="auto" w:before="1"/>
        <w:ind w:left="112" w:right="110" w:firstLine="0"/>
        <w:jc w:val="both"/>
        <w:rPr>
          <w:sz w:val="22"/>
        </w:rPr>
      </w:pPr>
      <w:r>
        <w:rPr>
          <w:spacing w:val="-1"/>
          <w:sz w:val="22"/>
        </w:rPr>
        <w:t>Ainsi,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l’ensemble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informations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privilégiées</w:t>
      </w:r>
      <w:r>
        <w:rPr>
          <w:spacing w:val="-16"/>
          <w:sz w:val="22"/>
        </w:rPr>
        <w:t> </w:t>
      </w:r>
      <w:r>
        <w:rPr>
          <w:sz w:val="22"/>
        </w:rPr>
        <w:t>relatives</w:t>
      </w:r>
      <w:r>
        <w:rPr>
          <w:spacing w:val="-16"/>
          <w:sz w:val="22"/>
        </w:rPr>
        <w:t> </w:t>
      </w:r>
      <w:r>
        <w:rPr>
          <w:sz w:val="22"/>
        </w:rPr>
        <w:t>au</w:t>
      </w:r>
      <w:r>
        <w:rPr>
          <w:spacing w:val="-17"/>
          <w:sz w:val="22"/>
        </w:rPr>
        <w:t> </w:t>
      </w:r>
      <w:r>
        <w:rPr>
          <w:sz w:val="22"/>
        </w:rPr>
        <w:t>groupe</w:t>
      </w:r>
      <w:r>
        <w:rPr>
          <w:spacing w:val="-16"/>
          <w:sz w:val="22"/>
        </w:rPr>
        <w:t> </w:t>
      </w:r>
      <w:r>
        <w:rPr>
          <w:sz w:val="22"/>
        </w:rPr>
        <w:t>Casino</w:t>
      </w:r>
      <w:r>
        <w:rPr>
          <w:spacing w:val="-17"/>
          <w:sz w:val="22"/>
        </w:rPr>
        <w:t> </w:t>
      </w:r>
      <w:r>
        <w:rPr>
          <w:sz w:val="22"/>
        </w:rPr>
        <w:t>qui</w:t>
      </w:r>
      <w:r>
        <w:rPr>
          <w:spacing w:val="-15"/>
          <w:sz w:val="22"/>
        </w:rPr>
        <w:t> </w:t>
      </w:r>
      <w:r>
        <w:rPr>
          <w:sz w:val="22"/>
        </w:rPr>
        <w:t>ont</w:t>
      </w:r>
      <w:r>
        <w:rPr>
          <w:spacing w:val="-17"/>
          <w:sz w:val="22"/>
        </w:rPr>
        <w:t> </w:t>
      </w:r>
      <w:r>
        <w:rPr>
          <w:sz w:val="22"/>
        </w:rPr>
        <w:t>pu</w:t>
      </w:r>
      <w:r>
        <w:rPr>
          <w:spacing w:val="-18"/>
          <w:sz w:val="22"/>
        </w:rPr>
        <w:t> </w:t>
      </w:r>
      <w:r>
        <w:rPr>
          <w:sz w:val="22"/>
        </w:rPr>
        <w:t>être</w:t>
      </w:r>
      <w:r>
        <w:rPr>
          <w:spacing w:val="-75"/>
          <w:sz w:val="22"/>
        </w:rPr>
        <w:t> </w:t>
      </w:r>
      <w:r>
        <w:rPr>
          <w:sz w:val="22"/>
        </w:rPr>
        <w:t>transmises</w:t>
      </w:r>
      <w:r>
        <w:rPr>
          <w:spacing w:val="-15"/>
          <w:sz w:val="22"/>
        </w:rPr>
        <w:t> </w:t>
      </w:r>
      <w:r>
        <w:rPr>
          <w:sz w:val="22"/>
        </w:rPr>
        <w:t>à</w:t>
      </w:r>
      <w:r>
        <w:rPr>
          <w:spacing w:val="-14"/>
          <w:sz w:val="22"/>
        </w:rPr>
        <w:t> </w:t>
      </w:r>
      <w:r>
        <w:rPr>
          <w:sz w:val="22"/>
        </w:rPr>
        <w:t>date</w:t>
      </w:r>
      <w:r>
        <w:rPr>
          <w:spacing w:val="-15"/>
          <w:sz w:val="22"/>
        </w:rPr>
        <w:t> </w:t>
      </w:r>
      <w:r>
        <w:rPr>
          <w:sz w:val="22"/>
        </w:rPr>
        <w:t>par</w:t>
      </w:r>
      <w:r>
        <w:rPr>
          <w:spacing w:val="-14"/>
          <w:sz w:val="22"/>
        </w:rPr>
        <w:t> </w:t>
      </w:r>
      <w:r>
        <w:rPr>
          <w:sz w:val="22"/>
        </w:rPr>
        <w:t>Casino</w:t>
      </w:r>
      <w:r>
        <w:rPr>
          <w:spacing w:val="-16"/>
          <w:sz w:val="22"/>
        </w:rPr>
        <w:t> </w:t>
      </w:r>
      <w:r>
        <w:rPr>
          <w:sz w:val="22"/>
        </w:rPr>
        <w:t>aux</w:t>
      </w:r>
      <w:r>
        <w:rPr>
          <w:spacing w:val="-17"/>
          <w:sz w:val="22"/>
        </w:rPr>
        <w:t> </w:t>
      </w:r>
      <w:r>
        <w:rPr>
          <w:sz w:val="22"/>
        </w:rPr>
        <w:t>créanciers</w:t>
      </w:r>
      <w:r>
        <w:rPr>
          <w:spacing w:val="-16"/>
          <w:sz w:val="22"/>
        </w:rPr>
        <w:t> </w:t>
      </w:r>
      <w:r>
        <w:rPr>
          <w:sz w:val="22"/>
        </w:rPr>
        <w:t>et</w:t>
      </w:r>
      <w:r>
        <w:rPr>
          <w:spacing w:val="-15"/>
          <w:sz w:val="22"/>
        </w:rPr>
        <w:t> </w:t>
      </w:r>
      <w:r>
        <w:rPr>
          <w:sz w:val="22"/>
        </w:rPr>
        <w:t>apporteurs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fonds</w:t>
      </w:r>
      <w:r>
        <w:rPr>
          <w:spacing w:val="-15"/>
          <w:sz w:val="22"/>
        </w:rPr>
        <w:t> </w:t>
      </w:r>
      <w:r>
        <w:rPr>
          <w:sz w:val="22"/>
        </w:rPr>
        <w:t>propres</w:t>
      </w:r>
      <w:r>
        <w:rPr>
          <w:spacing w:val="-14"/>
          <w:sz w:val="22"/>
        </w:rPr>
        <w:t> </w:t>
      </w:r>
      <w:r>
        <w:rPr>
          <w:sz w:val="22"/>
        </w:rPr>
        <w:t>sous</w:t>
      </w:r>
      <w:r>
        <w:rPr>
          <w:spacing w:val="-15"/>
          <w:sz w:val="22"/>
        </w:rPr>
        <w:t> </w:t>
      </w:r>
      <w:r>
        <w:rPr>
          <w:sz w:val="22"/>
        </w:rPr>
        <w:t>accord</w:t>
      </w:r>
      <w:r>
        <w:rPr>
          <w:spacing w:val="-75"/>
          <w:sz w:val="22"/>
        </w:rPr>
        <w:t> </w:t>
      </w:r>
      <w:r>
        <w:rPr>
          <w:sz w:val="22"/>
        </w:rPr>
        <w:t>de</w:t>
      </w:r>
      <w:r>
        <w:rPr>
          <w:spacing w:val="-25"/>
          <w:sz w:val="22"/>
        </w:rPr>
        <w:t> </w:t>
      </w:r>
      <w:r>
        <w:rPr>
          <w:sz w:val="22"/>
        </w:rPr>
        <w:t>confidentialité</w:t>
      </w:r>
      <w:r>
        <w:rPr>
          <w:spacing w:val="-25"/>
          <w:sz w:val="22"/>
        </w:rPr>
        <w:t> </w:t>
      </w:r>
      <w:r>
        <w:rPr>
          <w:sz w:val="22"/>
        </w:rPr>
        <w:t>dans</w:t>
      </w:r>
      <w:r>
        <w:rPr>
          <w:spacing w:val="-29"/>
          <w:sz w:val="22"/>
        </w:rPr>
        <w:t> </w:t>
      </w:r>
      <w:r>
        <w:rPr>
          <w:sz w:val="22"/>
        </w:rPr>
        <w:t>le</w:t>
      </w:r>
      <w:r>
        <w:rPr>
          <w:spacing w:val="-28"/>
          <w:sz w:val="22"/>
        </w:rPr>
        <w:t> </w:t>
      </w:r>
      <w:r>
        <w:rPr>
          <w:sz w:val="22"/>
        </w:rPr>
        <w:t>cadre</w:t>
      </w:r>
      <w:r>
        <w:rPr>
          <w:spacing w:val="-28"/>
          <w:sz w:val="22"/>
        </w:rPr>
        <w:t> </w:t>
      </w:r>
      <w:r>
        <w:rPr>
          <w:sz w:val="22"/>
        </w:rPr>
        <w:t>de</w:t>
      </w:r>
      <w:r>
        <w:rPr>
          <w:spacing w:val="-28"/>
          <w:sz w:val="22"/>
        </w:rPr>
        <w:t> </w:t>
      </w:r>
      <w:r>
        <w:rPr>
          <w:sz w:val="22"/>
        </w:rPr>
        <w:t>la</w:t>
      </w:r>
      <w:r>
        <w:rPr>
          <w:spacing w:val="-29"/>
          <w:sz w:val="22"/>
        </w:rPr>
        <w:t> </w:t>
      </w:r>
      <w:r>
        <w:rPr>
          <w:sz w:val="22"/>
        </w:rPr>
        <w:t>procédure</w:t>
      </w:r>
      <w:r>
        <w:rPr>
          <w:spacing w:val="-25"/>
          <w:sz w:val="22"/>
        </w:rPr>
        <w:t> </w:t>
      </w:r>
      <w:r>
        <w:rPr>
          <w:sz w:val="22"/>
        </w:rPr>
        <w:t>de</w:t>
      </w:r>
      <w:r>
        <w:rPr>
          <w:spacing w:val="-28"/>
          <w:sz w:val="22"/>
        </w:rPr>
        <w:t> </w:t>
      </w:r>
      <w:r>
        <w:rPr>
          <w:sz w:val="22"/>
        </w:rPr>
        <w:t>conciliation</w:t>
      </w:r>
      <w:r>
        <w:rPr>
          <w:spacing w:val="-26"/>
          <w:sz w:val="22"/>
        </w:rPr>
        <w:t> </w:t>
      </w:r>
      <w:r>
        <w:rPr>
          <w:sz w:val="22"/>
        </w:rPr>
        <w:t>ont</w:t>
      </w:r>
      <w:r>
        <w:rPr>
          <w:spacing w:val="-29"/>
          <w:sz w:val="22"/>
        </w:rPr>
        <w:t> </w:t>
      </w:r>
      <w:r>
        <w:rPr>
          <w:sz w:val="22"/>
        </w:rPr>
        <w:t>été</w:t>
      </w:r>
      <w:r>
        <w:rPr>
          <w:spacing w:val="-25"/>
          <w:sz w:val="22"/>
        </w:rPr>
        <w:t> </w:t>
      </w:r>
      <w:r>
        <w:rPr>
          <w:sz w:val="22"/>
        </w:rPr>
        <w:t>rendues</w:t>
      </w:r>
      <w:r>
        <w:rPr>
          <w:spacing w:val="-27"/>
          <w:sz w:val="22"/>
        </w:rPr>
        <w:t> </w:t>
      </w:r>
      <w:r>
        <w:rPr>
          <w:sz w:val="22"/>
        </w:rPr>
        <w:t>publiques.</w:t>
      </w:r>
    </w:p>
    <w:p>
      <w:pPr>
        <w:spacing w:line="240" w:lineRule="auto" w:before="7"/>
        <w:rPr>
          <w:sz w:val="19"/>
        </w:rPr>
      </w:pPr>
    </w:p>
    <w:p>
      <w:pPr>
        <w:pStyle w:val="Heading2"/>
        <w:spacing w:line="278" w:lineRule="auto"/>
        <w:ind w:right="111"/>
      </w:pPr>
      <w:r>
        <w:rPr/>
        <w:t>Par ailleurs, le Groupe a obtenu ce jour des prêteurs au titre du RCF qu’ils renoncent à</w:t>
      </w:r>
      <w:r>
        <w:rPr>
          <w:spacing w:val="-75"/>
        </w:rPr>
        <w:t> </w:t>
      </w:r>
      <w:r>
        <w:rPr>
          <w:w w:val="95"/>
        </w:rPr>
        <w:t>déclarer toute exigibilité anticipée sur le fondement d’éventuels cas de défaut au titre des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covenants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financiers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au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30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juin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2023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30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septembre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2023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(cf.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communiqué</w:t>
      </w:r>
      <w:r>
        <w:rPr>
          <w:spacing w:val="-28"/>
          <w:w w:val="95"/>
        </w:rPr>
        <w:t> </w:t>
      </w:r>
      <w:r>
        <w:rPr>
          <w:w w:val="95"/>
        </w:rPr>
        <w:t>du</w:t>
      </w:r>
      <w:r>
        <w:rPr>
          <w:spacing w:val="-27"/>
          <w:w w:val="95"/>
        </w:rPr>
        <w:t> </w:t>
      </w:r>
      <w:r>
        <w:rPr>
          <w:w w:val="95"/>
        </w:rPr>
        <w:t>26</w:t>
      </w:r>
      <w:r>
        <w:rPr>
          <w:spacing w:val="-28"/>
          <w:w w:val="95"/>
        </w:rPr>
        <w:t> </w:t>
      </w:r>
      <w:r>
        <w:rPr>
          <w:w w:val="95"/>
        </w:rPr>
        <w:t>juin</w:t>
      </w:r>
      <w:r>
        <w:rPr>
          <w:spacing w:val="-28"/>
          <w:w w:val="95"/>
        </w:rPr>
        <w:t> </w:t>
      </w:r>
      <w:r>
        <w:rPr>
          <w:w w:val="95"/>
        </w:rPr>
        <w:t>2023).</w:t>
      </w:r>
    </w:p>
    <w:p>
      <w:pPr>
        <w:spacing w:line="240" w:lineRule="auto" w:before="1"/>
        <w:rPr>
          <w:sz w:val="29"/>
        </w:rPr>
      </w:pPr>
      <w:r>
        <w:rPr/>
        <w:pict>
          <v:rect style="position:absolute;margin-left:56.639999pt;margin-top:19.63747pt;width:1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10"/>
        <w:rPr>
          <w:sz w:val="5"/>
        </w:rPr>
      </w:pPr>
    </w:p>
    <w:p>
      <w:pPr>
        <w:spacing w:line="242" w:lineRule="auto" w:before="101"/>
        <w:ind w:left="112" w:right="111" w:firstLine="0"/>
        <w:jc w:val="both"/>
        <w:rPr>
          <w:sz w:val="18"/>
        </w:rPr>
      </w:pPr>
      <w:bookmarkStart w:name="_bookmark0" w:id="1"/>
      <w:bookmarkEnd w:id="1"/>
      <w:r>
        <w:rPr/>
      </w:r>
      <w:r>
        <w:rPr>
          <w:color w:val="0D0D0D"/>
          <w:position w:val="5"/>
          <w:sz w:val="12"/>
        </w:rPr>
        <w:t>1</w:t>
      </w:r>
      <w:r>
        <w:rPr>
          <w:color w:val="0D0D0D"/>
          <w:spacing w:val="17"/>
          <w:position w:val="5"/>
          <w:sz w:val="12"/>
        </w:rPr>
        <w:t> </w:t>
      </w:r>
      <w:r>
        <w:rPr>
          <w:color w:val="0D0D0D"/>
          <w:sz w:val="18"/>
        </w:rPr>
        <w:t>Un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accord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de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lock-up</w:t>
      </w:r>
      <w:r>
        <w:rPr>
          <w:color w:val="0D0D0D"/>
          <w:spacing w:val="-6"/>
          <w:sz w:val="18"/>
        </w:rPr>
        <w:t> </w:t>
      </w:r>
      <w:r>
        <w:rPr>
          <w:color w:val="0D0D0D"/>
          <w:sz w:val="18"/>
        </w:rPr>
        <w:t>est</w:t>
      </w:r>
      <w:r>
        <w:rPr>
          <w:color w:val="0D0D0D"/>
          <w:spacing w:val="-6"/>
          <w:sz w:val="18"/>
        </w:rPr>
        <w:t> </w:t>
      </w:r>
      <w:r>
        <w:rPr>
          <w:color w:val="0D0D0D"/>
          <w:sz w:val="18"/>
        </w:rPr>
        <w:t>un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accord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aux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termes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duquel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un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signataire</w:t>
      </w:r>
      <w:r>
        <w:rPr>
          <w:color w:val="0D0D0D"/>
          <w:spacing w:val="-6"/>
          <w:sz w:val="18"/>
        </w:rPr>
        <w:t> </w:t>
      </w:r>
      <w:r>
        <w:rPr>
          <w:color w:val="0D0D0D"/>
          <w:sz w:val="18"/>
        </w:rPr>
        <w:t>s’engage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à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soutenir</w:t>
      </w:r>
      <w:r>
        <w:rPr>
          <w:color w:val="0D0D0D"/>
          <w:spacing w:val="-3"/>
          <w:sz w:val="18"/>
        </w:rPr>
        <w:t> </w:t>
      </w:r>
      <w:r>
        <w:rPr>
          <w:color w:val="0D0D0D"/>
          <w:sz w:val="18"/>
        </w:rPr>
        <w:t>et</w:t>
      </w:r>
      <w:r>
        <w:rPr>
          <w:color w:val="0D0D0D"/>
          <w:spacing w:val="-8"/>
          <w:sz w:val="18"/>
        </w:rPr>
        <w:t> </w:t>
      </w:r>
      <w:r>
        <w:rPr>
          <w:color w:val="0D0D0D"/>
          <w:sz w:val="18"/>
        </w:rPr>
        <w:t>réaliser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toute</w:t>
      </w:r>
      <w:r>
        <w:rPr>
          <w:color w:val="0D0D0D"/>
          <w:spacing w:val="-61"/>
          <w:sz w:val="18"/>
        </w:rPr>
        <w:t> </w:t>
      </w:r>
      <w:r>
        <w:rPr>
          <w:color w:val="0D0D0D"/>
          <w:spacing w:val="-1"/>
          <w:sz w:val="18"/>
        </w:rPr>
        <w:t>démarche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1"/>
          <w:sz w:val="18"/>
        </w:rPr>
        <w:t>ou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1"/>
          <w:sz w:val="18"/>
        </w:rPr>
        <w:t>action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1"/>
          <w:sz w:val="18"/>
        </w:rPr>
        <w:t>raisonnablement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1"/>
          <w:sz w:val="18"/>
        </w:rPr>
        <w:t>nécessaire</w:t>
      </w:r>
      <w:r>
        <w:rPr>
          <w:color w:val="0D0D0D"/>
          <w:spacing w:val="-13"/>
          <w:sz w:val="18"/>
        </w:rPr>
        <w:t> </w:t>
      </w:r>
      <w:r>
        <w:rPr>
          <w:color w:val="0D0D0D"/>
          <w:sz w:val="18"/>
        </w:rPr>
        <w:t>à</w:t>
      </w:r>
      <w:r>
        <w:rPr>
          <w:color w:val="0D0D0D"/>
          <w:spacing w:val="-13"/>
          <w:sz w:val="18"/>
        </w:rPr>
        <w:t> </w:t>
      </w:r>
      <w:r>
        <w:rPr>
          <w:color w:val="0D0D0D"/>
          <w:sz w:val="18"/>
        </w:rPr>
        <w:t>la</w:t>
      </w:r>
      <w:r>
        <w:rPr>
          <w:color w:val="0D0D0D"/>
          <w:spacing w:val="-15"/>
          <w:sz w:val="18"/>
        </w:rPr>
        <w:t> </w:t>
      </w:r>
      <w:r>
        <w:rPr>
          <w:color w:val="0D0D0D"/>
          <w:sz w:val="18"/>
        </w:rPr>
        <w:t>mise</w:t>
      </w:r>
      <w:r>
        <w:rPr>
          <w:color w:val="0D0D0D"/>
          <w:spacing w:val="-13"/>
          <w:sz w:val="18"/>
        </w:rPr>
        <w:t> </w:t>
      </w:r>
      <w:r>
        <w:rPr>
          <w:color w:val="0D0D0D"/>
          <w:sz w:val="18"/>
        </w:rPr>
        <w:t>en</w:t>
      </w:r>
      <w:r>
        <w:rPr>
          <w:color w:val="0D0D0D"/>
          <w:spacing w:val="-13"/>
          <w:sz w:val="18"/>
        </w:rPr>
        <w:t> </w:t>
      </w:r>
      <w:r>
        <w:rPr>
          <w:color w:val="0D0D0D"/>
          <w:sz w:val="18"/>
        </w:rPr>
        <w:t>œuvre</w:t>
      </w:r>
      <w:r>
        <w:rPr>
          <w:color w:val="0D0D0D"/>
          <w:spacing w:val="-12"/>
          <w:sz w:val="18"/>
        </w:rPr>
        <w:t> </w:t>
      </w:r>
      <w:r>
        <w:rPr>
          <w:color w:val="0D0D0D"/>
          <w:sz w:val="18"/>
        </w:rPr>
        <w:t>et</w:t>
      </w:r>
      <w:r>
        <w:rPr>
          <w:color w:val="0D0D0D"/>
          <w:spacing w:val="-14"/>
          <w:sz w:val="18"/>
        </w:rPr>
        <w:t> </w:t>
      </w:r>
      <w:r>
        <w:rPr>
          <w:color w:val="0D0D0D"/>
          <w:sz w:val="18"/>
        </w:rPr>
        <w:t>la</w:t>
      </w:r>
      <w:r>
        <w:rPr>
          <w:color w:val="0D0D0D"/>
          <w:spacing w:val="-14"/>
          <w:sz w:val="18"/>
        </w:rPr>
        <w:t> </w:t>
      </w:r>
      <w:r>
        <w:rPr>
          <w:color w:val="0D0D0D"/>
          <w:sz w:val="18"/>
        </w:rPr>
        <w:t>réalisation</w:t>
      </w:r>
      <w:r>
        <w:rPr>
          <w:color w:val="0D0D0D"/>
          <w:spacing w:val="-12"/>
          <w:sz w:val="18"/>
        </w:rPr>
        <w:t> </w:t>
      </w:r>
      <w:r>
        <w:rPr>
          <w:color w:val="0D0D0D"/>
          <w:sz w:val="18"/>
        </w:rPr>
        <w:t>de</w:t>
      </w:r>
      <w:r>
        <w:rPr>
          <w:color w:val="0D0D0D"/>
          <w:spacing w:val="-13"/>
          <w:sz w:val="18"/>
        </w:rPr>
        <w:t> </w:t>
      </w:r>
      <w:r>
        <w:rPr>
          <w:color w:val="0D0D0D"/>
          <w:sz w:val="18"/>
        </w:rPr>
        <w:t>la</w:t>
      </w:r>
      <w:r>
        <w:rPr>
          <w:color w:val="0D0D0D"/>
          <w:spacing w:val="-13"/>
          <w:sz w:val="18"/>
        </w:rPr>
        <w:t> </w:t>
      </w:r>
      <w:r>
        <w:rPr>
          <w:color w:val="0D0D0D"/>
          <w:sz w:val="18"/>
        </w:rPr>
        <w:t>restructuration</w:t>
      </w:r>
      <w:r>
        <w:rPr>
          <w:color w:val="0D0D0D"/>
          <w:spacing w:val="-13"/>
          <w:sz w:val="18"/>
        </w:rPr>
        <w:t> </w:t>
      </w:r>
      <w:r>
        <w:rPr>
          <w:color w:val="0D0D0D"/>
          <w:sz w:val="18"/>
        </w:rPr>
        <w:t>du</w:t>
      </w:r>
      <w:r>
        <w:rPr>
          <w:color w:val="0D0D0D"/>
          <w:spacing w:val="-61"/>
          <w:sz w:val="18"/>
        </w:rPr>
        <w:t> </w:t>
      </w:r>
      <w:r>
        <w:rPr>
          <w:color w:val="0D0D0D"/>
          <w:sz w:val="18"/>
        </w:rPr>
        <w:t>Groupe.</w:t>
      </w:r>
    </w:p>
    <w:p>
      <w:pPr>
        <w:spacing w:before="176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Vendredi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28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juillet 2023</w:t>
      </w:r>
      <w:r>
        <w:rPr>
          <w:spacing w:val="-1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2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580" w:bottom="0" w:left="1020" w:right="1020"/>
        </w:sectPr>
      </w:pPr>
    </w:p>
    <w:p>
      <w:pPr>
        <w:pStyle w:val="Heading2"/>
        <w:spacing w:before="87"/>
        <w:ind w:left="1619" w:right="1621"/>
        <w:jc w:val="center"/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</w:rPr>
        <w:t>*</w:t>
      </w:r>
      <w:r>
        <w:rPr>
          <w:spacing w:val="11"/>
          <w:w w:val="65"/>
        </w:rPr>
        <w:t> </w:t>
      </w:r>
      <w:r>
        <w:rPr>
          <w:w w:val="65"/>
        </w:rPr>
        <w:t>*</w:t>
      </w:r>
      <w:r>
        <w:rPr>
          <w:spacing w:val="12"/>
          <w:w w:val="65"/>
        </w:rPr>
        <w:t> </w:t>
      </w:r>
      <w:r>
        <w:rPr>
          <w:w w:val="65"/>
        </w:rPr>
        <w:t>*</w:t>
      </w:r>
    </w:p>
    <w:p>
      <w:pPr>
        <w:pStyle w:val="BodyText"/>
        <w:spacing w:line="278" w:lineRule="auto" w:before="161"/>
        <w:ind w:left="112" w:right="110"/>
        <w:jc w:val="both"/>
      </w:pP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4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7"/>
        </w:rPr>
        <w:t> </w:t>
      </w:r>
      <w:r>
        <w:rPr/>
        <w:t>connexes.</w:t>
      </w:r>
      <w:r>
        <w:rPr>
          <w:spacing w:val="-4"/>
        </w:rPr>
        <w:t> </w:t>
      </w:r>
      <w:r>
        <w:rPr/>
        <w:t>De</w:t>
      </w:r>
      <w:r>
        <w:rPr>
          <w:spacing w:val="-61"/>
        </w:rPr>
        <w:t> </w:t>
      </w:r>
      <w:r>
        <w:rPr/>
        <w:t>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donne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doit</w:t>
      </w:r>
      <w:r>
        <w:rPr>
          <w:spacing w:val="-7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n'a</w:t>
      </w:r>
      <w:r>
        <w:rPr>
          <w:spacing w:val="-12"/>
        </w:rPr>
        <w:t> </w:t>
      </w:r>
      <w:r>
        <w:rPr/>
        <w:t>aucun</w:t>
      </w:r>
      <w:r>
        <w:rPr>
          <w:spacing w:val="-9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</w:t>
      </w:r>
      <w:r>
        <w:rPr>
          <w:spacing w:val="-61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0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8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considéré</w:t>
      </w:r>
      <w:r>
        <w:rPr>
          <w:spacing w:val="-10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</w:t>
      </w:r>
      <w:r>
        <w:rPr>
          <w:spacing w:val="-61"/>
        </w:rPr>
        <w:t> </w:t>
      </w:r>
      <w:r>
        <w:rPr>
          <w:w w:val="95"/>
        </w:rPr>
        <w:t>comme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3"/>
          <w:w w:val="95"/>
        </w:rPr>
        <w:t> </w:t>
      </w:r>
      <w:r>
        <w:rPr>
          <w:w w:val="95"/>
        </w:rPr>
        <w:t>à</w:t>
      </w:r>
      <w:r>
        <w:rPr>
          <w:spacing w:val="-8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leur</w:t>
      </w:r>
      <w:r>
        <w:rPr>
          <w:spacing w:val="-3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7"/>
          <w:w w:val="95"/>
        </w:rPr>
        <w:t> </w:t>
      </w:r>
      <w:r>
        <w:rPr>
          <w:w w:val="95"/>
        </w:rPr>
        <w:t>Toutes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opinions</w:t>
      </w:r>
      <w:r>
        <w:rPr>
          <w:spacing w:val="-4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4"/>
          <w:w w:val="95"/>
        </w:rPr>
        <w:t> </w:t>
      </w:r>
      <w:r>
        <w:rPr>
          <w:w w:val="95"/>
        </w:rPr>
        <w:t>ce</w:t>
      </w:r>
      <w:r>
        <w:rPr>
          <w:spacing w:val="-7"/>
          <w:w w:val="95"/>
        </w:rPr>
        <w:t> </w:t>
      </w:r>
      <w:r>
        <w:rPr>
          <w:w w:val="95"/>
        </w:rPr>
        <w:t>document</w:t>
      </w:r>
      <w:r>
        <w:rPr>
          <w:spacing w:val="-3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1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spacing w:line="240" w:lineRule="auto" w:before="1"/>
        <w:rPr>
          <w:i/>
          <w:sz w:val="26"/>
        </w:rPr>
      </w:pPr>
    </w:p>
    <w:p>
      <w:pPr>
        <w:spacing w:before="0"/>
        <w:ind w:left="112" w:right="0" w:firstLine="0"/>
        <w:jc w:val="both"/>
        <w:rPr>
          <w:b/>
          <w:i/>
          <w:sz w:val="18"/>
        </w:rPr>
      </w:pPr>
      <w:r>
        <w:rPr>
          <w:b/>
          <w:i/>
          <w:w w:val="85"/>
          <w:sz w:val="18"/>
        </w:rPr>
        <w:t>Déclarations</w:t>
      </w:r>
      <w:r>
        <w:rPr>
          <w:b/>
          <w:i/>
          <w:spacing w:val="11"/>
          <w:w w:val="85"/>
          <w:sz w:val="18"/>
        </w:rPr>
        <w:t> </w:t>
      </w:r>
      <w:r>
        <w:rPr>
          <w:b/>
          <w:i/>
          <w:w w:val="85"/>
          <w:sz w:val="18"/>
        </w:rPr>
        <w:t>prospectives</w:t>
      </w:r>
    </w:p>
    <w:p>
      <w:pPr>
        <w:spacing w:line="240" w:lineRule="auto" w:before="4"/>
        <w:rPr>
          <w:b/>
          <w:i/>
          <w:sz w:val="19"/>
        </w:rPr>
      </w:pPr>
    </w:p>
    <w:p>
      <w:pPr>
        <w:pStyle w:val="BodyText"/>
        <w:spacing w:line="278" w:lineRule="auto"/>
        <w:ind w:left="112" w:right="114"/>
        <w:jc w:val="both"/>
      </w:pPr>
      <w:r>
        <w:rPr>
          <w:w w:val="95"/>
        </w:rPr>
        <w:t>Ce communiqué de presse peut contenir des déclarations prospectives. Ces déclarations prospectives peuvent</w:t>
      </w:r>
      <w:r>
        <w:rPr>
          <w:spacing w:val="1"/>
          <w:w w:val="95"/>
        </w:rPr>
        <w:t> </w:t>
      </w:r>
      <w:r>
        <w:rPr/>
        <w:t>être</w:t>
      </w:r>
      <w:r>
        <w:rPr>
          <w:spacing w:val="19"/>
        </w:rPr>
        <w:t> </w:t>
      </w:r>
      <w:r>
        <w:rPr/>
        <w:t>identifiées</w:t>
      </w:r>
      <w:r>
        <w:rPr>
          <w:spacing w:val="19"/>
        </w:rPr>
        <w:t> </w:t>
      </w:r>
      <w:r>
        <w:rPr/>
        <w:t>à</w:t>
      </w:r>
      <w:r>
        <w:rPr>
          <w:spacing w:val="19"/>
        </w:rPr>
        <w:t> </w:t>
      </w:r>
      <w:r>
        <w:rPr/>
        <w:t>l’aide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17"/>
        </w:rPr>
        <w:t> </w:t>
      </w:r>
      <w:r>
        <w:rPr/>
        <w:t>terminologie</w:t>
      </w:r>
      <w:r>
        <w:rPr>
          <w:spacing w:val="19"/>
        </w:rPr>
        <w:t> </w:t>
      </w:r>
      <w:r>
        <w:rPr/>
        <w:t>prospective,</w:t>
      </w:r>
      <w:r>
        <w:rPr>
          <w:spacing w:val="20"/>
        </w:rPr>
        <w:t> </w:t>
      </w:r>
      <w:r>
        <w:rPr/>
        <w:t>notamment</w:t>
      </w:r>
      <w:r>
        <w:rPr>
          <w:spacing w:val="21"/>
        </w:rPr>
        <w:t> </w:t>
      </w:r>
      <w:r>
        <w:rPr/>
        <w:t>les</w:t>
      </w:r>
      <w:r>
        <w:rPr>
          <w:spacing w:val="17"/>
        </w:rPr>
        <w:t> </w:t>
      </w:r>
      <w:r>
        <w:rPr/>
        <w:t>termes</w:t>
      </w:r>
      <w:r>
        <w:rPr>
          <w:spacing w:val="19"/>
        </w:rPr>
        <w:t> </w:t>
      </w:r>
      <w:r>
        <w:rPr/>
        <w:t>«croire»,</w:t>
      </w:r>
      <w:r>
        <w:rPr>
          <w:spacing w:val="21"/>
        </w:rPr>
        <w:t> </w:t>
      </w:r>
      <w:r>
        <w:rPr/>
        <w:t>«s’attendre</w:t>
      </w:r>
      <w:r>
        <w:rPr>
          <w:spacing w:val="20"/>
        </w:rPr>
        <w:t> </w:t>
      </w:r>
      <w:r>
        <w:rPr/>
        <w:t>à»,</w:t>
      </w:r>
    </w:p>
    <w:p>
      <w:pPr>
        <w:pStyle w:val="BodyText"/>
        <w:spacing w:line="278" w:lineRule="auto"/>
        <w:ind w:left="112" w:right="109"/>
        <w:jc w:val="both"/>
      </w:pPr>
      <w:r>
        <w:rPr>
          <w:w w:val="90"/>
        </w:rPr>
        <w:t>«anticiper», «peut», «présumer», «planifier», «avoir l’intention de», «sera», «devrait», «estimation», «risque» et/ou,</w:t>
      </w:r>
      <w:r>
        <w:rPr>
          <w:spacing w:val="-55"/>
          <w:w w:val="90"/>
        </w:rPr>
        <w:t> </w:t>
      </w:r>
      <w:r>
        <w:rPr/>
        <w:t>dans chaque cas, leur contraire, ou d’autres variantes ou terminologie comparable. Ces déclarations</w:t>
      </w:r>
      <w:r>
        <w:rPr>
          <w:spacing w:val="1"/>
        </w:rPr>
        <w:t> </w:t>
      </w:r>
      <w:r>
        <w:rPr/>
        <w:t>prospectives comprennent tout sujet qui ne porte pas sur des faits historiques et incluent des déclarations</w:t>
      </w:r>
      <w:r>
        <w:rPr>
          <w:spacing w:val="-62"/>
        </w:rPr>
        <w:t> </w:t>
      </w:r>
      <w:r>
        <w:rPr/>
        <w:t>relatives</w:t>
      </w:r>
      <w:r>
        <w:rPr>
          <w:spacing w:val="-8"/>
        </w:rPr>
        <w:t> </w:t>
      </w:r>
      <w:r>
        <w:rPr/>
        <w:t>aux</w:t>
      </w:r>
      <w:r>
        <w:rPr>
          <w:spacing w:val="-7"/>
        </w:rPr>
        <w:t> </w:t>
      </w:r>
      <w:r>
        <w:rPr/>
        <w:t>intentions,</w:t>
      </w:r>
      <w:r>
        <w:rPr>
          <w:spacing w:val="-6"/>
        </w:rPr>
        <w:t> </w:t>
      </w:r>
      <w:r>
        <w:rPr/>
        <w:t>aux</w:t>
      </w:r>
      <w:r>
        <w:rPr>
          <w:spacing w:val="-9"/>
        </w:rPr>
        <w:t> </w:t>
      </w:r>
      <w:r>
        <w:rPr/>
        <w:t>convictions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aux</w:t>
      </w:r>
      <w:r>
        <w:rPr>
          <w:spacing w:val="-7"/>
        </w:rPr>
        <w:t> </w:t>
      </w:r>
      <w:r>
        <w:rPr/>
        <w:t>attentes</w:t>
      </w:r>
      <w:r>
        <w:rPr>
          <w:spacing w:val="-8"/>
        </w:rPr>
        <w:t> </w:t>
      </w:r>
      <w:r>
        <w:rPr/>
        <w:t>actuelles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Groupe</w:t>
      </w:r>
      <w:r>
        <w:rPr>
          <w:spacing w:val="-6"/>
        </w:rPr>
        <w:t> </w:t>
      </w:r>
      <w:r>
        <w:rPr/>
        <w:t>Casino,</w:t>
      </w:r>
      <w:r>
        <w:rPr>
          <w:spacing w:val="-8"/>
        </w:rPr>
        <w:t> </w:t>
      </w:r>
      <w:r>
        <w:rPr/>
        <w:t>notamment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ce</w:t>
      </w:r>
      <w:r>
        <w:rPr>
          <w:spacing w:val="-6"/>
        </w:rPr>
        <w:t> </w:t>
      </w:r>
      <w:r>
        <w:rPr/>
        <w:t>qui</w:t>
      </w:r>
      <w:r>
        <w:rPr>
          <w:spacing w:val="-61"/>
        </w:rPr>
        <w:t> </w:t>
      </w:r>
      <w:r>
        <w:rPr>
          <w:w w:val="95"/>
        </w:rPr>
        <w:t>concerne les plans, les objectifs, les hypothèses, les attentes, les perspectives et prévisions du Groupe Casino,</w:t>
      </w:r>
      <w:r>
        <w:rPr>
          <w:spacing w:val="1"/>
          <w:w w:val="95"/>
        </w:rPr>
        <w:t> </w:t>
      </w:r>
      <w:r>
        <w:rPr>
          <w:w w:val="95"/>
        </w:rPr>
        <w:t>et des déclarations concernant d’autres événements ou perspectives futurs. De par leur nature, les déclarations</w:t>
      </w:r>
      <w:r>
        <w:rPr>
          <w:spacing w:val="-58"/>
          <w:w w:val="95"/>
        </w:rPr>
        <w:t> </w:t>
      </w:r>
      <w:r>
        <w:rPr>
          <w:w w:val="95"/>
        </w:rPr>
        <w:t>prospectives impliquent des risques et des incertitudes car elles concernent des événements et dépendent de</w:t>
      </w:r>
      <w:r>
        <w:rPr>
          <w:spacing w:val="1"/>
          <w:w w:val="95"/>
        </w:rPr>
        <w:t> </w:t>
      </w:r>
      <w:r>
        <w:rPr>
          <w:spacing w:val="-1"/>
        </w:rPr>
        <w:t>circonstances</w:t>
      </w:r>
      <w:r>
        <w:rPr>
          <w:spacing w:val="-14"/>
        </w:rPr>
        <w:t> </w:t>
      </w:r>
      <w:r>
        <w:rPr>
          <w:spacing w:val="-1"/>
        </w:rPr>
        <w:t>susceptibles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survenir</w:t>
      </w:r>
      <w:r>
        <w:rPr>
          <w:spacing w:val="-12"/>
        </w:rPr>
        <w:t> </w:t>
      </w:r>
      <w:r>
        <w:rPr>
          <w:spacing w:val="-1"/>
        </w:rPr>
        <w:t>ou</w:t>
      </w:r>
      <w:r>
        <w:rPr>
          <w:spacing w:val="-14"/>
        </w:rPr>
        <w:t> </w:t>
      </w:r>
      <w:r>
        <w:rPr>
          <w:spacing w:val="-1"/>
        </w:rPr>
        <w:t>non</w:t>
      </w:r>
      <w:r>
        <w:rPr>
          <w:spacing w:val="-15"/>
        </w:rPr>
        <w:t> </w:t>
      </w:r>
      <w:r>
        <w:rPr>
          <w:spacing w:val="-1"/>
        </w:rPr>
        <w:t>à</w:t>
      </w:r>
      <w:r>
        <w:rPr>
          <w:spacing w:val="-14"/>
        </w:rPr>
        <w:t> </w:t>
      </w:r>
      <w:r>
        <w:rPr>
          <w:spacing w:val="-1"/>
        </w:rPr>
        <w:t>l'avenir.</w:t>
      </w:r>
      <w:r>
        <w:rPr>
          <w:spacing w:val="-14"/>
        </w:rPr>
        <w:t> </w:t>
      </w:r>
      <w:r>
        <w:rPr>
          <w:spacing w:val="-1"/>
        </w:rPr>
        <w:t>Les</w:t>
      </w:r>
      <w:r>
        <w:rPr>
          <w:spacing w:val="-15"/>
        </w:rPr>
        <w:t> </w:t>
      </w:r>
      <w:r>
        <w:rPr/>
        <w:t>déclarations</w:t>
      </w:r>
      <w:r>
        <w:rPr>
          <w:spacing w:val="-13"/>
        </w:rPr>
        <w:t> </w:t>
      </w:r>
      <w:r>
        <w:rPr/>
        <w:t>prospectives</w:t>
      </w:r>
      <w:r>
        <w:rPr>
          <w:spacing w:val="-15"/>
        </w:rPr>
        <w:t> </w:t>
      </w:r>
      <w:r>
        <w:rPr/>
        <w:t>reflètent</w:t>
      </w:r>
      <w:r>
        <w:rPr>
          <w:spacing w:val="-14"/>
        </w:rPr>
        <w:t> </w:t>
      </w:r>
      <w:r>
        <w:rPr/>
        <w:t>les</w:t>
      </w:r>
      <w:r>
        <w:rPr>
          <w:spacing w:val="-13"/>
        </w:rPr>
        <w:t> </w:t>
      </w:r>
      <w:r>
        <w:rPr/>
        <w:t>attentes,</w:t>
      </w:r>
      <w:r>
        <w:rPr>
          <w:spacing w:val="-61"/>
        </w:rPr>
        <w:t> </w:t>
      </w:r>
      <w:r>
        <w:rPr/>
        <w:t>intentions ou prévisions actuelles du Groupe Casino concernant des événements futurs, fondées sur les</w:t>
      </w:r>
      <w:r>
        <w:rPr>
          <w:spacing w:val="1"/>
        </w:rPr>
        <w:t> </w:t>
      </w:r>
      <w:r>
        <w:rPr>
          <w:w w:val="95"/>
        </w:rPr>
        <w:t>informations</w:t>
      </w:r>
      <w:r>
        <w:rPr>
          <w:spacing w:val="-9"/>
          <w:w w:val="95"/>
        </w:rPr>
        <w:t> </w:t>
      </w:r>
      <w:r>
        <w:rPr>
          <w:w w:val="95"/>
        </w:rPr>
        <w:t>actuellement</w:t>
      </w:r>
      <w:r>
        <w:rPr>
          <w:spacing w:val="-6"/>
          <w:w w:val="95"/>
        </w:rPr>
        <w:t> </w:t>
      </w:r>
      <w:r>
        <w:rPr>
          <w:w w:val="95"/>
        </w:rPr>
        <w:t>disponibles</w:t>
      </w:r>
      <w:r>
        <w:rPr>
          <w:spacing w:val="-9"/>
          <w:w w:val="95"/>
        </w:rPr>
        <w:t> </w:t>
      </w:r>
      <w:r>
        <w:rPr>
          <w:w w:val="95"/>
        </w:rPr>
        <w:t>et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11"/>
          <w:w w:val="95"/>
        </w:rPr>
        <w:t> </w:t>
      </w:r>
      <w:r>
        <w:rPr>
          <w:w w:val="95"/>
        </w:rPr>
        <w:t>hypothèses</w:t>
      </w:r>
      <w:r>
        <w:rPr>
          <w:spacing w:val="-12"/>
          <w:w w:val="95"/>
        </w:rPr>
        <w:t> </w:t>
      </w:r>
      <w:r>
        <w:rPr>
          <w:w w:val="95"/>
        </w:rPr>
        <w:t>formulées</w:t>
      </w:r>
      <w:r>
        <w:rPr>
          <w:spacing w:val="-9"/>
          <w:w w:val="95"/>
        </w:rPr>
        <w:t> </w:t>
      </w:r>
      <w:r>
        <w:rPr>
          <w:w w:val="95"/>
        </w:rPr>
        <w:t>par</w:t>
      </w:r>
      <w:r>
        <w:rPr>
          <w:spacing w:val="-11"/>
          <w:w w:val="95"/>
        </w:rPr>
        <w:t> </w:t>
      </w:r>
      <w:r>
        <w:rPr>
          <w:w w:val="95"/>
        </w:rPr>
        <w:t>le</w:t>
      </w:r>
      <w:r>
        <w:rPr>
          <w:spacing w:val="-7"/>
          <w:w w:val="95"/>
        </w:rPr>
        <w:t> </w:t>
      </w:r>
      <w:r>
        <w:rPr>
          <w:w w:val="95"/>
        </w:rPr>
        <w:t>Groupe</w:t>
      </w:r>
      <w:r>
        <w:rPr>
          <w:spacing w:val="-8"/>
          <w:w w:val="95"/>
        </w:rPr>
        <w:t> </w:t>
      </w:r>
      <w:r>
        <w:rPr>
          <w:w w:val="95"/>
        </w:rPr>
        <w:t>Casino.</w:t>
      </w:r>
    </w:p>
    <w:p>
      <w:pPr>
        <w:spacing w:line="240" w:lineRule="auto" w:before="5"/>
        <w:rPr>
          <w:i/>
          <w:sz w:val="16"/>
        </w:rPr>
      </w:pPr>
    </w:p>
    <w:p>
      <w:pPr>
        <w:pStyle w:val="BodyText"/>
        <w:spacing w:line="278" w:lineRule="auto"/>
        <w:ind w:left="112" w:right="110"/>
        <w:jc w:val="both"/>
      </w:pPr>
      <w:r>
        <w:rPr/>
        <w:t>Les déclarations prospectives et les informations contenues dans cette annonce sont faites à la date des</w:t>
      </w:r>
      <w:r>
        <w:rPr>
          <w:spacing w:val="1"/>
        </w:rPr>
        <w:t> </w:t>
      </w:r>
      <w:r>
        <w:rPr>
          <w:w w:val="95"/>
        </w:rPr>
        <w:t>présentes et le Groupe Casino n’assume aucune obligation de mettre à jour publiquement ou de réviser toute</w:t>
      </w:r>
      <w:r>
        <w:rPr>
          <w:spacing w:val="1"/>
          <w:w w:val="95"/>
        </w:rPr>
        <w:t> </w:t>
      </w:r>
      <w:r>
        <w:rPr>
          <w:w w:val="95"/>
        </w:rPr>
        <w:t>déclaration</w:t>
      </w:r>
      <w:r>
        <w:rPr>
          <w:spacing w:val="-5"/>
          <w:w w:val="95"/>
        </w:rPr>
        <w:t> </w:t>
      </w:r>
      <w:r>
        <w:rPr>
          <w:w w:val="95"/>
        </w:rPr>
        <w:t>ou</w:t>
      </w:r>
      <w:r>
        <w:rPr>
          <w:spacing w:val="-8"/>
          <w:w w:val="95"/>
        </w:rPr>
        <w:t> </w:t>
      </w:r>
      <w:r>
        <w:rPr>
          <w:w w:val="95"/>
        </w:rPr>
        <w:t>information</w:t>
      </w:r>
      <w:r>
        <w:rPr>
          <w:spacing w:val="-7"/>
          <w:w w:val="95"/>
        </w:rPr>
        <w:t> </w:t>
      </w:r>
      <w:r>
        <w:rPr>
          <w:w w:val="95"/>
        </w:rPr>
        <w:t>prospective,</w:t>
      </w:r>
      <w:r>
        <w:rPr>
          <w:spacing w:val="-2"/>
          <w:w w:val="95"/>
        </w:rPr>
        <w:t> </w:t>
      </w:r>
      <w:r>
        <w:rPr>
          <w:w w:val="95"/>
        </w:rPr>
        <w:t>que</w:t>
      </w:r>
      <w:r>
        <w:rPr>
          <w:spacing w:val="-5"/>
          <w:w w:val="95"/>
        </w:rPr>
        <w:t> </w:t>
      </w:r>
      <w:r>
        <w:rPr>
          <w:w w:val="95"/>
        </w:rPr>
        <w:t>ce</w:t>
      </w:r>
      <w:r>
        <w:rPr>
          <w:spacing w:val="-5"/>
          <w:w w:val="95"/>
        </w:rPr>
        <w:t> </w:t>
      </w:r>
      <w:r>
        <w:rPr>
          <w:w w:val="95"/>
        </w:rPr>
        <w:t>soit à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suite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nouvelles</w:t>
      </w:r>
      <w:r>
        <w:rPr>
          <w:spacing w:val="-5"/>
          <w:w w:val="95"/>
        </w:rPr>
        <w:t> </w:t>
      </w:r>
      <w:r>
        <w:rPr>
          <w:w w:val="95"/>
        </w:rPr>
        <w:t>informations,</w:t>
      </w:r>
      <w:r>
        <w:rPr>
          <w:spacing w:val="-1"/>
          <w:w w:val="95"/>
        </w:rPr>
        <w:t> </w:t>
      </w:r>
      <w:r>
        <w:rPr>
          <w:w w:val="95"/>
        </w:rPr>
        <w:t>d'événements</w:t>
      </w:r>
      <w:r>
        <w:rPr>
          <w:spacing w:val="-9"/>
          <w:w w:val="95"/>
        </w:rPr>
        <w:t> </w:t>
      </w:r>
      <w:r>
        <w:rPr>
          <w:w w:val="95"/>
        </w:rPr>
        <w:t>futurs</w:t>
      </w:r>
      <w:r>
        <w:rPr>
          <w:spacing w:val="-5"/>
          <w:w w:val="95"/>
        </w:rPr>
        <w:t> </w:t>
      </w:r>
      <w:r>
        <w:rPr>
          <w:w w:val="95"/>
        </w:rPr>
        <w:t>ou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toute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autre</w:t>
      </w:r>
      <w:r>
        <w:rPr>
          <w:spacing w:val="-17"/>
          <w:w w:val="95"/>
        </w:rPr>
        <w:t> </w:t>
      </w:r>
      <w:r>
        <w:rPr>
          <w:w w:val="95"/>
        </w:rPr>
        <w:t>manière,</w:t>
      </w:r>
      <w:r>
        <w:rPr>
          <w:spacing w:val="-14"/>
          <w:w w:val="95"/>
        </w:rPr>
        <w:t> </w:t>
      </w:r>
      <w:r>
        <w:rPr>
          <w:w w:val="95"/>
        </w:rPr>
        <w:t>sauf</w:t>
      </w:r>
      <w:r>
        <w:rPr>
          <w:spacing w:val="-14"/>
          <w:w w:val="95"/>
        </w:rPr>
        <w:t> </w:t>
      </w:r>
      <w:r>
        <w:rPr>
          <w:w w:val="95"/>
        </w:rPr>
        <w:t>si</w:t>
      </w:r>
      <w:r>
        <w:rPr>
          <w:spacing w:val="-18"/>
          <w:w w:val="95"/>
        </w:rPr>
        <w:t> </w:t>
      </w:r>
      <w:r>
        <w:rPr>
          <w:w w:val="95"/>
        </w:rPr>
        <w:t>requis</w:t>
      </w:r>
      <w:r>
        <w:rPr>
          <w:spacing w:val="-18"/>
          <w:w w:val="95"/>
        </w:rPr>
        <w:t> </w:t>
      </w:r>
      <w:r>
        <w:rPr>
          <w:w w:val="95"/>
        </w:rPr>
        <w:t>par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loi.</w:t>
      </w:r>
      <w:r>
        <w:rPr>
          <w:spacing w:val="-19"/>
          <w:w w:val="95"/>
        </w:rPr>
        <w:t> </w:t>
      </w:r>
      <w:r>
        <w:rPr>
          <w:w w:val="95"/>
        </w:rPr>
        <w:t>Toutes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18"/>
          <w:w w:val="95"/>
        </w:rPr>
        <w:t> </w:t>
      </w:r>
      <w:r>
        <w:rPr>
          <w:w w:val="95"/>
        </w:rPr>
        <w:t>déclarations</w:t>
      </w:r>
      <w:r>
        <w:rPr>
          <w:spacing w:val="-18"/>
          <w:w w:val="95"/>
        </w:rPr>
        <w:t> </w:t>
      </w:r>
      <w:r>
        <w:rPr>
          <w:w w:val="95"/>
        </w:rPr>
        <w:t>prospectives</w:t>
      </w:r>
      <w:r>
        <w:rPr>
          <w:spacing w:val="-18"/>
          <w:w w:val="95"/>
        </w:rPr>
        <w:t> </w:t>
      </w:r>
      <w:r>
        <w:rPr>
          <w:w w:val="95"/>
        </w:rPr>
        <w:t>ultérieures,</w:t>
      </w:r>
      <w:r>
        <w:rPr>
          <w:spacing w:val="-11"/>
          <w:w w:val="95"/>
        </w:rPr>
        <w:t> </w:t>
      </w:r>
      <w:r>
        <w:rPr>
          <w:w w:val="95"/>
        </w:rPr>
        <w:t>écrites</w:t>
      </w:r>
      <w:r>
        <w:rPr>
          <w:spacing w:val="-18"/>
          <w:w w:val="95"/>
        </w:rPr>
        <w:t> </w:t>
      </w:r>
      <w:r>
        <w:rPr>
          <w:w w:val="95"/>
        </w:rPr>
        <w:t>ou</w:t>
      </w:r>
      <w:r>
        <w:rPr>
          <w:spacing w:val="-14"/>
          <w:w w:val="95"/>
        </w:rPr>
        <w:t> </w:t>
      </w:r>
      <w:r>
        <w:rPr>
          <w:w w:val="95"/>
        </w:rPr>
        <w:t>orales,</w:t>
      </w:r>
      <w:r>
        <w:rPr>
          <w:spacing w:val="1"/>
          <w:w w:val="95"/>
        </w:rPr>
        <w:t> </w:t>
      </w:r>
      <w:r>
        <w:rPr>
          <w:w w:val="95"/>
        </w:rPr>
        <w:t>attribuables au Groupe Casino ou à des personnes agissant au nom du Groupe Casino, y compris, mais sans s'y</w:t>
      </w:r>
      <w:r>
        <w:rPr>
          <w:spacing w:val="-59"/>
          <w:w w:val="95"/>
        </w:rPr>
        <w:t> </w:t>
      </w:r>
      <w:r>
        <w:rPr/>
        <w:t>limiter, les communiqués de presse (y compris sur le site web du Groupe Casino), les rapports et autres</w:t>
      </w:r>
      <w:r>
        <w:rPr>
          <w:spacing w:val="1"/>
        </w:rPr>
        <w:t> </w:t>
      </w:r>
      <w:r>
        <w:rPr/>
        <w:t>communications,</w:t>
      </w:r>
      <w:r>
        <w:rPr>
          <w:spacing w:val="-2"/>
        </w:rPr>
        <w:t> </w:t>
      </w:r>
      <w:r>
        <w:rPr/>
        <w:t>sont</w:t>
      </w:r>
      <w:r>
        <w:rPr>
          <w:spacing w:val="-3"/>
        </w:rPr>
        <w:t> </w:t>
      </w:r>
      <w:r>
        <w:rPr/>
        <w:t>expressément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intégralement</w:t>
      </w:r>
      <w:r>
        <w:rPr>
          <w:spacing w:val="-5"/>
        </w:rPr>
        <w:t> </w:t>
      </w:r>
      <w:r>
        <w:rPr/>
        <w:t>couvertes</w:t>
      </w:r>
      <w:r>
        <w:rPr>
          <w:spacing w:val="-4"/>
        </w:rPr>
        <w:t> </w:t>
      </w:r>
      <w:r>
        <w:rPr/>
        <w:t>par</w:t>
      </w:r>
      <w:r>
        <w:rPr>
          <w:spacing w:val="-5"/>
        </w:rPr>
        <w:t> </w:t>
      </w:r>
      <w:r>
        <w:rPr/>
        <w:t>les</w:t>
      </w:r>
      <w:r>
        <w:rPr>
          <w:spacing w:val="-4"/>
        </w:rPr>
        <w:t> </w:t>
      </w:r>
      <w:r>
        <w:rPr/>
        <w:t>mises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garde</w:t>
      </w:r>
      <w:r>
        <w:rPr>
          <w:spacing w:val="-3"/>
        </w:rPr>
        <w:t> </w:t>
      </w:r>
      <w:r>
        <w:rPr/>
        <w:t>contenues</w:t>
      </w:r>
      <w:r>
        <w:rPr>
          <w:spacing w:val="-4"/>
        </w:rPr>
        <w:t> </w:t>
      </w:r>
      <w:r>
        <w:rPr/>
        <w:t>dans</w:t>
      </w:r>
      <w:r>
        <w:rPr>
          <w:spacing w:val="-6"/>
        </w:rPr>
        <w:t> </w:t>
      </w:r>
      <w:r>
        <w:rPr/>
        <w:t>le</w:t>
      </w:r>
      <w:r>
        <w:rPr>
          <w:spacing w:val="-61"/>
        </w:rPr>
        <w:t> </w:t>
      </w:r>
      <w:r>
        <w:rPr/>
        <w:t>présent</w:t>
      </w:r>
      <w:r>
        <w:rPr>
          <w:spacing w:val="-13"/>
        </w:rPr>
        <w:t> </w:t>
      </w:r>
      <w:r>
        <w:rPr/>
        <w:t>communiqué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presse.</w:t>
      </w:r>
    </w:p>
    <w:p>
      <w:pPr>
        <w:spacing w:line="240" w:lineRule="auto" w:before="0"/>
        <w:rPr>
          <w:i/>
          <w:sz w:val="9"/>
        </w:rPr>
      </w:pPr>
    </w:p>
    <w:p>
      <w:pPr>
        <w:spacing w:before="92"/>
        <w:ind w:left="1619" w:right="162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***</w:t>
      </w:r>
    </w:p>
    <w:p>
      <w:pPr>
        <w:pStyle w:val="BodyText"/>
        <w:spacing w:before="10"/>
        <w:rPr>
          <w:rFonts w:ascii="Arial"/>
          <w:b/>
          <w:i w:val="0"/>
          <w:sz w:val="20"/>
        </w:rPr>
      </w:pPr>
    </w:p>
    <w:p>
      <w:pPr>
        <w:spacing w:before="0"/>
        <w:ind w:left="1618" w:right="162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 ANALYSTES</w:t>
      </w:r>
      <w:r>
        <w:rPr>
          <w:rFonts w:ascii="Arial"/>
          <w:b/>
          <w:color w:val="6460A9"/>
          <w:spacing w:val="-4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5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line="244" w:lineRule="auto" w:before="46"/>
        <w:ind w:left="2709" w:right="2713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3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7"/>
          <w:w w:val="85"/>
          <w:sz w:val="20"/>
        </w:rPr>
        <w:t> </w:t>
      </w:r>
      <w:hyperlink r:id="rId7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pStyle w:val="Heading3"/>
        <w:spacing w:line="239" w:lineRule="exact"/>
      </w:pPr>
      <w:r>
        <w:rPr/>
        <w:t>ou</w:t>
      </w:r>
    </w:p>
    <w:p>
      <w:pPr>
        <w:spacing w:before="38"/>
        <w:ind w:left="1618" w:right="1621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0"/>
        <w:ind w:left="1937" w:right="1941" w:firstLine="0"/>
        <w:jc w:val="center"/>
        <w:rPr>
          <w:sz w:val="20"/>
        </w:rPr>
      </w:pPr>
      <w:r>
        <w:rPr/>
        <w:pict>
          <v:rect style="position:absolute;margin-left:229.919998pt;margin-top:13.006996pt;width:135.239pt;height:.6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hyperlink r:id="rId8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74"/>
            <w:sz w:val="20"/>
          </w:rPr>
          <w:t>s</w:t>
        </w:r>
        <w:r>
          <w:rPr>
            <w:w w:val="88"/>
            <w:sz w:val="20"/>
          </w:rPr>
          <w:t>in</w:t>
        </w:r>
        <w:r>
          <w:rPr>
            <w:spacing w:val="-1"/>
            <w:w w:val="107"/>
            <w:sz w:val="20"/>
          </w:rPr>
          <w:t>o</w:t>
        </w:r>
        <w:r>
          <w:rPr>
            <w:w w:val="86"/>
            <w:sz w:val="20"/>
          </w:rPr>
          <w:t>@</w:t>
        </w:r>
        <w:r>
          <w:rPr>
            <w:w w:val="107"/>
            <w:sz w:val="20"/>
          </w:rPr>
          <w:t>g</w:t>
        </w:r>
        <w:r>
          <w:rPr>
            <w:w w:val="70"/>
            <w:sz w:val="20"/>
          </w:rPr>
          <w:t>r</w:t>
        </w:r>
        <w:r>
          <w:rPr>
            <w:spacing w:val="1"/>
            <w:w w:val="107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8"/>
            <w:sz w:val="20"/>
          </w:rPr>
          <w:t>pe</w:t>
        </w:r>
        <w:r>
          <w:rPr>
            <w:w w:val="72"/>
            <w:sz w:val="20"/>
          </w:rPr>
          <w:t>-</w:t>
        </w:r>
        <w:r>
          <w:rPr>
            <w:w w:val="104"/>
            <w:sz w:val="20"/>
          </w:rPr>
          <w:t>ca</w:t>
        </w:r>
        <w:r>
          <w:rPr>
            <w:spacing w:val="-1"/>
            <w:w w:val="104"/>
            <w:sz w:val="20"/>
          </w:rPr>
          <w:t>s</w:t>
        </w:r>
        <w:r>
          <w:rPr>
            <w:w w:val="72"/>
            <w:sz w:val="20"/>
          </w:rPr>
          <w:t>i</w:t>
        </w:r>
        <w:r>
          <w:rPr>
            <w:w w:val="101"/>
            <w:sz w:val="20"/>
          </w:rPr>
          <w:t>n</w:t>
        </w:r>
        <w:r>
          <w:rPr>
            <w:spacing w:val="1"/>
            <w:w w:val="101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spacing w:val="-1"/>
            <w:w w:val="88"/>
            <w:sz w:val="20"/>
          </w:rPr>
          <w:t>f</w:t>
        </w:r>
        <w:r>
          <w:rPr>
            <w:w w:val="70"/>
            <w:sz w:val="20"/>
          </w:rPr>
          <w:t>r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7"/>
        </w:rPr>
      </w:pPr>
    </w:p>
    <w:p>
      <w:pPr>
        <w:pStyle w:val="Heading1"/>
        <w:ind w:right="1613"/>
      </w:pPr>
      <w:r>
        <w:rPr>
          <w:color w:val="6460A9"/>
          <w:spacing w:val="-9"/>
        </w:rPr>
        <w:t>CONTACTS</w:t>
      </w:r>
      <w:r>
        <w:rPr>
          <w:color w:val="6460A9"/>
          <w:spacing w:val="-18"/>
        </w:rPr>
        <w:t> </w:t>
      </w:r>
      <w:r>
        <w:rPr>
          <w:color w:val="6460A9"/>
          <w:spacing w:val="-9"/>
        </w:rPr>
        <w:t>PRESSE</w:t>
      </w:r>
    </w:p>
    <w:p>
      <w:pPr>
        <w:pStyle w:val="Heading3"/>
        <w:spacing w:before="9"/>
        <w:ind w:left="1616"/>
      </w:pPr>
      <w:r>
        <w:rPr>
          <w:w w:val="95"/>
        </w:rPr>
        <w:t>Groupe</w:t>
      </w:r>
      <w:r>
        <w:rPr>
          <w:spacing w:val="18"/>
          <w:w w:val="95"/>
        </w:rPr>
        <w:t> </w:t>
      </w:r>
      <w:r>
        <w:rPr>
          <w:w w:val="95"/>
        </w:rPr>
        <w:t>Casino</w:t>
      </w:r>
      <w:r>
        <w:rPr>
          <w:spacing w:val="19"/>
          <w:w w:val="95"/>
        </w:rPr>
        <w:t> </w:t>
      </w:r>
      <w:r>
        <w:rPr>
          <w:w w:val="95"/>
        </w:rPr>
        <w:t>–</w:t>
      </w:r>
      <w:r>
        <w:rPr>
          <w:spacing w:val="21"/>
          <w:w w:val="95"/>
        </w:rPr>
        <w:t> </w:t>
      </w:r>
      <w:r>
        <w:rPr>
          <w:w w:val="95"/>
        </w:rPr>
        <w:t>Direction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20"/>
          <w:w w:val="95"/>
        </w:rPr>
        <w:t> </w:t>
      </w:r>
      <w:r>
        <w:rPr>
          <w:w w:val="95"/>
        </w:rPr>
        <w:t>Communication</w:t>
      </w:r>
    </w:p>
    <w:p>
      <w:pPr>
        <w:spacing w:before="4"/>
        <w:ind w:left="1618" w:right="1621" w:firstLine="0"/>
        <w:jc w:val="center"/>
        <w:rPr>
          <w:sz w:val="20"/>
        </w:rPr>
      </w:pPr>
      <w:r>
        <w:rPr>
          <w:rFonts w:ascii="Tahoma"/>
          <w:b/>
          <w:w w:val="90"/>
          <w:sz w:val="20"/>
        </w:rPr>
        <w:t>Nicolas</w:t>
      </w:r>
      <w:r>
        <w:rPr>
          <w:rFonts w:ascii="Tahoma"/>
          <w:b/>
          <w:spacing w:val="18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BOUDOT</w:t>
      </w:r>
      <w:r>
        <w:rPr>
          <w:rFonts w:ascii="Tahoma"/>
          <w:b/>
          <w:spacing w:val="1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4"/>
          <w:w w:val="90"/>
          <w:sz w:val="20"/>
        </w:rPr>
        <w:t> </w:t>
      </w:r>
      <w:hyperlink r:id="rId9">
        <w:r>
          <w:rPr>
            <w:color w:val="0000FF"/>
            <w:w w:val="90"/>
            <w:sz w:val="20"/>
            <w:u w:val="single" w:color="0000FF"/>
          </w:rPr>
          <w:t>nboudot@groupe-casino.fr</w:t>
        </w:r>
        <w:r>
          <w:rPr>
            <w:color w:val="0000FF"/>
            <w:spacing w:val="3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33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79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61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40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99</w:t>
      </w:r>
    </w:p>
    <w:p>
      <w:pPr>
        <w:pStyle w:val="Heading3"/>
        <w:spacing w:before="3"/>
      </w:pPr>
      <w:r>
        <w:rPr/>
        <w:t>ou</w:t>
      </w:r>
    </w:p>
    <w:p>
      <w:pPr>
        <w:spacing w:before="3"/>
        <w:ind w:left="1619" w:right="1621" w:firstLine="0"/>
        <w:jc w:val="center"/>
        <w:rPr>
          <w:sz w:val="20"/>
        </w:rPr>
      </w:pPr>
      <w:r>
        <w:rPr>
          <w:w w:val="90"/>
          <w:sz w:val="20"/>
        </w:rPr>
        <w:t>+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33(0)1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53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65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24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78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26"/>
          <w:w w:val="90"/>
          <w:sz w:val="20"/>
        </w:rPr>
        <w:t> </w:t>
      </w:r>
      <w:hyperlink r:id="rId10">
        <w:r>
          <w:rPr>
            <w:color w:val="0000FF"/>
            <w:w w:val="90"/>
            <w:sz w:val="20"/>
            <w:u w:val="single" w:color="0000FF"/>
          </w:rPr>
          <w:t>directiondelacommunication@groupe-casino.fr</w:t>
        </w:r>
      </w:hyperlink>
    </w:p>
    <w:p>
      <w:pPr>
        <w:spacing w:line="240" w:lineRule="auto" w:before="1"/>
        <w:rPr>
          <w:sz w:val="12"/>
        </w:rPr>
      </w:pPr>
    </w:p>
    <w:p>
      <w:pPr>
        <w:pStyle w:val="Heading3"/>
        <w:spacing w:before="100"/>
        <w:ind w:left="1937" w:right="1941"/>
      </w:pPr>
      <w:r>
        <w:rPr/>
        <w:t>Agence</w:t>
      </w:r>
      <w:r>
        <w:rPr>
          <w:spacing w:val="-4"/>
        </w:rPr>
        <w:t> </w:t>
      </w:r>
      <w:r>
        <w:rPr/>
        <w:t>IMAGE</w:t>
      </w:r>
      <w:r>
        <w:rPr>
          <w:spacing w:val="-2"/>
        </w:rPr>
        <w:t> </w:t>
      </w:r>
      <w:r>
        <w:rPr/>
        <w:t>7</w:t>
      </w:r>
    </w:p>
    <w:p>
      <w:pPr>
        <w:spacing w:before="3"/>
        <w:ind w:left="1616" w:right="1621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(0)6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11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59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23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1"/>
          <w:w w:val="85"/>
          <w:sz w:val="20"/>
        </w:rPr>
        <w:t> </w:t>
      </w:r>
      <w:hyperlink r:id="rId11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4"/>
        <w:ind w:left="1937" w:right="1941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5"/>
          <w:w w:val="90"/>
          <w:sz w:val="20"/>
        </w:rPr>
        <w:t> </w:t>
      </w:r>
      <w:hyperlink r:id="rId12">
        <w:r>
          <w:rPr>
            <w:color w:val="0000FF"/>
            <w:spacing w:val="-1"/>
            <w:w w:val="90"/>
            <w:sz w:val="20"/>
            <w:u w:val="single" w:color="0000FF"/>
          </w:rPr>
          <w:t>lpoinsot@image7.fr</w:t>
        </w:r>
      </w:hyperlink>
    </w:p>
    <w:p>
      <w:pPr>
        <w:spacing w:before="1"/>
        <w:ind w:left="1618" w:right="1621" w:firstLine="0"/>
        <w:jc w:val="center"/>
        <w:rPr>
          <w:sz w:val="20"/>
        </w:rPr>
      </w:pPr>
      <w:r>
        <w:rPr>
          <w:w w:val="90"/>
          <w:sz w:val="20"/>
        </w:rPr>
        <w:t>Franck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Pasquier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73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62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57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99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hyperlink r:id="rId13">
        <w:r>
          <w:rPr>
            <w:color w:val="0000FF"/>
            <w:w w:val="90"/>
            <w:sz w:val="20"/>
            <w:u w:val="single" w:color="0000FF"/>
          </w:rPr>
          <w:t>fpasquier@image7.fr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0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Vendredi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28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juillet 2023</w:t>
      </w:r>
      <w:r>
        <w:rPr>
          <w:spacing w:val="-1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2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619" w:right="1621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12" w:right="110"/>
      <w:jc w:val="both"/>
      <w:outlineLvl w:val="2"/>
    </w:pPr>
    <w:rPr>
      <w:rFonts w:ascii="Verdana" w:hAnsi="Verdana" w:eastAsia="Verdana" w:cs="Verdana"/>
      <w:sz w:val="22"/>
      <w:szCs w:val="2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618" w:right="1621"/>
      <w:jc w:val="center"/>
      <w:outlineLvl w:val="3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463" w:right="466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07/20230727_Presentation_cleansing_vFR.pdf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nboudot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2023-12-04T15:05:17Z</dcterms:created>
  <dcterms:modified xsi:type="dcterms:W3CDTF">2023-12-04T15:05:17Z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