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721361</wp:posOffset>
            </wp:positionH>
            <wp:positionV relativeFrom="page">
              <wp:posOffset>192078</wp:posOffset>
            </wp:positionV>
            <wp:extent cx="6837043" cy="105003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3" cy="1050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200001pt;margin-top:64.949982pt;width:518.25pt;height:411.3pt;mso-position-horizontal-relative:page;mso-position-vertical-relative:page;z-index:-15795712" filled="false" stroked="true" strokeweight="2pt" strokecolor="#6460a9">
            <v:stroke dashstyle="solid"/>
            <w10:wrap type="none"/>
          </v:rect>
        </w:pict>
      </w:r>
    </w:p>
    <w:p>
      <w:pPr>
        <w:pStyle w:val="Title"/>
        <w:spacing w:line="264" w:lineRule="auto"/>
      </w:pPr>
      <w:r>
        <w:rPr>
          <w:color w:val="6460A9"/>
        </w:rPr>
        <w:t>Point sur les délais de grâce relatifs aux obligations émises par le</w:t>
      </w:r>
      <w:r>
        <w:rPr>
          <w:color w:val="6460A9"/>
          <w:spacing w:val="-75"/>
        </w:rPr>
        <w:t> </w:t>
      </w:r>
      <w:r>
        <w:rPr>
          <w:color w:val="6460A9"/>
        </w:rPr>
        <w:t>groupe Casino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38"/>
        </w:rPr>
      </w:pPr>
    </w:p>
    <w:p>
      <w:pPr>
        <w:pStyle w:val="BodyText"/>
        <w:ind w:left="112"/>
        <w:jc w:val="both"/>
      </w:pPr>
      <w:r>
        <w:rPr>
          <w:w w:val="90"/>
        </w:rPr>
        <w:t>Paris,</w:t>
      </w:r>
      <w:r>
        <w:rPr>
          <w:spacing w:val="-5"/>
          <w:w w:val="90"/>
        </w:rPr>
        <w:t> </w:t>
      </w:r>
      <w:r>
        <w:rPr>
          <w:w w:val="90"/>
        </w:rPr>
        <w:t>le</w:t>
      </w:r>
      <w:r>
        <w:rPr>
          <w:spacing w:val="-3"/>
          <w:w w:val="90"/>
        </w:rPr>
        <w:t> </w:t>
      </w:r>
      <w:r>
        <w:rPr>
          <w:w w:val="90"/>
        </w:rPr>
        <w:t>25</w:t>
      </w:r>
      <w:r>
        <w:rPr>
          <w:spacing w:val="-4"/>
          <w:w w:val="90"/>
        </w:rPr>
        <w:t> </w:t>
      </w:r>
      <w:r>
        <w:rPr>
          <w:w w:val="90"/>
        </w:rPr>
        <w:t>août</w:t>
      </w:r>
      <w:r>
        <w:rPr>
          <w:spacing w:val="-4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66" w:lineRule="auto"/>
        <w:ind w:left="113" w:right="109"/>
        <w:jc w:val="both"/>
      </w:pPr>
      <w:r>
        <w:rPr/>
        <w:t>A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suite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nombreuses</w:t>
      </w:r>
      <w:r>
        <w:rPr>
          <w:spacing w:val="-12"/>
        </w:rPr>
        <w:t> </w:t>
      </w:r>
      <w:r>
        <w:rPr/>
        <w:t>questions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part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porteurs</w:t>
      </w:r>
      <w:r>
        <w:rPr>
          <w:spacing w:val="-13"/>
        </w:rPr>
        <w:t> </w:t>
      </w:r>
      <w:r>
        <w:rPr/>
        <w:t>obligataires,</w:t>
      </w:r>
      <w:r>
        <w:rPr>
          <w:spacing w:val="-14"/>
        </w:rPr>
        <w:t> </w:t>
      </w:r>
      <w:r>
        <w:rPr/>
        <w:t>le</w:t>
      </w:r>
      <w:r>
        <w:rPr>
          <w:spacing w:val="-12"/>
        </w:rPr>
        <w:t> </w:t>
      </w:r>
      <w:r>
        <w:rPr/>
        <w:t>groupe</w:t>
      </w:r>
      <w:r>
        <w:rPr>
          <w:spacing w:val="-13"/>
        </w:rPr>
        <w:t> </w:t>
      </w:r>
      <w:r>
        <w:rPr/>
        <w:t>Casino</w:t>
      </w:r>
      <w:r>
        <w:rPr>
          <w:spacing w:val="-75"/>
        </w:rPr>
        <w:t> </w:t>
      </w:r>
      <w:r>
        <w:rPr/>
        <w:t>indique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Président</w:t>
      </w:r>
      <w:r>
        <w:rPr>
          <w:spacing w:val="-9"/>
        </w:rPr>
        <w:t> </w:t>
      </w:r>
      <w:r>
        <w:rPr/>
        <w:t>du</w:t>
      </w:r>
      <w:r>
        <w:rPr>
          <w:spacing w:val="-8"/>
        </w:rPr>
        <w:t> </w:t>
      </w:r>
      <w:r>
        <w:rPr/>
        <w:t>Tribunal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commerce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Paris</w:t>
      </w:r>
      <w:r>
        <w:rPr>
          <w:spacing w:val="-8"/>
        </w:rPr>
        <w:t> </w:t>
      </w:r>
      <w:r>
        <w:rPr/>
        <w:t>statuera</w:t>
      </w:r>
      <w:r>
        <w:rPr>
          <w:spacing w:val="-9"/>
        </w:rPr>
        <w:t> </w:t>
      </w:r>
      <w:r>
        <w:rPr/>
        <w:t>courant</w:t>
      </w:r>
      <w:r>
        <w:rPr>
          <w:spacing w:val="-8"/>
        </w:rPr>
        <w:t> </w:t>
      </w:r>
      <w:r>
        <w:rPr/>
        <w:t>du</w:t>
      </w:r>
      <w:r>
        <w:rPr>
          <w:spacing w:val="-9"/>
        </w:rPr>
        <w:t> </w:t>
      </w:r>
      <w:r>
        <w:rPr/>
        <w:t>mois</w:t>
      </w:r>
      <w:r>
        <w:rPr>
          <w:spacing w:val="-8"/>
        </w:rPr>
        <w:t> </w:t>
      </w:r>
      <w:r>
        <w:rPr/>
        <w:t>de</w:t>
      </w:r>
      <w:r>
        <w:rPr>
          <w:spacing w:val="-75"/>
        </w:rPr>
        <w:t> </w:t>
      </w:r>
      <w:r>
        <w:rPr>
          <w:w w:val="95"/>
        </w:rPr>
        <w:t>septembre sur des demandes de délais de grâce relativement (i) aux obligations </w:t>
      </w:r>
      <w:r>
        <w:rPr>
          <w:i/>
          <w:w w:val="95"/>
        </w:rPr>
        <w:t>high yield</w:t>
      </w:r>
      <w:r>
        <w:rPr>
          <w:i/>
          <w:spacing w:val="1"/>
          <w:w w:val="95"/>
        </w:rPr>
        <w:t> </w:t>
      </w:r>
      <w:r>
        <w:rPr/>
        <w:t>non</w:t>
      </w:r>
      <w:r>
        <w:rPr>
          <w:spacing w:val="-10"/>
        </w:rPr>
        <w:t> </w:t>
      </w:r>
      <w:r>
        <w:rPr/>
        <w:t>sécurisées</w:t>
      </w:r>
      <w:r>
        <w:rPr>
          <w:spacing w:val="-8"/>
        </w:rPr>
        <w:t> </w:t>
      </w:r>
      <w:r>
        <w:rPr/>
        <w:t>émises</w:t>
      </w:r>
      <w:r>
        <w:rPr>
          <w:spacing w:val="-10"/>
        </w:rPr>
        <w:t> </w:t>
      </w:r>
      <w:r>
        <w:rPr/>
        <w:t>par</w:t>
      </w:r>
      <w:r>
        <w:rPr>
          <w:spacing w:val="-8"/>
        </w:rPr>
        <w:t> </w:t>
      </w:r>
      <w:r>
        <w:rPr/>
        <w:t>Casino,</w:t>
      </w:r>
      <w:r>
        <w:rPr>
          <w:spacing w:val="-10"/>
        </w:rPr>
        <w:t> </w:t>
      </w:r>
      <w:r>
        <w:rPr/>
        <w:t>à</w:t>
      </w:r>
      <w:r>
        <w:rPr>
          <w:spacing w:val="-8"/>
        </w:rPr>
        <w:t> </w:t>
      </w:r>
      <w:r>
        <w:rPr/>
        <w:t>maturité</w:t>
      </w:r>
      <w:r>
        <w:rPr>
          <w:spacing w:val="-9"/>
        </w:rPr>
        <w:t> </w:t>
      </w:r>
      <w:r>
        <w:rPr/>
        <w:t>2026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2027,</w:t>
      </w:r>
      <w:r>
        <w:rPr>
          <w:spacing w:val="-9"/>
        </w:rPr>
        <w:t> </w:t>
      </w:r>
      <w:r>
        <w:rPr/>
        <w:t>(ii)</w:t>
      </w:r>
      <w:r>
        <w:rPr>
          <w:spacing w:val="-11"/>
        </w:rPr>
        <w:t> </w:t>
      </w:r>
      <w:r>
        <w:rPr/>
        <w:t>aux</w:t>
      </w:r>
      <w:r>
        <w:rPr>
          <w:spacing w:val="-9"/>
        </w:rPr>
        <w:t> </w:t>
      </w:r>
      <w:r>
        <w:rPr/>
        <w:t>obligations</w:t>
      </w:r>
      <w:r>
        <w:rPr>
          <w:spacing w:val="-8"/>
        </w:rPr>
        <w:t> </w:t>
      </w:r>
      <w:r>
        <w:rPr/>
        <w:t>EMTN</w:t>
      </w:r>
      <w:r>
        <w:rPr>
          <w:spacing w:val="-9"/>
        </w:rPr>
        <w:t> </w:t>
      </w:r>
      <w:r>
        <w:rPr/>
        <w:t>à</w:t>
      </w:r>
      <w:r>
        <w:rPr>
          <w:spacing w:val="-75"/>
        </w:rPr>
        <w:t> </w:t>
      </w:r>
      <w:r>
        <w:rPr>
          <w:w w:val="85"/>
        </w:rPr>
        <w:t>maturité</w:t>
      </w:r>
      <w:r>
        <w:rPr>
          <w:spacing w:val="-4"/>
          <w:w w:val="85"/>
        </w:rPr>
        <w:t> </w:t>
      </w:r>
      <w:r>
        <w:rPr>
          <w:w w:val="85"/>
        </w:rPr>
        <w:t>2026</w:t>
      </w:r>
      <w:hyperlink w:history="true" w:anchor="_bookmark0">
        <w:r>
          <w:rPr>
            <w:w w:val="85"/>
            <w:position w:val="6"/>
            <w:sz w:val="14"/>
          </w:rPr>
          <w:t>1</w:t>
        </w:r>
      </w:hyperlink>
      <w:r>
        <w:rPr>
          <w:w w:val="85"/>
        </w:rPr>
        <w:t>,</w:t>
      </w:r>
      <w:r>
        <w:rPr>
          <w:spacing w:val="-6"/>
          <w:w w:val="85"/>
        </w:rPr>
        <w:t> </w:t>
      </w:r>
      <w:r>
        <w:rPr>
          <w:w w:val="85"/>
        </w:rPr>
        <w:t>et</w:t>
      </w:r>
      <w:r>
        <w:rPr>
          <w:spacing w:val="-2"/>
          <w:w w:val="85"/>
        </w:rPr>
        <w:t> </w:t>
      </w:r>
      <w:r>
        <w:rPr>
          <w:w w:val="85"/>
        </w:rPr>
        <w:t>(iii)</w:t>
      </w:r>
      <w:r>
        <w:rPr>
          <w:spacing w:val="-7"/>
          <w:w w:val="85"/>
        </w:rPr>
        <w:t> </w:t>
      </w:r>
      <w:r>
        <w:rPr>
          <w:w w:val="85"/>
        </w:rPr>
        <w:t>aux</w:t>
      </w:r>
      <w:r>
        <w:rPr>
          <w:spacing w:val="-4"/>
          <w:w w:val="85"/>
        </w:rPr>
        <w:t> </w:t>
      </w:r>
      <w:r>
        <w:rPr>
          <w:w w:val="85"/>
        </w:rPr>
        <w:t>TSSDI</w:t>
      </w:r>
      <w:r>
        <w:rPr>
          <w:spacing w:val="-2"/>
          <w:w w:val="85"/>
        </w:rPr>
        <w:t> </w:t>
      </w:r>
      <w:r>
        <w:rPr>
          <w:w w:val="85"/>
        </w:rPr>
        <w:t>émis</w:t>
      </w:r>
      <w:r>
        <w:rPr>
          <w:spacing w:val="-3"/>
          <w:w w:val="85"/>
        </w:rPr>
        <w:t> </w:t>
      </w:r>
      <w:r>
        <w:rPr>
          <w:w w:val="85"/>
        </w:rPr>
        <w:t>en</w:t>
      </w:r>
      <w:r>
        <w:rPr>
          <w:spacing w:val="-5"/>
          <w:w w:val="85"/>
        </w:rPr>
        <w:t> </w:t>
      </w:r>
      <w:r>
        <w:rPr>
          <w:w w:val="85"/>
        </w:rPr>
        <w:t>2005.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spacing w:line="268" w:lineRule="auto"/>
        <w:ind w:left="113" w:right="111" w:hanging="1"/>
        <w:jc w:val="both"/>
        <w:rPr>
          <w:rFonts w:ascii="Verdana" w:hAnsi="Verdana"/>
          <w:b w:val="0"/>
        </w:rPr>
      </w:pPr>
      <w:r>
        <w:rPr>
          <w:w w:val="95"/>
        </w:rPr>
        <w:t>Dans l’intervalle, le Président du Tribunal de commerce de Paris a suspendu provisoirement</w:t>
      </w:r>
      <w:r>
        <w:rPr>
          <w:spacing w:val="-59"/>
          <w:w w:val="95"/>
        </w:rPr>
        <w:t> </w:t>
      </w:r>
      <w:r>
        <w:rPr/>
        <w:t>toute</w:t>
      </w:r>
      <w:r>
        <w:rPr>
          <w:spacing w:val="-8"/>
        </w:rPr>
        <w:t> </w:t>
      </w:r>
      <w:r>
        <w:rPr/>
        <w:t>obligation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paiement</w:t>
      </w:r>
      <w:r>
        <w:rPr>
          <w:spacing w:val="-9"/>
        </w:rPr>
        <w:t> </w:t>
      </w:r>
      <w:r>
        <w:rPr/>
        <w:t>au</w:t>
      </w:r>
      <w:r>
        <w:rPr>
          <w:spacing w:val="-11"/>
        </w:rPr>
        <w:t> </w:t>
      </w:r>
      <w:r>
        <w:rPr/>
        <w:t>titre</w:t>
      </w:r>
      <w:r>
        <w:rPr>
          <w:spacing w:val="-11"/>
        </w:rPr>
        <w:t> </w:t>
      </w:r>
      <w:r>
        <w:rPr/>
        <w:t>des</w:t>
      </w:r>
      <w:r>
        <w:rPr>
          <w:spacing w:val="-9"/>
        </w:rPr>
        <w:t> </w:t>
      </w:r>
      <w:r>
        <w:rPr/>
        <w:t>instruments</w:t>
      </w:r>
      <w:r>
        <w:rPr>
          <w:spacing w:val="-10"/>
        </w:rPr>
        <w:t> </w:t>
      </w:r>
      <w:r>
        <w:rPr/>
        <w:t>concernés</w:t>
      </w:r>
      <w:r>
        <w:rPr>
          <w:rFonts w:ascii="Verdana" w:hAnsi="Verdana"/>
          <w:b w:val="0"/>
        </w:rPr>
        <w:t>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66" w:lineRule="auto"/>
        <w:ind w:left="113" w:right="112"/>
        <w:jc w:val="both"/>
      </w:pPr>
      <w:r>
        <w:rPr>
          <w:spacing w:val="-1"/>
        </w:rPr>
        <w:t>Il</w:t>
      </w:r>
      <w:r>
        <w:rPr>
          <w:spacing w:val="-18"/>
        </w:rPr>
        <w:t> </w:t>
      </w:r>
      <w:r>
        <w:rPr/>
        <w:t>est</w:t>
      </w:r>
      <w:r>
        <w:rPr>
          <w:spacing w:val="-17"/>
        </w:rPr>
        <w:t> </w:t>
      </w:r>
      <w:r>
        <w:rPr/>
        <w:t>rappelé</w:t>
      </w:r>
      <w:r>
        <w:rPr>
          <w:spacing w:val="-18"/>
        </w:rPr>
        <w:t> </w:t>
      </w:r>
      <w:r>
        <w:rPr/>
        <w:t>que</w:t>
      </w:r>
      <w:r>
        <w:rPr>
          <w:spacing w:val="-19"/>
        </w:rPr>
        <w:t> </w:t>
      </w:r>
      <w:r>
        <w:rPr/>
        <w:t>les</w:t>
      </w:r>
      <w:r>
        <w:rPr>
          <w:spacing w:val="-18"/>
        </w:rPr>
        <w:t> </w:t>
      </w:r>
      <w:r>
        <w:rPr/>
        <w:t>conciliateurs</w:t>
      </w:r>
      <w:r>
        <w:rPr>
          <w:spacing w:val="-16"/>
        </w:rPr>
        <w:t> </w:t>
      </w:r>
      <w:r>
        <w:rPr/>
        <w:t>ont</w:t>
      </w:r>
      <w:r>
        <w:rPr>
          <w:spacing w:val="-19"/>
        </w:rPr>
        <w:t> </w:t>
      </w:r>
      <w:r>
        <w:rPr/>
        <w:t>sollicité</w:t>
      </w:r>
      <w:r>
        <w:rPr>
          <w:spacing w:val="-17"/>
        </w:rPr>
        <w:t> </w:t>
      </w:r>
      <w:r>
        <w:rPr/>
        <w:t>pour</w:t>
      </w:r>
      <w:r>
        <w:rPr>
          <w:spacing w:val="-16"/>
        </w:rPr>
        <w:t> </w:t>
      </w:r>
      <w:r>
        <w:rPr/>
        <w:t>le</w:t>
      </w:r>
      <w:r>
        <w:rPr>
          <w:spacing w:val="-16"/>
        </w:rPr>
        <w:t> </w:t>
      </w:r>
      <w:r>
        <w:rPr/>
        <w:t>bénéfice</w:t>
      </w:r>
      <w:r>
        <w:rPr>
          <w:spacing w:val="-19"/>
        </w:rPr>
        <w:t> </w:t>
      </w:r>
      <w:r>
        <w:rPr/>
        <w:t>du</w:t>
      </w:r>
      <w:r>
        <w:rPr>
          <w:spacing w:val="-17"/>
        </w:rPr>
        <w:t> </w:t>
      </w:r>
      <w:r>
        <w:rPr/>
        <w:t>Groupe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suspension,</w:t>
      </w:r>
      <w:r>
        <w:rPr>
          <w:spacing w:val="-75"/>
        </w:rPr>
        <w:t> </w:t>
      </w:r>
      <w:r>
        <w:rPr>
          <w:w w:val="109"/>
        </w:rPr>
        <w:t>p</w:t>
      </w:r>
      <w:r>
        <w:rPr>
          <w:w w:val="102"/>
        </w:rPr>
        <w:t>e</w:t>
      </w:r>
      <w:r>
        <w:rPr>
          <w:spacing w:val="-1"/>
          <w:w w:val="102"/>
        </w:rPr>
        <w:t>n</w:t>
      </w:r>
      <w:r>
        <w:rPr>
          <w:spacing w:val="-3"/>
          <w:w w:val="110"/>
        </w:rPr>
        <w:t>d</w:t>
      </w:r>
      <w:r>
        <w:rPr>
          <w:w w:val="105"/>
        </w:rPr>
        <w:t>a</w:t>
      </w:r>
      <w:r>
        <w:rPr>
          <w:spacing w:val="-1"/>
          <w:w w:val="105"/>
        </w:rPr>
        <w:t>n</w:t>
      </w:r>
      <w:r>
        <w:rPr>
          <w:w w:val="86"/>
        </w:rPr>
        <w:t>t</w:t>
      </w:r>
      <w:r>
        <w:rPr>
          <w:spacing w:val="-25"/>
        </w:rPr>
        <w:t> </w:t>
      </w:r>
      <w:r>
        <w:rPr>
          <w:spacing w:val="-1"/>
          <w:w w:val="73"/>
        </w:rPr>
        <w:t>l</w:t>
      </w:r>
      <w:r>
        <w:rPr>
          <w:w w:val="114"/>
        </w:rPr>
        <w:t>a</w:t>
      </w:r>
      <w:r>
        <w:rPr>
          <w:spacing w:val="-25"/>
        </w:rPr>
        <w:t> </w:t>
      </w:r>
      <w:r>
        <w:rPr>
          <w:spacing w:val="-1"/>
          <w:w w:val="110"/>
        </w:rPr>
        <w:t>d</w:t>
      </w:r>
      <w:r>
        <w:rPr>
          <w:spacing w:val="-3"/>
          <w:w w:val="96"/>
        </w:rPr>
        <w:t>u</w:t>
      </w:r>
      <w:r>
        <w:rPr>
          <w:w w:val="70"/>
        </w:rPr>
        <w:t>r</w:t>
      </w:r>
      <w:r>
        <w:rPr>
          <w:w w:val="109"/>
        </w:rPr>
        <w:t>ée</w:t>
      </w:r>
      <w:r>
        <w:rPr>
          <w:spacing w:val="-27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>
          <w:spacing w:val="-27"/>
        </w:rPr>
        <w:t> </w:t>
      </w:r>
      <w:r>
        <w:rPr>
          <w:spacing w:val="-2"/>
          <w:w w:val="73"/>
        </w:rPr>
        <w:t>l</w:t>
      </w:r>
      <w:r>
        <w:rPr>
          <w:w w:val="114"/>
        </w:rPr>
        <w:t>a</w:t>
      </w:r>
      <w:r>
        <w:rPr>
          <w:spacing w:val="-25"/>
        </w:rPr>
        <w:t> </w:t>
      </w:r>
      <w:r>
        <w:rPr>
          <w:w w:val="109"/>
        </w:rPr>
        <w:t>p</w:t>
      </w:r>
      <w:r>
        <w:rPr>
          <w:spacing w:val="-2"/>
          <w:w w:val="109"/>
        </w:rPr>
        <w:t>é</w:t>
      </w:r>
      <w:r>
        <w:rPr>
          <w:w w:val="70"/>
        </w:rPr>
        <w:t>r</w:t>
      </w:r>
      <w:r>
        <w:rPr>
          <w:spacing w:val="1"/>
          <w:w w:val="73"/>
        </w:rPr>
        <w:t>i</w:t>
      </w:r>
      <w:r>
        <w:rPr>
          <w:spacing w:val="-3"/>
          <w:w w:val="108"/>
        </w:rPr>
        <w:t>o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>
          <w:spacing w:val="-25"/>
        </w:rPr>
        <w:t> 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25"/>
        </w:rPr>
        <w:t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3"/>
          <w:w w:val="96"/>
        </w:rPr>
        <w:t>n</w:t>
      </w:r>
      <w:r>
        <w:rPr>
          <w:spacing w:val="-2"/>
          <w:w w:val="124"/>
        </w:rPr>
        <w:t>c</w:t>
      </w:r>
      <w:r>
        <w:rPr>
          <w:spacing w:val="1"/>
          <w:w w:val="73"/>
        </w:rPr>
        <w:t>i</w:t>
      </w:r>
      <w:r>
        <w:rPr>
          <w:spacing w:val="-1"/>
          <w:w w:val="73"/>
        </w:rPr>
        <w:t>l</w:t>
      </w:r>
      <w:r>
        <w:rPr>
          <w:spacing w:val="1"/>
          <w:w w:val="73"/>
        </w:rPr>
        <w:t>i</w:t>
      </w:r>
      <w:r>
        <w:rPr>
          <w:w w:val="103"/>
        </w:rPr>
        <w:t>a</w:t>
      </w:r>
      <w:r>
        <w:rPr>
          <w:spacing w:val="-3"/>
          <w:w w:val="103"/>
        </w:rPr>
        <w:t>t</w:t>
      </w:r>
      <w:r>
        <w:rPr>
          <w:spacing w:val="-2"/>
          <w:w w:val="73"/>
        </w:rPr>
        <w:t>i</w:t>
      </w:r>
      <w:r>
        <w:rPr>
          <w:spacing w:val="-1"/>
          <w:w w:val="108"/>
        </w:rPr>
        <w:t>o</w:t>
      </w:r>
      <w:r>
        <w:rPr>
          <w:w w:val="96"/>
        </w:rPr>
        <w:t>n</w:t>
      </w:r>
      <w:r>
        <w:rPr>
          <w:spacing w:val="-23"/>
        </w:rPr>
        <w:t> </w:t>
      </w:r>
      <w:r>
        <w:rPr>
          <w:spacing w:val="-5"/>
          <w:w w:val="81"/>
        </w:rPr>
        <w:t>(</w:t>
      </w:r>
      <w:r>
        <w:rPr>
          <w:w w:val="74"/>
        </w:rPr>
        <w:t>s</w:t>
      </w:r>
      <w:r>
        <w:rPr>
          <w:spacing w:val="-1"/>
          <w:w w:val="108"/>
        </w:rPr>
        <w:t>o</w:t>
      </w:r>
      <w:r>
        <w:rPr>
          <w:spacing w:val="1"/>
          <w:w w:val="73"/>
        </w:rPr>
        <w:t>i</w:t>
      </w:r>
      <w:r>
        <w:rPr>
          <w:w w:val="86"/>
        </w:rPr>
        <w:t>t</w:t>
      </w:r>
      <w:r>
        <w:rPr>
          <w:spacing w:val="-25"/>
        </w:rPr>
        <w:t> </w:t>
      </w:r>
      <w:r>
        <w:rPr>
          <w:w w:val="59"/>
        </w:rPr>
        <w:t>j</w:t>
      </w:r>
      <w:r>
        <w:rPr>
          <w:w w:val="96"/>
        </w:rPr>
        <w:t>u</w:t>
      </w:r>
      <w:r>
        <w:rPr>
          <w:spacing w:val="-2"/>
          <w:w w:val="74"/>
        </w:rPr>
        <w:t>s</w:t>
      </w:r>
      <w:r>
        <w:rPr>
          <w:w w:val="109"/>
        </w:rPr>
        <w:t>q</w:t>
      </w:r>
      <w:r>
        <w:rPr>
          <w:w w:val="96"/>
        </w:rPr>
        <w:t>u</w:t>
      </w:r>
      <w:r>
        <w:rPr>
          <w:spacing w:val="-1"/>
          <w:w w:val="131"/>
        </w:rPr>
        <w:t>’</w:t>
      </w:r>
      <w:r>
        <w:rPr>
          <w:spacing w:val="-3"/>
          <w:w w:val="114"/>
        </w:rPr>
        <w:t>a</w:t>
      </w:r>
      <w:r>
        <w:rPr>
          <w:w w:val="96"/>
        </w:rPr>
        <w:t>u</w:t>
      </w:r>
      <w:r>
        <w:rPr>
          <w:spacing w:val="-25"/>
        </w:rPr>
        <w:t> </w:t>
      </w:r>
      <w:r>
        <w:rPr>
          <w:w w:val="87"/>
        </w:rPr>
        <w:t>25</w:t>
      </w:r>
      <w:r>
        <w:rPr>
          <w:spacing w:val="-25"/>
        </w:rPr>
        <w:t> </w:t>
      </w:r>
      <w:r>
        <w:rPr>
          <w:spacing w:val="-3"/>
          <w:w w:val="108"/>
        </w:rPr>
        <w:t>o</w:t>
      </w:r>
      <w:r>
        <w:rPr>
          <w:spacing w:val="1"/>
          <w:w w:val="124"/>
        </w:rPr>
        <w:t>c</w:t>
      </w:r>
      <w:r>
        <w:rPr>
          <w:spacing w:val="-3"/>
          <w:w w:val="86"/>
        </w:rPr>
        <w:t>t</w:t>
      </w:r>
      <w:r>
        <w:rPr>
          <w:spacing w:val="-1"/>
          <w:w w:val="108"/>
        </w:rPr>
        <w:t>o</w:t>
      </w:r>
      <w:r>
        <w:rPr>
          <w:w w:val="109"/>
        </w:rPr>
        <w:t>b</w:t>
      </w:r>
      <w:r>
        <w:rPr>
          <w:w w:val="70"/>
        </w:rPr>
        <w:t>r</w:t>
      </w:r>
      <w:r>
        <w:rPr>
          <w:w w:val="109"/>
        </w:rPr>
        <w:t>e</w:t>
      </w:r>
      <w:r>
        <w:rPr>
          <w:spacing w:val="-27"/>
        </w:rPr>
        <w:t> </w:t>
      </w:r>
      <w:r>
        <w:rPr>
          <w:w w:val="87"/>
        </w:rPr>
        <w:t>2023</w:t>
      </w:r>
      <w:r>
        <w:rPr>
          <w:spacing w:val="-27"/>
        </w:rPr>
        <w:t> </w:t>
      </w:r>
      <w:r>
        <w:rPr>
          <w:w w:val="105"/>
        </w:rPr>
        <w:t>au</w:t>
      </w:r>
      <w:r>
        <w:rPr>
          <w:spacing w:val="-25"/>
        </w:rPr>
        <w:t> </w:t>
      </w:r>
      <w:r>
        <w:rPr>
          <w:spacing w:val="-2"/>
          <w:w w:val="109"/>
        </w:rPr>
        <w:t>p</w:t>
      </w:r>
      <w:r>
        <w:rPr>
          <w:spacing w:val="1"/>
          <w:w w:val="73"/>
        </w:rPr>
        <w:t>l</w:t>
      </w:r>
      <w:r>
        <w:rPr>
          <w:spacing w:val="-3"/>
          <w:w w:val="96"/>
        </w:rPr>
        <w:t>u</w:t>
      </w:r>
      <w:r>
        <w:rPr>
          <w:w w:val="74"/>
        </w:rPr>
        <w:t>s</w:t>
      </w:r>
      <w:r>
        <w:rPr>
          <w:spacing w:val="-24"/>
        </w:rPr>
        <w:t> </w:t>
      </w:r>
      <w:r>
        <w:rPr>
          <w:spacing w:val="-1"/>
          <w:w w:val="86"/>
        </w:rPr>
        <w:t>t</w:t>
      </w:r>
      <w:r>
        <w:rPr>
          <w:w w:val="96"/>
        </w:rPr>
        <w:t>a</w:t>
      </w:r>
      <w:r>
        <w:rPr>
          <w:spacing w:val="-2"/>
          <w:w w:val="96"/>
        </w:rPr>
        <w:t>r</w:t>
      </w:r>
      <w:r>
        <w:rPr>
          <w:spacing w:val="-1"/>
          <w:w w:val="110"/>
        </w:rPr>
        <w:t>d</w:t>
      </w:r>
      <w:r>
        <w:rPr>
          <w:spacing w:val="-3"/>
          <w:w w:val="81"/>
        </w:rPr>
        <w:t>)</w:t>
      </w:r>
      <w:r>
        <w:rPr>
          <w:w w:val="76"/>
        </w:rPr>
        <w:t>, </w:t>
      </w:r>
      <w:r>
        <w:rPr>
          <w:w w:val="95"/>
        </w:rPr>
        <w:t>du paiement des intérêts (et autres commissions) dus par les sociétés en conciliation (soit</w:t>
      </w:r>
      <w:r>
        <w:rPr>
          <w:spacing w:val="1"/>
          <w:w w:val="95"/>
        </w:rPr>
        <w:t> </w:t>
      </w:r>
      <w:r>
        <w:rPr>
          <w:w w:val="95"/>
        </w:rPr>
        <w:t>environ 130 millions d’euros), ainsi que des échéances en principal qui sont dues au cours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cette</w:t>
      </w:r>
      <w:r>
        <w:rPr>
          <w:spacing w:val="-9"/>
          <w:w w:val="95"/>
        </w:rPr>
        <w:t> </w:t>
      </w:r>
      <w:r>
        <w:rPr>
          <w:w w:val="95"/>
        </w:rPr>
        <w:t>période</w:t>
      </w:r>
      <w:r>
        <w:rPr>
          <w:spacing w:val="-9"/>
          <w:w w:val="95"/>
        </w:rPr>
        <w:t> </w:t>
      </w:r>
      <w:r>
        <w:rPr>
          <w:w w:val="95"/>
        </w:rPr>
        <w:t>par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sociétés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conciliation</w:t>
      </w:r>
      <w:r>
        <w:rPr>
          <w:spacing w:val="-7"/>
          <w:w w:val="95"/>
        </w:rPr>
        <w:t> </w:t>
      </w:r>
      <w:r>
        <w:rPr>
          <w:w w:val="95"/>
        </w:rPr>
        <w:t>(soit</w:t>
      </w:r>
      <w:r>
        <w:rPr>
          <w:spacing w:val="-10"/>
          <w:w w:val="95"/>
        </w:rPr>
        <w:t> </w:t>
      </w:r>
      <w:r>
        <w:rPr>
          <w:w w:val="95"/>
        </w:rPr>
        <w:t>environ</w:t>
      </w:r>
      <w:r>
        <w:rPr>
          <w:spacing w:val="-10"/>
          <w:w w:val="95"/>
        </w:rPr>
        <w:t> </w:t>
      </w:r>
      <w:r>
        <w:rPr>
          <w:w w:val="95"/>
        </w:rPr>
        <w:t>70</w:t>
      </w:r>
      <w:r>
        <w:rPr>
          <w:spacing w:val="-10"/>
          <w:w w:val="95"/>
        </w:rPr>
        <w:t> </w:t>
      </w:r>
      <w:r>
        <w:rPr>
          <w:w w:val="95"/>
        </w:rPr>
        <w:t>millions</w:t>
      </w:r>
      <w:r>
        <w:rPr>
          <w:spacing w:val="-9"/>
          <w:w w:val="95"/>
        </w:rPr>
        <w:t> </w:t>
      </w:r>
      <w:r>
        <w:rPr>
          <w:w w:val="95"/>
        </w:rPr>
        <w:t>d’euros).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66" w:lineRule="auto"/>
        <w:ind w:left="113" w:right="110"/>
        <w:jc w:val="both"/>
      </w:pPr>
      <w:r>
        <w:rPr>
          <w:w w:val="95"/>
        </w:rPr>
        <w:t>S’agissant des créanciers ayant refusé l’octroi des </w:t>
      </w:r>
      <w:r>
        <w:rPr>
          <w:i/>
          <w:w w:val="95"/>
        </w:rPr>
        <w:t>waivers </w:t>
      </w:r>
      <w:r>
        <w:rPr>
          <w:w w:val="95"/>
        </w:rPr>
        <w:t>demandés, le Groupe a indiqué</w:t>
      </w:r>
      <w:r>
        <w:rPr>
          <w:spacing w:val="1"/>
          <w:w w:val="95"/>
        </w:rPr>
        <w:t> </w:t>
      </w:r>
      <w:r>
        <w:rPr>
          <w:spacing w:val="-1"/>
        </w:rPr>
        <w:t>qu’il</w:t>
      </w:r>
      <w:r>
        <w:rPr>
          <w:spacing w:val="-19"/>
        </w:rPr>
        <w:t> </w:t>
      </w:r>
      <w:r>
        <w:rPr>
          <w:spacing w:val="-1"/>
        </w:rPr>
        <w:t>solliciterait</w:t>
      </w:r>
      <w:r>
        <w:rPr>
          <w:spacing w:val="-20"/>
        </w:rPr>
        <w:t> </w:t>
      </w:r>
      <w:r>
        <w:rPr>
          <w:spacing w:val="-1"/>
        </w:rPr>
        <w:t>du</w:t>
      </w:r>
      <w:r>
        <w:rPr>
          <w:spacing w:val="-20"/>
        </w:rPr>
        <w:t> </w:t>
      </w:r>
      <w:r>
        <w:rPr>
          <w:spacing w:val="-1"/>
        </w:rPr>
        <w:t>Président</w:t>
      </w:r>
      <w:r>
        <w:rPr>
          <w:spacing w:val="-20"/>
        </w:rPr>
        <w:t> </w:t>
      </w:r>
      <w:r>
        <w:rPr>
          <w:spacing w:val="-1"/>
        </w:rPr>
        <w:t>du</w:t>
      </w:r>
      <w:r>
        <w:rPr>
          <w:spacing w:val="-20"/>
        </w:rPr>
        <w:t> </w:t>
      </w:r>
      <w:r>
        <w:rPr>
          <w:spacing w:val="-1"/>
        </w:rPr>
        <w:t>Tribunal</w:t>
      </w:r>
      <w:r>
        <w:rPr>
          <w:spacing w:val="-18"/>
        </w:rPr>
        <w:t> </w:t>
      </w:r>
      <w:r>
        <w:rPr>
          <w:spacing w:val="-1"/>
        </w:rPr>
        <w:t>de</w:t>
      </w:r>
      <w:r>
        <w:rPr>
          <w:spacing w:val="-20"/>
        </w:rPr>
        <w:t> </w:t>
      </w:r>
      <w:r>
        <w:rPr>
          <w:spacing w:val="-1"/>
        </w:rPr>
        <w:t>commerce</w:t>
      </w:r>
      <w:r>
        <w:rPr>
          <w:spacing w:val="-19"/>
        </w:rPr>
        <w:t> </w:t>
      </w:r>
      <w:r>
        <w:rPr>
          <w:spacing w:val="-1"/>
        </w:rPr>
        <w:t>l’application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délais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grâce</w:t>
      </w:r>
      <w:r>
        <w:rPr>
          <w:spacing w:val="-19"/>
        </w:rPr>
        <w:t> </w:t>
      </w:r>
      <w:r>
        <w:rPr/>
        <w:t>en</w:t>
      </w:r>
      <w:r>
        <w:rPr>
          <w:spacing w:val="-75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l’article</w:t>
      </w:r>
      <w:r>
        <w:rPr>
          <w:spacing w:val="-19"/>
        </w:rPr>
        <w:t> </w:t>
      </w:r>
      <w:r>
        <w:rPr/>
        <w:t>L.</w:t>
      </w:r>
      <w:r>
        <w:rPr>
          <w:spacing w:val="-19"/>
        </w:rPr>
        <w:t> </w:t>
      </w:r>
      <w:r>
        <w:rPr/>
        <w:t>611-7</w:t>
      </w:r>
      <w:r>
        <w:rPr>
          <w:spacing w:val="-18"/>
        </w:rPr>
        <w:t> </w:t>
      </w:r>
      <w:r>
        <w:rPr/>
        <w:t>du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commerce.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78" w:lineRule="auto" w:before="164"/>
        <w:ind w:left="112" w:right="109" w:firstLine="0"/>
        <w:jc w:val="both"/>
        <w:rPr>
          <w:i/>
          <w:sz w:val="20"/>
        </w:rPr>
      </w:pPr>
      <w:r>
        <w:rPr>
          <w:i/>
          <w:sz w:val="20"/>
        </w:rPr>
        <w:t>Ce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communiqué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été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préparé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uniquement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titre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informatif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doit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pas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être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interprété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comme</w:t>
      </w:r>
      <w:r>
        <w:rPr>
          <w:i/>
          <w:spacing w:val="-68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sollicitation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d'achat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valeurs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mobilières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instruments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financiers</w:t>
      </w:r>
      <w:r>
        <w:rPr>
          <w:i/>
          <w:spacing w:val="-67"/>
          <w:sz w:val="20"/>
        </w:rPr>
        <w:t> </w:t>
      </w:r>
      <w:r>
        <w:rPr>
          <w:i/>
          <w:w w:val="95"/>
          <w:sz w:val="20"/>
        </w:rPr>
        <w:t>connexes.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De</w:t>
      </w:r>
      <w:r>
        <w:rPr>
          <w:i/>
          <w:spacing w:val="-1"/>
          <w:w w:val="95"/>
          <w:sz w:val="20"/>
        </w:rPr>
        <w:t> </w:t>
      </w:r>
      <w:r>
        <w:rPr>
          <w:i/>
          <w:w w:val="95"/>
          <w:sz w:val="20"/>
        </w:rPr>
        <w:t>même,</w:t>
      </w:r>
      <w:r>
        <w:rPr>
          <w:i/>
          <w:spacing w:val="-6"/>
          <w:w w:val="95"/>
          <w:sz w:val="20"/>
        </w:rPr>
        <w:t> </w:t>
      </w:r>
      <w:r>
        <w:rPr>
          <w:i/>
          <w:w w:val="95"/>
          <w:sz w:val="20"/>
        </w:rPr>
        <w:t>il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ne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donne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pas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et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ne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doit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pas</w:t>
      </w:r>
      <w:r>
        <w:rPr>
          <w:i/>
          <w:spacing w:val="-7"/>
          <w:w w:val="95"/>
          <w:sz w:val="20"/>
        </w:rPr>
        <w:t> </w:t>
      </w:r>
      <w:r>
        <w:rPr>
          <w:i/>
          <w:w w:val="95"/>
          <w:sz w:val="20"/>
        </w:rPr>
        <w:t>être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traité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comme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un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conseil</w:t>
      </w:r>
      <w:r>
        <w:rPr>
          <w:i/>
          <w:spacing w:val="-4"/>
          <w:w w:val="95"/>
          <w:sz w:val="20"/>
        </w:rPr>
        <w:t> </w:t>
      </w:r>
      <w:r>
        <w:rPr>
          <w:i/>
          <w:w w:val="95"/>
          <w:sz w:val="20"/>
        </w:rPr>
        <w:t>d'investissement.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Il</w:t>
      </w:r>
      <w:r>
        <w:rPr>
          <w:i/>
          <w:spacing w:val="-64"/>
          <w:w w:val="95"/>
          <w:sz w:val="20"/>
        </w:rPr>
        <w:t> </w:t>
      </w:r>
      <w:r>
        <w:rPr>
          <w:i/>
          <w:sz w:val="20"/>
        </w:rPr>
        <w:t>n'a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aucun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égard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aux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objectifs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placement,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situation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financière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besoins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particuliers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68"/>
          <w:sz w:val="20"/>
        </w:rPr>
        <w:t> </w:t>
      </w:r>
      <w:r>
        <w:rPr>
          <w:i/>
          <w:w w:val="95"/>
          <w:sz w:val="20"/>
        </w:rPr>
        <w:t>tout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récepteur.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Aucune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représentation</w:t>
      </w:r>
      <w:r>
        <w:rPr>
          <w:i/>
          <w:spacing w:val="11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9"/>
          <w:w w:val="95"/>
          <w:sz w:val="20"/>
        </w:rPr>
        <w:t> </w:t>
      </w:r>
      <w:r>
        <w:rPr>
          <w:i/>
          <w:w w:val="95"/>
          <w:sz w:val="20"/>
        </w:rPr>
        <w:t>garantie,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expresse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ou</w:t>
      </w:r>
      <w:r>
        <w:rPr>
          <w:i/>
          <w:spacing w:val="12"/>
          <w:w w:val="95"/>
          <w:sz w:val="20"/>
        </w:rPr>
        <w:t> </w:t>
      </w:r>
      <w:r>
        <w:rPr>
          <w:i/>
          <w:w w:val="95"/>
          <w:sz w:val="20"/>
        </w:rPr>
        <w:t>implicite,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n'est</w:t>
      </w:r>
      <w:r>
        <w:rPr>
          <w:i/>
          <w:spacing w:val="13"/>
          <w:w w:val="95"/>
          <w:sz w:val="20"/>
        </w:rPr>
        <w:t> </w:t>
      </w:r>
      <w:r>
        <w:rPr>
          <w:i/>
          <w:w w:val="95"/>
          <w:sz w:val="20"/>
        </w:rPr>
        <w:t>fournie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par</w:t>
      </w:r>
      <w:r>
        <w:rPr>
          <w:i/>
          <w:spacing w:val="10"/>
          <w:w w:val="95"/>
          <w:sz w:val="20"/>
        </w:rPr>
        <w:t> </w:t>
      </w:r>
      <w:r>
        <w:rPr>
          <w:i/>
          <w:w w:val="95"/>
          <w:sz w:val="20"/>
        </w:rPr>
        <w:t>rapport</w:t>
      </w:r>
      <w:r>
        <w:rPr>
          <w:i/>
          <w:spacing w:val="-64"/>
          <w:w w:val="95"/>
          <w:sz w:val="20"/>
        </w:rPr>
        <w:t> </w:t>
      </w:r>
      <w:r>
        <w:rPr>
          <w:i/>
          <w:sz w:val="20"/>
        </w:rPr>
        <w:t>à l'exactitude, l'exhaustivité ou la fiabilité des informations contenues dans ce document. Il 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devrait pas être considéré par les bénéficiaires comme un substitut à l'exercice de leur propre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jugement.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Toutes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les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opinions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exprimées</w:t>
      </w:r>
      <w:r>
        <w:rPr>
          <w:i/>
          <w:spacing w:val="-16"/>
          <w:w w:val="95"/>
          <w:sz w:val="20"/>
        </w:rPr>
        <w:t> </w:t>
      </w:r>
      <w:r>
        <w:rPr>
          <w:i/>
          <w:w w:val="95"/>
          <w:sz w:val="20"/>
        </w:rPr>
        <w:t>dans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ce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document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sont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sujettes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à</w:t>
      </w:r>
      <w:r>
        <w:rPr>
          <w:i/>
          <w:spacing w:val="-15"/>
          <w:w w:val="95"/>
          <w:sz w:val="20"/>
        </w:rPr>
        <w:t> </w:t>
      </w:r>
      <w:r>
        <w:rPr>
          <w:i/>
          <w:w w:val="95"/>
          <w:sz w:val="20"/>
        </w:rPr>
        <w:t>changement</w:t>
      </w:r>
      <w:r>
        <w:rPr>
          <w:i/>
          <w:spacing w:val="-13"/>
          <w:w w:val="95"/>
          <w:sz w:val="20"/>
        </w:rPr>
        <w:t> </w:t>
      </w:r>
      <w:r>
        <w:rPr>
          <w:i/>
          <w:w w:val="95"/>
          <w:sz w:val="20"/>
        </w:rPr>
        <w:t>sans</w:t>
      </w:r>
      <w:r>
        <w:rPr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préavis.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3"/>
        </w:rPr>
      </w:pPr>
      <w:r>
        <w:rPr/>
        <w:pict>
          <v:rect style="position:absolute;margin-left:56.639999pt;margin-top:16.271645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i/>
          <w:sz w:val="6"/>
        </w:rPr>
      </w:pPr>
    </w:p>
    <w:p>
      <w:pPr>
        <w:spacing w:line="244" w:lineRule="auto" w:before="99"/>
        <w:ind w:left="112" w:right="0" w:hanging="1"/>
        <w:jc w:val="left"/>
        <w:rPr>
          <w:sz w:val="20"/>
        </w:rPr>
      </w:pPr>
      <w:bookmarkStart w:name="_bookmark0" w:id="1"/>
      <w:bookmarkEnd w:id="1"/>
      <w:r>
        <w:rPr/>
      </w:r>
      <w:r>
        <w:rPr>
          <w:color w:val="0D0D0D"/>
          <w:w w:val="95"/>
          <w:position w:val="5"/>
          <w:sz w:val="13"/>
        </w:rPr>
        <w:t>1</w:t>
      </w:r>
      <w:r>
        <w:rPr>
          <w:color w:val="0D0D0D"/>
          <w:spacing w:val="15"/>
          <w:w w:val="95"/>
          <w:position w:val="5"/>
          <w:sz w:val="13"/>
        </w:rPr>
        <w:t> </w:t>
      </w:r>
      <w:r>
        <w:rPr>
          <w:color w:val="0D0D0D"/>
          <w:w w:val="95"/>
          <w:sz w:val="20"/>
        </w:rPr>
        <w:t>Les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porteurs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des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obligations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EMTN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à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maturité</w:t>
      </w:r>
      <w:r>
        <w:rPr>
          <w:color w:val="0D0D0D"/>
          <w:spacing w:val="-7"/>
          <w:w w:val="95"/>
          <w:sz w:val="20"/>
        </w:rPr>
        <w:t> </w:t>
      </w:r>
      <w:r>
        <w:rPr>
          <w:color w:val="0D0D0D"/>
          <w:w w:val="95"/>
          <w:sz w:val="20"/>
        </w:rPr>
        <w:t>2024</w:t>
      </w:r>
      <w:r>
        <w:rPr>
          <w:color w:val="0D0D0D"/>
          <w:spacing w:val="-9"/>
          <w:w w:val="95"/>
          <w:sz w:val="20"/>
        </w:rPr>
        <w:t> </w:t>
      </w:r>
      <w:r>
        <w:rPr>
          <w:color w:val="0D0D0D"/>
          <w:w w:val="95"/>
          <w:sz w:val="20"/>
        </w:rPr>
        <w:t>et</w:t>
      </w:r>
      <w:r>
        <w:rPr>
          <w:color w:val="0D0D0D"/>
          <w:spacing w:val="-6"/>
          <w:w w:val="95"/>
          <w:sz w:val="20"/>
        </w:rPr>
        <w:t> </w:t>
      </w:r>
      <w:r>
        <w:rPr>
          <w:color w:val="0D0D0D"/>
          <w:w w:val="95"/>
          <w:sz w:val="20"/>
        </w:rPr>
        <w:t>2025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ont</w:t>
      </w:r>
      <w:r>
        <w:rPr>
          <w:color w:val="0D0D0D"/>
          <w:spacing w:val="-7"/>
          <w:w w:val="95"/>
          <w:sz w:val="20"/>
        </w:rPr>
        <w:t> </w:t>
      </w:r>
      <w:r>
        <w:rPr>
          <w:color w:val="0D0D0D"/>
          <w:w w:val="95"/>
          <w:sz w:val="20"/>
        </w:rPr>
        <w:t>octroyé</w:t>
      </w:r>
      <w:r>
        <w:rPr>
          <w:color w:val="0D0D0D"/>
          <w:spacing w:val="-5"/>
          <w:w w:val="95"/>
          <w:sz w:val="20"/>
        </w:rPr>
        <w:t> </w:t>
      </w:r>
      <w:r>
        <w:rPr>
          <w:color w:val="0D0D0D"/>
          <w:w w:val="95"/>
          <w:sz w:val="20"/>
        </w:rPr>
        <w:t>le</w:t>
      </w:r>
      <w:r>
        <w:rPr>
          <w:color w:val="0D0D0D"/>
          <w:spacing w:val="-7"/>
          <w:w w:val="95"/>
          <w:sz w:val="20"/>
        </w:rPr>
        <w:t> </w:t>
      </w:r>
      <w:r>
        <w:rPr>
          <w:i/>
          <w:color w:val="0D0D0D"/>
          <w:w w:val="95"/>
          <w:sz w:val="20"/>
        </w:rPr>
        <w:t>waiver</w:t>
      </w:r>
      <w:r>
        <w:rPr>
          <w:i/>
          <w:color w:val="0D0D0D"/>
          <w:spacing w:val="-7"/>
          <w:w w:val="95"/>
          <w:sz w:val="20"/>
        </w:rPr>
        <w:t> </w:t>
      </w:r>
      <w:r>
        <w:rPr>
          <w:color w:val="0D0D0D"/>
          <w:w w:val="95"/>
          <w:sz w:val="20"/>
        </w:rPr>
        <w:t>demandé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par</w:t>
      </w:r>
      <w:r>
        <w:rPr>
          <w:color w:val="0D0D0D"/>
          <w:spacing w:val="-8"/>
          <w:w w:val="95"/>
          <w:sz w:val="20"/>
        </w:rPr>
        <w:t> </w:t>
      </w:r>
      <w:r>
        <w:rPr>
          <w:color w:val="0D0D0D"/>
          <w:w w:val="95"/>
          <w:sz w:val="20"/>
        </w:rPr>
        <w:t>les</w:t>
      </w:r>
      <w:r>
        <w:rPr>
          <w:color w:val="0D0D0D"/>
          <w:spacing w:val="-64"/>
          <w:w w:val="95"/>
          <w:sz w:val="20"/>
        </w:rPr>
        <w:t> </w:t>
      </w:r>
      <w:r>
        <w:rPr>
          <w:color w:val="0D0D0D"/>
          <w:sz w:val="20"/>
        </w:rPr>
        <w:t>conciliateurs.</w:t>
      </w:r>
    </w:p>
    <w:p>
      <w:pPr>
        <w:spacing w:before="16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25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août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9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8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0" w:left="1020" w:right="1020"/>
        </w:sectPr>
      </w:pPr>
    </w:p>
    <w:p>
      <w:pPr>
        <w:pStyle w:val="Heading1"/>
        <w:spacing w:before="80"/>
        <w:ind w:right="2486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721361</wp:posOffset>
            </wp:positionH>
            <wp:positionV relativeFrom="page">
              <wp:posOffset>192078</wp:posOffset>
            </wp:positionV>
            <wp:extent cx="6837043" cy="1050030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3" cy="1050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460A9"/>
        </w:rPr>
        <w:t>***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</w:rPr>
      </w:pPr>
    </w:p>
    <w:p>
      <w:pPr>
        <w:spacing w:before="0"/>
        <w:ind w:left="2486" w:right="248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z w:val="22"/>
        </w:rPr>
        <w:t>CONTACTS</w:t>
      </w:r>
      <w:r>
        <w:rPr>
          <w:rFonts w:ascii="Arial"/>
          <w:b/>
          <w:color w:val="6460A9"/>
          <w:spacing w:val="1"/>
          <w:sz w:val="22"/>
        </w:rPr>
        <w:t> </w:t>
      </w:r>
      <w:r>
        <w:rPr>
          <w:rFonts w:ascii="Arial"/>
          <w:b/>
          <w:color w:val="6460A9"/>
          <w:sz w:val="22"/>
        </w:rPr>
        <w:t>ANALYSTES</w:t>
      </w:r>
      <w:r>
        <w:rPr>
          <w:rFonts w:ascii="Arial"/>
          <w:b/>
          <w:color w:val="6460A9"/>
          <w:spacing w:val="-3"/>
          <w:sz w:val="22"/>
        </w:rPr>
        <w:t> </w:t>
      </w:r>
      <w:r>
        <w:rPr>
          <w:rFonts w:ascii="Arial"/>
          <w:b/>
          <w:color w:val="6460A9"/>
          <w:sz w:val="22"/>
        </w:rPr>
        <w:t>ET</w:t>
      </w:r>
      <w:r>
        <w:rPr>
          <w:rFonts w:ascii="Arial"/>
          <w:b/>
          <w:color w:val="6460A9"/>
          <w:spacing w:val="-4"/>
          <w:sz w:val="22"/>
        </w:rPr>
        <w:t> </w:t>
      </w:r>
      <w:r>
        <w:rPr>
          <w:rFonts w:ascii="Arial"/>
          <w:b/>
          <w:color w:val="6460A9"/>
          <w:sz w:val="22"/>
        </w:rPr>
        <w:t>INVESTISSEURS</w:t>
      </w:r>
    </w:p>
    <w:p>
      <w:pPr>
        <w:spacing w:line="242" w:lineRule="auto" w:before="44"/>
        <w:ind w:left="2486" w:right="2489" w:firstLine="0"/>
        <w:jc w:val="center"/>
        <w:rPr>
          <w:sz w:val="22"/>
        </w:rPr>
      </w:pPr>
      <w:r>
        <w:rPr>
          <w:rFonts w:ascii="Tahoma" w:hAnsi="Tahoma"/>
          <w:b/>
          <w:w w:val="85"/>
          <w:sz w:val="22"/>
        </w:rPr>
        <w:t>Christopher</w:t>
      </w:r>
      <w:r>
        <w:rPr>
          <w:rFonts w:ascii="Tahoma" w:hAnsi="Tahoma"/>
          <w:b/>
          <w:spacing w:val="14"/>
          <w:w w:val="85"/>
          <w:sz w:val="22"/>
        </w:rPr>
        <w:t> </w:t>
      </w:r>
      <w:r>
        <w:rPr>
          <w:rFonts w:ascii="Tahoma" w:hAnsi="Tahoma"/>
          <w:b/>
          <w:w w:val="85"/>
          <w:sz w:val="22"/>
        </w:rPr>
        <w:t>WELTON</w:t>
      </w:r>
      <w:r>
        <w:rPr>
          <w:rFonts w:ascii="Tahoma" w:hAnsi="Tahoma"/>
          <w:b/>
          <w:spacing w:val="19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Tél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+33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(0)1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4"/>
          <w:w w:val="85"/>
          <w:sz w:val="22"/>
        </w:rPr>
        <w:t> </w:t>
      </w:r>
      <w:r>
        <w:rPr>
          <w:w w:val="85"/>
          <w:sz w:val="22"/>
        </w:rPr>
        <w:t>65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64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17</w:t>
      </w:r>
      <w:r>
        <w:rPr>
          <w:spacing w:val="-63"/>
          <w:w w:val="85"/>
          <w:sz w:val="22"/>
        </w:rPr>
        <w:t> </w:t>
      </w:r>
      <w:hyperlink r:id="rId6">
        <w:r>
          <w:rPr>
            <w:sz w:val="22"/>
            <w:u w:val="single"/>
          </w:rPr>
          <w:t>cwelton.exterieur@groupe-casino.fr</w:t>
        </w:r>
      </w:hyperlink>
    </w:p>
    <w:p>
      <w:pPr>
        <w:pStyle w:val="Heading1"/>
        <w:spacing w:before="1"/>
      </w:pPr>
      <w:r>
        <w:rPr/>
        <w:t>ou</w:t>
      </w:r>
    </w:p>
    <w:p>
      <w:pPr>
        <w:pStyle w:val="BodyText"/>
        <w:spacing w:before="43"/>
        <w:ind w:left="2486" w:right="2489"/>
        <w:jc w:val="center"/>
      </w:pPr>
      <w:r>
        <w:rPr>
          <w:w w:val="85"/>
        </w:rPr>
        <w:t>+33</w:t>
      </w:r>
      <w:r>
        <w:rPr>
          <w:spacing w:val="-6"/>
          <w:w w:val="85"/>
        </w:rPr>
        <w:t> </w:t>
      </w:r>
      <w:r>
        <w:rPr>
          <w:w w:val="85"/>
        </w:rPr>
        <w:t>(0)1</w:t>
      </w:r>
      <w:r>
        <w:rPr>
          <w:spacing w:val="-6"/>
          <w:w w:val="85"/>
        </w:rPr>
        <w:t> </w:t>
      </w:r>
      <w:r>
        <w:rPr>
          <w:w w:val="85"/>
        </w:rPr>
        <w:t>53</w:t>
      </w:r>
      <w:r>
        <w:rPr>
          <w:spacing w:val="-6"/>
          <w:w w:val="85"/>
        </w:rPr>
        <w:t> </w:t>
      </w:r>
      <w:r>
        <w:rPr>
          <w:w w:val="85"/>
        </w:rPr>
        <w:t>65</w:t>
      </w:r>
      <w:r>
        <w:rPr>
          <w:spacing w:val="-6"/>
          <w:w w:val="85"/>
        </w:rPr>
        <w:t> </w:t>
      </w:r>
      <w:r>
        <w:rPr>
          <w:w w:val="85"/>
        </w:rPr>
        <w:t>24</w:t>
      </w:r>
      <w:r>
        <w:rPr>
          <w:spacing w:val="-5"/>
          <w:w w:val="85"/>
        </w:rPr>
        <w:t> </w:t>
      </w:r>
      <w:r>
        <w:rPr>
          <w:w w:val="85"/>
        </w:rPr>
        <w:t>17</w:t>
      </w:r>
    </w:p>
    <w:p>
      <w:pPr>
        <w:pStyle w:val="BodyText"/>
        <w:spacing w:before="45"/>
        <w:ind w:left="2486" w:right="2486"/>
        <w:jc w:val="center"/>
      </w:pPr>
      <w:hyperlink r:id="rId7">
        <w:r>
          <w:rPr>
            <w:spacing w:val="2"/>
            <w:w w:val="53"/>
            <w:u w:val="single"/>
          </w:rPr>
          <w:t>I</w:t>
        </w:r>
        <w:r>
          <w:rPr>
            <w:spacing w:val="-2"/>
            <w:w w:val="83"/>
            <w:u w:val="single"/>
          </w:rPr>
          <w:t>R</w:t>
        </w:r>
        <w:r>
          <w:rPr>
            <w:w w:val="83"/>
            <w:u w:val="single"/>
          </w:rPr>
          <w:t>_</w:t>
        </w:r>
        <w:r>
          <w:rPr>
            <w:spacing w:val="-2"/>
            <w:w w:val="115"/>
            <w:u w:val="single"/>
          </w:rPr>
          <w:t>C</w:t>
        </w:r>
        <w:r>
          <w:rPr>
            <w:w w:val="115"/>
            <w:u w:val="single"/>
          </w:rPr>
          <w:t>a</w:t>
        </w:r>
        <w:r>
          <w:rPr>
            <w:spacing w:val="-2"/>
            <w:w w:val="74"/>
            <w:u w:val="single"/>
          </w:rPr>
          <w:t>s</w:t>
        </w:r>
        <w:r>
          <w:rPr>
            <w:spacing w:val="1"/>
            <w:w w:val="73"/>
            <w:u w:val="single"/>
          </w:rPr>
          <w:t>i</w:t>
        </w:r>
        <w:r>
          <w:rPr>
            <w:spacing w:val="-1"/>
            <w:w w:val="96"/>
            <w:u w:val="single"/>
          </w:rPr>
          <w:t>n</w:t>
        </w:r>
        <w:r>
          <w:rPr>
            <w:spacing w:val="-1"/>
            <w:w w:val="108"/>
            <w:u w:val="single"/>
          </w:rPr>
          <w:t>o</w:t>
        </w:r>
        <w:r>
          <w:rPr>
            <w:spacing w:val="-2"/>
            <w:w w:val="87"/>
            <w:u w:val="single"/>
          </w:rPr>
          <w:t>@</w:t>
        </w:r>
        <w:r>
          <w:rPr>
            <w:w w:val="108"/>
            <w:u w:val="single"/>
          </w:rPr>
          <w:t>g</w:t>
        </w:r>
        <w:r>
          <w:rPr>
            <w:w w:val="70"/>
            <w:u w:val="single"/>
          </w:rPr>
          <w:t>r</w:t>
        </w:r>
        <w:r>
          <w:rPr>
            <w:spacing w:val="-1"/>
            <w:w w:val="108"/>
            <w:u w:val="single"/>
          </w:rPr>
          <w:t>o</w:t>
        </w:r>
        <w:r>
          <w:rPr>
            <w:spacing w:val="-3"/>
            <w:w w:val="96"/>
            <w:u w:val="single"/>
          </w:rPr>
          <w:t>u</w:t>
        </w:r>
        <w:r>
          <w:rPr>
            <w:w w:val="109"/>
            <w:u w:val="single"/>
          </w:rPr>
          <w:t>p</w:t>
        </w:r>
        <w:r>
          <w:rPr>
            <w:spacing w:val="-2"/>
            <w:w w:val="109"/>
            <w:u w:val="single"/>
          </w:rPr>
          <w:t>e</w:t>
        </w:r>
        <w:r>
          <w:rPr>
            <w:spacing w:val="1"/>
            <w:w w:val="73"/>
            <w:u w:val="single"/>
          </w:rPr>
          <w:t>-</w:t>
        </w:r>
        <w:r>
          <w:rPr>
            <w:spacing w:val="-2"/>
            <w:w w:val="124"/>
            <w:u w:val="single"/>
          </w:rPr>
          <w:t>c</w:t>
        </w:r>
        <w:r>
          <w:rPr>
            <w:spacing w:val="-3"/>
            <w:w w:val="95"/>
            <w:u w:val="single"/>
          </w:rPr>
          <w:t>a</w:t>
        </w:r>
        <w:r>
          <w:rPr>
            <w:w w:val="95"/>
            <w:u w:val="single"/>
          </w:rPr>
          <w:t>s</w:t>
        </w:r>
        <w:r>
          <w:rPr>
            <w:spacing w:val="1"/>
            <w:w w:val="73"/>
            <w:u w:val="single"/>
          </w:rPr>
          <w:t>i</w:t>
        </w:r>
        <w:r>
          <w:rPr>
            <w:spacing w:val="-1"/>
            <w:w w:val="96"/>
            <w:u w:val="single"/>
          </w:rPr>
          <w:t>n</w:t>
        </w:r>
        <w:r>
          <w:rPr>
            <w:spacing w:val="-1"/>
            <w:w w:val="108"/>
            <w:u w:val="single"/>
          </w:rPr>
          <w:t>o</w:t>
        </w:r>
        <w:r>
          <w:rPr>
            <w:spacing w:val="-2"/>
            <w:w w:val="76"/>
            <w:u w:val="single"/>
          </w:rPr>
          <w:t>.</w:t>
        </w:r>
        <w:r>
          <w:rPr>
            <w:w w:val="89"/>
            <w:u w:val="single"/>
          </w:rPr>
          <w:t>f</w:t>
        </w:r>
        <w:r>
          <w:rPr>
            <w:w w:val="70"/>
            <w:u w:val="single"/>
          </w:rPr>
          <w:t>r</w:t>
        </w:r>
      </w:hyperlink>
    </w:p>
    <w:p>
      <w:pPr>
        <w:spacing w:before="39"/>
        <w:ind w:left="4024" w:right="4028" w:firstLine="0"/>
        <w:jc w:val="center"/>
        <w:rPr>
          <w:rFonts w:ascii="Tahoma"/>
          <w:b/>
          <w:sz w:val="20"/>
        </w:rPr>
      </w:pPr>
      <w:r>
        <w:rPr>
          <w:rFonts w:ascii="Arial"/>
          <w:b/>
          <w:w w:val="90"/>
          <w:sz w:val="20"/>
        </w:rPr>
        <w:t>CONTACTS</w:t>
      </w:r>
      <w:r>
        <w:rPr>
          <w:rFonts w:ascii="Arial"/>
          <w:b/>
          <w:spacing w:val="29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PRESSE</w:t>
      </w:r>
    </w:p>
    <w:p>
      <w:pPr>
        <w:spacing w:before="126"/>
        <w:ind w:left="2486" w:right="2487" w:firstLine="0"/>
        <w:jc w:val="center"/>
        <w:rPr>
          <w:sz w:val="20"/>
        </w:rPr>
      </w:pPr>
      <w:r>
        <w:rPr>
          <w:spacing w:val="-1"/>
          <w:sz w:val="20"/>
        </w:rPr>
        <w:t>Groupe</w:t>
      </w:r>
      <w:r>
        <w:rPr>
          <w:spacing w:val="-15"/>
          <w:sz w:val="20"/>
        </w:rPr>
        <w:t> </w:t>
      </w:r>
      <w:r>
        <w:rPr>
          <w:sz w:val="20"/>
        </w:rPr>
        <w:t>Casino</w:t>
      </w:r>
      <w:r>
        <w:rPr>
          <w:spacing w:val="-17"/>
          <w:sz w:val="20"/>
        </w:rPr>
        <w:t> </w:t>
      </w:r>
      <w:r>
        <w:rPr>
          <w:sz w:val="20"/>
        </w:rPr>
        <w:t>–</w:t>
      </w:r>
      <w:r>
        <w:rPr>
          <w:spacing w:val="-16"/>
          <w:sz w:val="20"/>
        </w:rPr>
        <w:t> </w:t>
      </w:r>
      <w:r>
        <w:rPr>
          <w:sz w:val="20"/>
        </w:rPr>
        <w:t>Direction</w:t>
      </w:r>
      <w:r>
        <w:rPr>
          <w:spacing w:val="-16"/>
          <w:sz w:val="20"/>
        </w:rPr>
        <w:t> </w:t>
      </w:r>
      <w:r>
        <w:rPr>
          <w:sz w:val="20"/>
        </w:rPr>
        <w:t>de</w:t>
      </w:r>
      <w:r>
        <w:rPr>
          <w:spacing w:val="-17"/>
          <w:sz w:val="20"/>
        </w:rPr>
        <w:t> </w:t>
      </w:r>
      <w:r>
        <w:rPr>
          <w:sz w:val="20"/>
        </w:rPr>
        <w:t>la</w:t>
      </w:r>
      <w:r>
        <w:rPr>
          <w:spacing w:val="-16"/>
          <w:sz w:val="20"/>
        </w:rPr>
        <w:t> </w:t>
      </w:r>
      <w:r>
        <w:rPr>
          <w:sz w:val="20"/>
        </w:rPr>
        <w:t>Communication</w:t>
      </w:r>
    </w:p>
    <w:p>
      <w:pPr>
        <w:spacing w:before="122"/>
        <w:ind w:left="1602" w:right="1605" w:firstLine="0"/>
        <w:jc w:val="center"/>
        <w:rPr>
          <w:sz w:val="20"/>
        </w:rPr>
      </w:pPr>
      <w:r>
        <w:rPr>
          <w:w w:val="90"/>
          <w:sz w:val="20"/>
        </w:rPr>
        <w:t>Nicolas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BOUDOT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5"/>
          <w:w w:val="90"/>
          <w:sz w:val="20"/>
        </w:rPr>
        <w:t> </w:t>
      </w:r>
      <w:hyperlink r:id="rId8">
        <w:r>
          <w:rPr>
            <w:w w:val="90"/>
            <w:sz w:val="20"/>
          </w:rPr>
          <w:t>nboudot@groupe-casino.fr</w:t>
        </w:r>
        <w:r>
          <w:rPr>
            <w:spacing w:val="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33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79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61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40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99</w:t>
      </w:r>
    </w:p>
    <w:p>
      <w:pPr>
        <w:spacing w:before="123"/>
        <w:ind w:left="4024" w:right="4028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ou</w:t>
      </w:r>
    </w:p>
    <w:p>
      <w:pPr>
        <w:spacing w:before="124"/>
        <w:ind w:left="1602" w:right="1605" w:firstLine="0"/>
        <w:jc w:val="center"/>
        <w:rPr>
          <w:sz w:val="20"/>
        </w:rPr>
      </w:pPr>
      <w:r>
        <w:rPr>
          <w:w w:val="90"/>
          <w:sz w:val="20"/>
        </w:rPr>
        <w:t>+</w:t>
      </w:r>
      <w:r>
        <w:rPr>
          <w:spacing w:val="29"/>
          <w:w w:val="90"/>
          <w:sz w:val="20"/>
        </w:rPr>
        <w:t> </w:t>
      </w:r>
      <w:r>
        <w:rPr>
          <w:w w:val="90"/>
          <w:sz w:val="20"/>
        </w:rPr>
        <w:t>33(0)1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53</w:t>
      </w:r>
      <w:r>
        <w:rPr>
          <w:spacing w:val="28"/>
          <w:w w:val="90"/>
          <w:sz w:val="20"/>
        </w:rPr>
        <w:t> </w:t>
      </w:r>
      <w:r>
        <w:rPr>
          <w:w w:val="90"/>
          <w:sz w:val="20"/>
        </w:rPr>
        <w:t>65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24</w:t>
      </w:r>
      <w:r>
        <w:rPr>
          <w:spacing w:val="24"/>
          <w:w w:val="90"/>
          <w:sz w:val="20"/>
        </w:rPr>
        <w:t> </w:t>
      </w:r>
      <w:r>
        <w:rPr>
          <w:w w:val="90"/>
          <w:sz w:val="20"/>
        </w:rPr>
        <w:t>78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27"/>
          <w:w w:val="90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directiondelacommunication@groupe-casino.fr</w:t>
        </w:r>
      </w:hyperlink>
    </w:p>
    <w:p>
      <w:pPr>
        <w:spacing w:before="123"/>
        <w:ind w:left="2486" w:right="248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IMAGE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7</w:t>
      </w:r>
    </w:p>
    <w:p>
      <w:pPr>
        <w:spacing w:before="123"/>
        <w:ind w:left="1600" w:right="1605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(0)6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11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59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23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1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122"/>
        <w:ind w:left="1602" w:right="1604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3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  <w:u w:val="single" w:color="0000FF"/>
          </w:rPr>
          <w:t>lpoinsot@image7.fr</w:t>
        </w:r>
      </w:hyperlink>
    </w:p>
    <w:p>
      <w:pPr>
        <w:spacing w:before="121"/>
        <w:ind w:left="1602" w:right="1604" w:firstLine="0"/>
        <w:jc w:val="center"/>
        <w:rPr>
          <w:sz w:val="20"/>
        </w:rPr>
      </w:pPr>
      <w:r>
        <w:rPr>
          <w:w w:val="90"/>
          <w:sz w:val="20"/>
        </w:rPr>
        <w:t>Franck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Pasquier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73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62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57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99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hyperlink r:id="rId12">
        <w:r>
          <w:rPr>
            <w:w w:val="90"/>
            <w:sz w:val="20"/>
          </w:rPr>
          <w:t>fpasquier@image7.fr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9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Vendredi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25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août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9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8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486" w:right="2487"/>
      <w:jc w:val="center"/>
      <w:outlineLvl w:val="1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950" w:right="540" w:hanging="3402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ZOVIC,LINA</dc:creator>
  <dcterms:created xsi:type="dcterms:W3CDTF">2023-12-04T15:05:35Z</dcterms:created>
  <dcterms:modified xsi:type="dcterms:W3CDTF">2023-12-04T15:05:35Z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