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1" simplePos="0" relativeHeight="487518208">
            <wp:simplePos x="0" y="0"/>
            <wp:positionH relativeFrom="page">
              <wp:posOffset>721359</wp:posOffset>
            </wp:positionH>
            <wp:positionV relativeFrom="page">
              <wp:posOffset>182912</wp:posOffset>
            </wp:positionV>
            <wp:extent cx="6837045" cy="1050947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105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7.200001pt;margin-top:64.949982pt;width:518.25pt;height:411.3pt;mso-position-horizontal-relative:page;mso-position-vertical-relative:page;z-index:-15797760" filled="false" stroked="true" strokeweight="2pt" strokecolor="#6460a9">
            <v:stroke dashstyle="solid"/>
            <w10:wrap type="none"/>
          </v:rect>
        </w:pict>
      </w:r>
    </w:p>
    <w:p>
      <w:pPr>
        <w:pStyle w:val="Title"/>
        <w:spacing w:line="264" w:lineRule="auto"/>
      </w:pPr>
      <w:r>
        <w:rPr>
          <w:color w:val="6460A9"/>
        </w:rPr>
        <w:t>Point sur les délais de grâce relatifs aux obligations émises par le</w:t>
      </w:r>
      <w:r>
        <w:rPr>
          <w:color w:val="6460A9"/>
          <w:spacing w:val="-75"/>
        </w:rPr>
        <w:t> </w:t>
      </w:r>
      <w:r>
        <w:rPr>
          <w:color w:val="6460A9"/>
        </w:rPr>
        <w:t>groupe Casino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"/>
        <w:rPr>
          <w:rFonts w:ascii="Arial"/>
          <w:b/>
          <w:sz w:val="38"/>
        </w:rPr>
      </w:pPr>
    </w:p>
    <w:p>
      <w:pPr>
        <w:pStyle w:val="BodyText"/>
        <w:ind w:left="112"/>
        <w:jc w:val="both"/>
      </w:pPr>
      <w:r>
        <w:rPr>
          <w:w w:val="90"/>
        </w:rPr>
        <w:t>Paris,</w:t>
      </w:r>
      <w:r>
        <w:rPr>
          <w:spacing w:val="2"/>
          <w:w w:val="90"/>
        </w:rPr>
        <w:t> </w:t>
      </w:r>
      <w:r>
        <w:rPr>
          <w:w w:val="90"/>
        </w:rPr>
        <w:t>le</w:t>
      </w:r>
      <w:r>
        <w:rPr>
          <w:spacing w:val="6"/>
          <w:w w:val="90"/>
        </w:rPr>
        <w:t> </w:t>
      </w:r>
      <w:r>
        <w:rPr>
          <w:w w:val="90"/>
        </w:rPr>
        <w:t>8</w:t>
      </w:r>
      <w:r>
        <w:rPr>
          <w:spacing w:val="4"/>
          <w:w w:val="90"/>
        </w:rPr>
        <w:t> </w:t>
      </w:r>
      <w:r>
        <w:rPr>
          <w:w w:val="90"/>
        </w:rPr>
        <w:t>septembre</w:t>
      </w:r>
      <w:r>
        <w:rPr>
          <w:spacing w:val="5"/>
          <w:w w:val="90"/>
        </w:rPr>
        <w:t> </w:t>
      </w:r>
      <w:r>
        <w:rPr>
          <w:w w:val="90"/>
        </w:rPr>
        <w:t>2023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264" w:lineRule="auto" w:before="1"/>
        <w:ind w:left="112" w:right="112"/>
        <w:jc w:val="both"/>
      </w:pPr>
      <w:r>
        <w:rPr/>
        <w:t>Dans le prolongement du communiqué du 25 août 2023, et à la suite de nombreuses</w:t>
      </w:r>
      <w:r>
        <w:rPr>
          <w:spacing w:val="1"/>
        </w:rPr>
        <w:t> </w:t>
      </w:r>
      <w:r>
        <w:rPr>
          <w:w w:val="95"/>
        </w:rPr>
        <w:t>questions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7"/>
          <w:w w:val="95"/>
        </w:rPr>
        <w:t> </w:t>
      </w:r>
      <w:r>
        <w:rPr>
          <w:w w:val="95"/>
        </w:rPr>
        <w:t>part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porteurs</w:t>
      </w:r>
      <w:r>
        <w:rPr>
          <w:spacing w:val="-8"/>
          <w:w w:val="95"/>
        </w:rPr>
        <w:t> </w:t>
      </w:r>
      <w:r>
        <w:rPr>
          <w:w w:val="95"/>
        </w:rPr>
        <w:t>obligataires,</w:t>
      </w:r>
      <w:r>
        <w:rPr>
          <w:spacing w:val="-7"/>
          <w:w w:val="95"/>
        </w:rPr>
        <w:t> </w:t>
      </w:r>
      <w:r>
        <w:rPr>
          <w:w w:val="95"/>
        </w:rPr>
        <w:t>le</w:t>
      </w:r>
      <w:r>
        <w:rPr>
          <w:spacing w:val="-8"/>
          <w:w w:val="95"/>
        </w:rPr>
        <w:t> </w:t>
      </w:r>
      <w:r>
        <w:rPr>
          <w:w w:val="95"/>
        </w:rPr>
        <w:t>groupe</w:t>
      </w:r>
      <w:r>
        <w:rPr>
          <w:spacing w:val="-7"/>
          <w:w w:val="95"/>
        </w:rPr>
        <w:t> </w:t>
      </w:r>
      <w:r>
        <w:rPr>
          <w:w w:val="95"/>
        </w:rPr>
        <w:t>Casino</w:t>
      </w:r>
      <w:r>
        <w:rPr>
          <w:spacing w:val="-10"/>
          <w:w w:val="95"/>
        </w:rPr>
        <w:t> </w:t>
      </w:r>
      <w:r>
        <w:rPr>
          <w:w w:val="95"/>
        </w:rPr>
        <w:t>indique</w:t>
      </w:r>
      <w:r>
        <w:rPr>
          <w:spacing w:val="-8"/>
          <w:w w:val="95"/>
        </w:rPr>
        <w:t> </w:t>
      </w:r>
      <w:r>
        <w:rPr>
          <w:w w:val="95"/>
        </w:rPr>
        <w:t>que</w:t>
      </w:r>
      <w:r>
        <w:rPr>
          <w:spacing w:val="-5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12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66" w:lineRule="auto" w:before="0" w:after="0"/>
        <w:ind w:left="826" w:right="110" w:hanging="356"/>
        <w:jc w:val="both"/>
        <w:rPr>
          <w:sz w:val="22"/>
        </w:rPr>
      </w:pPr>
      <w:r>
        <w:rPr>
          <w:sz w:val="22"/>
        </w:rPr>
        <w:t>s’agissant</w:t>
      </w:r>
      <w:r>
        <w:rPr>
          <w:spacing w:val="-18"/>
          <w:sz w:val="22"/>
        </w:rPr>
        <w:t> </w:t>
      </w:r>
      <w:r>
        <w:rPr>
          <w:sz w:val="22"/>
        </w:rPr>
        <w:t>des</w:t>
      </w:r>
      <w:r>
        <w:rPr>
          <w:spacing w:val="-16"/>
          <w:sz w:val="22"/>
        </w:rPr>
        <w:t> </w:t>
      </w:r>
      <w:r>
        <w:rPr>
          <w:sz w:val="22"/>
        </w:rPr>
        <w:t>obligations</w:t>
      </w:r>
      <w:r>
        <w:rPr>
          <w:spacing w:val="-16"/>
          <w:sz w:val="22"/>
        </w:rPr>
        <w:t> </w:t>
      </w:r>
      <w:r>
        <w:rPr>
          <w:i/>
          <w:sz w:val="22"/>
        </w:rPr>
        <w:t>high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yield</w:t>
      </w:r>
      <w:r>
        <w:rPr>
          <w:i/>
          <w:spacing w:val="-17"/>
          <w:sz w:val="22"/>
        </w:rPr>
        <w:t> </w:t>
      </w:r>
      <w:r>
        <w:rPr>
          <w:sz w:val="22"/>
        </w:rPr>
        <w:t>non</w:t>
      </w:r>
      <w:r>
        <w:rPr>
          <w:spacing w:val="-18"/>
          <w:sz w:val="22"/>
        </w:rPr>
        <w:t> </w:t>
      </w:r>
      <w:r>
        <w:rPr>
          <w:sz w:val="22"/>
        </w:rPr>
        <w:t>sécurisées</w:t>
      </w:r>
      <w:r>
        <w:rPr>
          <w:spacing w:val="-16"/>
          <w:sz w:val="22"/>
        </w:rPr>
        <w:t> </w:t>
      </w:r>
      <w:r>
        <w:rPr>
          <w:sz w:val="22"/>
        </w:rPr>
        <w:t>émises</w:t>
      </w:r>
      <w:r>
        <w:rPr>
          <w:spacing w:val="-17"/>
          <w:sz w:val="22"/>
        </w:rPr>
        <w:t> </w:t>
      </w:r>
      <w:r>
        <w:rPr>
          <w:sz w:val="22"/>
        </w:rPr>
        <w:t>par</w:t>
      </w:r>
      <w:r>
        <w:rPr>
          <w:spacing w:val="-17"/>
          <w:sz w:val="22"/>
        </w:rPr>
        <w:t> </w:t>
      </w:r>
      <w:r>
        <w:rPr>
          <w:sz w:val="22"/>
        </w:rPr>
        <w:t>Casino,</w:t>
      </w:r>
      <w:r>
        <w:rPr>
          <w:spacing w:val="-17"/>
          <w:sz w:val="22"/>
        </w:rPr>
        <w:t> </w:t>
      </w:r>
      <w:r>
        <w:rPr>
          <w:sz w:val="22"/>
        </w:rPr>
        <w:t>à</w:t>
      </w:r>
      <w:r>
        <w:rPr>
          <w:spacing w:val="-17"/>
          <w:sz w:val="22"/>
        </w:rPr>
        <w:t> </w:t>
      </w:r>
      <w:r>
        <w:rPr>
          <w:sz w:val="22"/>
        </w:rPr>
        <w:t>maturité</w:t>
      </w:r>
      <w:r>
        <w:rPr>
          <w:spacing w:val="-75"/>
          <w:sz w:val="22"/>
        </w:rPr>
        <w:t> </w:t>
      </w:r>
      <w:r>
        <w:rPr>
          <w:w w:val="95"/>
          <w:sz w:val="22"/>
        </w:rPr>
        <w:t>2026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2027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: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l’audience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s’est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tenue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7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septembre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2023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décision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du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Président</w:t>
      </w:r>
      <w:r>
        <w:rPr>
          <w:spacing w:val="-71"/>
          <w:w w:val="95"/>
          <w:sz w:val="22"/>
        </w:rPr>
        <w:t> </w:t>
      </w:r>
      <w:r>
        <w:rPr>
          <w:sz w:val="22"/>
        </w:rPr>
        <w:t>du Tribunal de commerce de Paris sera rendue le 3 octobre 2023. Le Groupe</w:t>
      </w:r>
      <w:r>
        <w:rPr>
          <w:spacing w:val="1"/>
          <w:sz w:val="22"/>
        </w:rPr>
        <w:t> </w:t>
      </w:r>
      <w:r>
        <w:rPr>
          <w:sz w:val="22"/>
        </w:rPr>
        <w:t>communiquera</w:t>
      </w:r>
      <w:r>
        <w:rPr>
          <w:spacing w:val="-17"/>
          <w:sz w:val="22"/>
        </w:rPr>
        <w:t> </w:t>
      </w:r>
      <w:r>
        <w:rPr>
          <w:sz w:val="22"/>
        </w:rPr>
        <w:t>à</w:t>
      </w:r>
      <w:r>
        <w:rPr>
          <w:spacing w:val="-16"/>
          <w:sz w:val="22"/>
        </w:rPr>
        <w:t> </w:t>
      </w:r>
      <w:r>
        <w:rPr>
          <w:sz w:val="22"/>
        </w:rPr>
        <w:t>réception</w:t>
      </w:r>
      <w:r>
        <w:rPr>
          <w:spacing w:val="-19"/>
          <w:sz w:val="22"/>
        </w:rPr>
        <w:t> </w:t>
      </w:r>
      <w:r>
        <w:rPr>
          <w:sz w:val="22"/>
        </w:rPr>
        <w:t>de</w:t>
      </w:r>
      <w:r>
        <w:rPr>
          <w:spacing w:val="-19"/>
          <w:sz w:val="22"/>
        </w:rPr>
        <w:t> </w:t>
      </w:r>
      <w:r>
        <w:rPr>
          <w:sz w:val="22"/>
        </w:rPr>
        <w:t>cette</w:t>
      </w:r>
      <w:r>
        <w:rPr>
          <w:spacing w:val="-18"/>
          <w:sz w:val="22"/>
        </w:rPr>
        <w:t> </w:t>
      </w:r>
      <w:r>
        <w:rPr>
          <w:sz w:val="22"/>
        </w:rPr>
        <w:t>décision</w:t>
      </w:r>
      <w:r>
        <w:rPr>
          <w:spacing w:val="-15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66" w:lineRule="auto" w:before="0" w:after="0"/>
        <w:ind w:left="826" w:right="112" w:hanging="356"/>
        <w:jc w:val="both"/>
        <w:rPr>
          <w:sz w:val="22"/>
        </w:rPr>
      </w:pPr>
      <w:r>
        <w:rPr>
          <w:w w:val="90"/>
          <w:sz w:val="22"/>
        </w:rPr>
        <w:t>s’agissant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des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obligations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EMTN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maturité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2026</w:t>
      </w:r>
      <w:r>
        <w:rPr>
          <w:w w:val="90"/>
          <w:position w:val="6"/>
          <w:sz w:val="14"/>
        </w:rPr>
        <w:t>1</w:t>
      </w:r>
      <w:r>
        <w:rPr>
          <w:spacing w:val="1"/>
          <w:w w:val="90"/>
          <w:position w:val="6"/>
          <w:sz w:val="14"/>
        </w:rPr>
        <w:t> </w:t>
      </w:r>
      <w:r>
        <w:rPr>
          <w:w w:val="90"/>
          <w:sz w:val="22"/>
        </w:rPr>
        <w:t>et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des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TSSDI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émis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en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2005 :</w:t>
      </w:r>
      <w:r>
        <w:rPr>
          <w:spacing w:val="1"/>
          <w:w w:val="90"/>
          <w:sz w:val="22"/>
        </w:rPr>
        <w:t> </w:t>
      </w:r>
      <w:r>
        <w:rPr>
          <w:sz w:val="22"/>
        </w:rPr>
        <w:t>l’audience a été reportée au 10 octobre 2023. Le Groupe communiquera dans la</w:t>
      </w:r>
      <w:r>
        <w:rPr>
          <w:spacing w:val="-75"/>
          <w:sz w:val="22"/>
        </w:rPr>
        <w:t> </w:t>
      </w:r>
      <w:r>
        <w:rPr>
          <w:sz w:val="22"/>
        </w:rPr>
        <w:t>foulée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cette</w:t>
      </w:r>
      <w:r>
        <w:rPr>
          <w:spacing w:val="-18"/>
          <w:sz w:val="22"/>
        </w:rPr>
        <w:t> </w:t>
      </w:r>
      <w:r>
        <w:rPr>
          <w:sz w:val="22"/>
        </w:rPr>
        <w:t>audience</w:t>
      </w:r>
      <w:r>
        <w:rPr>
          <w:spacing w:val="-16"/>
          <w:sz w:val="22"/>
        </w:rPr>
        <w:t> </w:t>
      </w:r>
      <w:r>
        <w:rPr>
          <w:sz w:val="22"/>
        </w:rPr>
        <w:t>lorsque</w:t>
      </w:r>
      <w:r>
        <w:rPr>
          <w:spacing w:val="-20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décision</w:t>
      </w:r>
      <w:r>
        <w:rPr>
          <w:spacing w:val="-20"/>
          <w:sz w:val="22"/>
        </w:rPr>
        <w:t> </w:t>
      </w:r>
      <w:r>
        <w:rPr>
          <w:sz w:val="22"/>
        </w:rPr>
        <w:t>sera</w:t>
      </w:r>
      <w:r>
        <w:rPr>
          <w:spacing w:val="-17"/>
          <w:sz w:val="22"/>
        </w:rPr>
        <w:t> </w:t>
      </w:r>
      <w:r>
        <w:rPr>
          <w:sz w:val="22"/>
        </w:rPr>
        <w:t>rendue.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  <w:spacing w:line="268" w:lineRule="auto" w:before="0"/>
        <w:ind w:left="112" w:right="109"/>
        <w:jc w:val="both"/>
        <w:rPr>
          <w:rFonts w:ascii="Verdana" w:hAnsi="Verdana"/>
          <w:b w:val="0"/>
        </w:rPr>
      </w:pPr>
      <w:r>
        <w:rPr>
          <w:spacing w:val="-1"/>
        </w:rPr>
        <w:t>Dans l’intervalle, toute obligation de paiement au titre des instruments </w:t>
      </w:r>
      <w:r>
        <w:rPr/>
        <w:t>concernés reste</w:t>
      </w:r>
      <w:r>
        <w:rPr>
          <w:spacing w:val="-62"/>
        </w:rPr>
        <w:t> </w:t>
      </w:r>
      <w:r>
        <w:rPr/>
        <w:t>suspendue</w:t>
      </w:r>
      <w:r>
        <w:rPr>
          <w:spacing w:val="-7"/>
        </w:rPr>
        <w:t> </w:t>
      </w:r>
      <w:r>
        <w:rPr/>
        <w:t>provisoirement</w:t>
      </w:r>
      <w:r>
        <w:rPr>
          <w:rFonts w:ascii="Verdana" w:hAnsi="Verdana"/>
          <w:b w:val="0"/>
        </w:rPr>
        <w:t>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66" w:lineRule="auto"/>
        <w:ind w:left="112" w:right="112"/>
        <w:jc w:val="both"/>
      </w:pPr>
      <w:r>
        <w:rPr>
          <w:w w:val="95"/>
        </w:rPr>
        <w:t>Enfin, le Président du Tribunal de commerce de Paris a octroyé les délais de grâce sollicités</w:t>
      </w:r>
      <w:r>
        <w:rPr>
          <w:spacing w:val="-71"/>
          <w:w w:val="95"/>
        </w:rPr>
        <w:t> </w:t>
      </w:r>
      <w:r>
        <w:rPr>
          <w:spacing w:val="-1"/>
          <w:w w:val="111"/>
        </w:rPr>
        <w:t>p</w:t>
      </w:r>
      <w:r>
        <w:rPr>
          <w:w w:val="111"/>
        </w:rPr>
        <w:t>a</w:t>
      </w:r>
      <w:r>
        <w:rPr>
          <w:w w:val="70"/>
        </w:rPr>
        <w:t>r</w:t>
      </w:r>
      <w:r>
        <w:rPr>
          <w:spacing w:val="-15"/>
        </w:rPr>
        <w:t> </w:t>
      </w:r>
      <w:r>
        <w:rPr>
          <w:spacing w:val="1"/>
          <w:w w:val="73"/>
        </w:rPr>
        <w:t>l</w:t>
      </w:r>
      <w:r>
        <w:rPr>
          <w:w w:val="109"/>
        </w:rPr>
        <w:t>e</w:t>
      </w:r>
      <w:r>
        <w:rPr>
          <w:spacing w:val="-13"/>
        </w:rPr>
        <w:t> </w:t>
      </w:r>
      <w:r>
        <w:rPr>
          <w:spacing w:val="-1"/>
          <w:w w:val="100"/>
        </w:rPr>
        <w:t>Gro</w:t>
      </w:r>
      <w:r>
        <w:rPr>
          <w:spacing w:val="-3"/>
          <w:w w:val="100"/>
        </w:rPr>
        <w:t>u</w:t>
      </w:r>
      <w:r>
        <w:rPr>
          <w:spacing w:val="-1"/>
          <w:w w:val="109"/>
        </w:rPr>
        <w:t>p</w:t>
      </w:r>
      <w:r>
        <w:rPr>
          <w:w w:val="109"/>
        </w:rPr>
        <w:t>e</w:t>
      </w:r>
      <w:r>
        <w:rPr>
          <w:spacing w:val="-13"/>
        </w:rPr>
        <w:t> </w:t>
      </w:r>
      <w:r>
        <w:rPr>
          <w:spacing w:val="-2"/>
          <w:w w:val="70"/>
        </w:rPr>
        <w:t>r</w:t>
      </w:r>
      <w:r>
        <w:rPr>
          <w:w w:val="97"/>
        </w:rPr>
        <w:t>elat</w:t>
      </w:r>
      <w:r>
        <w:rPr>
          <w:spacing w:val="-2"/>
          <w:w w:val="97"/>
        </w:rPr>
        <w:t>i</w:t>
      </w:r>
      <w:r>
        <w:rPr>
          <w:spacing w:val="-1"/>
          <w:w w:val="101"/>
        </w:rPr>
        <w:t>v</w:t>
      </w:r>
      <w:r>
        <w:rPr>
          <w:spacing w:val="-2"/>
          <w:w w:val="101"/>
        </w:rPr>
        <w:t>e</w:t>
      </w:r>
      <w:r>
        <w:rPr>
          <w:spacing w:val="-1"/>
          <w:w w:val="96"/>
        </w:rPr>
        <w:t>m</w:t>
      </w:r>
      <w:r>
        <w:rPr>
          <w:w w:val="98"/>
        </w:rPr>
        <w:t>ent</w:t>
      </w:r>
      <w:r>
        <w:rPr>
          <w:spacing w:val="-14"/>
        </w:rPr>
        <w:t> </w:t>
      </w:r>
      <w:r>
        <w:rPr>
          <w:spacing w:val="-1"/>
          <w:w w:val="97"/>
        </w:rPr>
        <w:t>au</w:t>
      </w:r>
      <w:r>
        <w:rPr>
          <w:w w:val="97"/>
        </w:rPr>
        <w:t>x</w:t>
      </w:r>
      <w:r>
        <w:rPr>
          <w:spacing w:val="-10"/>
        </w:rPr>
        <w:t> </w:t>
      </w:r>
      <w:r>
        <w:rPr>
          <w:w w:val="102"/>
        </w:rPr>
        <w:t>ob</w:t>
      </w:r>
      <w:r>
        <w:rPr>
          <w:spacing w:val="-1"/>
          <w:w w:val="102"/>
        </w:rPr>
        <w:t>l</w:t>
      </w:r>
      <w:r>
        <w:rPr>
          <w:spacing w:val="1"/>
          <w:w w:val="73"/>
        </w:rPr>
        <w:t>i</w:t>
      </w:r>
      <w:r>
        <w:rPr>
          <w:spacing w:val="-3"/>
          <w:w w:val="108"/>
        </w:rPr>
        <w:t>g</w:t>
      </w:r>
      <w:r>
        <w:rPr>
          <w:spacing w:val="-1"/>
          <w:w w:val="96"/>
        </w:rPr>
        <w:t>at</w:t>
      </w:r>
      <w:r>
        <w:rPr>
          <w:spacing w:val="1"/>
          <w:w w:val="96"/>
        </w:rPr>
        <w:t>i</w:t>
      </w:r>
      <w:r>
        <w:rPr>
          <w:w w:val="102"/>
        </w:rPr>
        <w:t>o</w:t>
      </w:r>
      <w:r>
        <w:rPr>
          <w:spacing w:val="-4"/>
          <w:w w:val="102"/>
        </w:rPr>
        <w:t>n</w:t>
      </w:r>
      <w:r>
        <w:rPr>
          <w:w w:val="74"/>
        </w:rPr>
        <w:t>s</w:t>
      </w:r>
      <w:r>
        <w:rPr>
          <w:spacing w:val="-13"/>
        </w:rPr>
        <w:t> </w:t>
      </w:r>
      <w:r>
        <w:rPr>
          <w:spacing w:val="-2"/>
          <w:w w:val="109"/>
        </w:rPr>
        <w:t>é</w:t>
      </w:r>
      <w:r>
        <w:rPr>
          <w:spacing w:val="-1"/>
          <w:w w:val="96"/>
        </w:rPr>
        <w:t>m</w:t>
      </w:r>
      <w:r>
        <w:rPr>
          <w:spacing w:val="1"/>
          <w:w w:val="73"/>
        </w:rPr>
        <w:t>i</w:t>
      </w:r>
      <w:r>
        <w:rPr>
          <w:w w:val="74"/>
        </w:rPr>
        <w:t>s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spacing w:val="-13"/>
        </w:rPr>
        <w:t> </w:t>
      </w:r>
      <w:r>
        <w:rPr>
          <w:spacing w:val="-1"/>
          <w:w w:val="111"/>
        </w:rPr>
        <w:t>p</w:t>
      </w:r>
      <w:r>
        <w:rPr>
          <w:spacing w:val="-2"/>
          <w:w w:val="111"/>
        </w:rPr>
        <w:t>a</w:t>
      </w:r>
      <w:r>
        <w:rPr>
          <w:w w:val="70"/>
        </w:rPr>
        <w:t>r</w:t>
      </w:r>
      <w:r>
        <w:rPr>
          <w:spacing w:val="-13"/>
        </w:rPr>
        <w:t> </w:t>
      </w:r>
      <w:r>
        <w:rPr>
          <w:spacing w:val="-2"/>
          <w:w w:val="109"/>
        </w:rPr>
        <w:t>M</w:t>
      </w:r>
      <w:r>
        <w:rPr>
          <w:w w:val="102"/>
        </w:rPr>
        <w:t>o</w:t>
      </w:r>
      <w:r>
        <w:rPr>
          <w:spacing w:val="-1"/>
          <w:w w:val="102"/>
        </w:rPr>
        <w:t>n</w:t>
      </w:r>
      <w:r>
        <w:rPr>
          <w:w w:val="99"/>
        </w:rPr>
        <w:t>op</w:t>
      </w:r>
      <w:r>
        <w:rPr>
          <w:spacing w:val="-2"/>
          <w:w w:val="99"/>
        </w:rPr>
        <w:t>r</w:t>
      </w:r>
      <w:r>
        <w:rPr>
          <w:spacing w:val="1"/>
          <w:w w:val="73"/>
        </w:rPr>
        <w:t>i</w:t>
      </w:r>
      <w:r>
        <w:rPr>
          <w:w w:val="81"/>
        </w:rPr>
        <w:t>x</w:t>
      </w:r>
      <w:r>
        <w:rPr>
          <w:spacing w:val="-14"/>
        </w:rPr>
        <w:t> </w:t>
      </w:r>
      <w:r>
        <w:rPr>
          <w:spacing w:val="-1"/>
          <w:w w:val="85"/>
        </w:rPr>
        <w:t>E</w:t>
      </w:r>
      <w:r>
        <w:rPr>
          <w:w w:val="91"/>
        </w:rPr>
        <w:t>xp</w:t>
      </w:r>
      <w:r>
        <w:rPr>
          <w:spacing w:val="1"/>
          <w:w w:val="91"/>
        </w:rPr>
        <w:t>l</w:t>
      </w:r>
      <w:r>
        <w:rPr>
          <w:spacing w:val="-4"/>
          <w:w w:val="108"/>
        </w:rPr>
        <w:t>o</w:t>
      </w:r>
      <w:r>
        <w:rPr>
          <w:spacing w:val="1"/>
          <w:w w:val="73"/>
        </w:rPr>
        <w:t>i</w:t>
      </w:r>
      <w:r>
        <w:rPr>
          <w:w w:val="98"/>
        </w:rPr>
        <w:t>ta</w:t>
      </w:r>
      <w:r>
        <w:rPr>
          <w:spacing w:val="-3"/>
          <w:w w:val="98"/>
        </w:rPr>
        <w:t>t</w:t>
      </w:r>
      <w:r>
        <w:rPr>
          <w:spacing w:val="1"/>
          <w:w w:val="73"/>
        </w:rPr>
        <w:t>i</w:t>
      </w:r>
      <w:r>
        <w:rPr>
          <w:w w:val="102"/>
        </w:rPr>
        <w:t>on</w:t>
      </w:r>
      <w:r>
        <w:rPr>
          <w:spacing w:val="-10"/>
        </w:rPr>
        <w:t> </w:t>
      </w:r>
      <w:r>
        <w:rPr>
          <w:w w:val="100"/>
        </w:rPr>
        <w:t>et</w:t>
      </w:r>
      <w:r>
        <w:rPr>
          <w:spacing w:val="-13"/>
        </w:rPr>
        <w:t> </w:t>
      </w:r>
      <w:r>
        <w:rPr>
          <w:w w:val="124"/>
        </w:rPr>
        <w:t>c</w:t>
      </w:r>
      <w:r>
        <w:rPr>
          <w:w w:val="109"/>
        </w:rPr>
        <w:t>e</w:t>
      </w:r>
      <w:r>
        <w:rPr>
          <w:spacing w:val="-13"/>
        </w:rPr>
        <w:t> </w:t>
      </w:r>
      <w:r>
        <w:rPr>
          <w:spacing w:val="-2"/>
          <w:w w:val="59"/>
        </w:rPr>
        <w:t>j</w:t>
      </w:r>
      <w:r>
        <w:rPr>
          <w:w w:val="86"/>
        </w:rPr>
        <w:t>u</w:t>
      </w:r>
      <w:r>
        <w:rPr>
          <w:spacing w:val="-2"/>
          <w:w w:val="86"/>
        </w:rPr>
        <w:t>s</w:t>
      </w:r>
      <w:r>
        <w:rPr>
          <w:spacing w:val="-1"/>
          <w:w w:val="103"/>
        </w:rPr>
        <w:t>q</w:t>
      </w:r>
      <w:r>
        <w:rPr>
          <w:w w:val="103"/>
        </w:rPr>
        <w:t>u</w:t>
      </w:r>
      <w:r>
        <w:rPr>
          <w:spacing w:val="-4"/>
          <w:w w:val="131"/>
        </w:rPr>
        <w:t>’</w:t>
      </w:r>
      <w:r>
        <w:rPr>
          <w:w w:val="114"/>
        </w:rPr>
        <w:t>à </w:t>
      </w:r>
      <w:r>
        <w:rPr/>
        <w:t>l’expiration</w:t>
      </w:r>
      <w:r>
        <w:rPr>
          <w:spacing w:val="-19"/>
        </w:rPr>
        <w:t> </w:t>
      </w:r>
      <w:r>
        <w:rPr/>
        <w:t>de</w:t>
      </w:r>
      <w:r>
        <w:rPr>
          <w:spacing w:val="-17"/>
        </w:rPr>
        <w:t> </w:t>
      </w:r>
      <w:r>
        <w:rPr/>
        <w:t>la</w:t>
      </w:r>
      <w:r>
        <w:rPr>
          <w:spacing w:val="-17"/>
        </w:rPr>
        <w:t> </w:t>
      </w:r>
      <w:r>
        <w:rPr/>
        <w:t>période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conciliation.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78" w:lineRule="auto" w:before="164"/>
        <w:ind w:left="112" w:right="115" w:firstLine="0"/>
        <w:jc w:val="both"/>
        <w:rPr>
          <w:i/>
          <w:sz w:val="20"/>
        </w:rPr>
      </w:pPr>
      <w:r>
        <w:rPr>
          <w:i/>
          <w:sz w:val="20"/>
        </w:rPr>
        <w:t>Ce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communiqué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été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préparé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uniquement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titre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informatif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doit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pas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être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interprété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comme</w:t>
      </w:r>
      <w:r>
        <w:rPr>
          <w:i/>
          <w:spacing w:val="-68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sollicitation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offre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d'achat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vente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valeurs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mobilières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instruments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financiers</w:t>
      </w:r>
      <w:r>
        <w:rPr>
          <w:i/>
          <w:spacing w:val="-68"/>
          <w:sz w:val="20"/>
        </w:rPr>
        <w:t> </w:t>
      </w:r>
      <w:r>
        <w:rPr>
          <w:i/>
          <w:w w:val="95"/>
          <w:sz w:val="20"/>
        </w:rPr>
        <w:t>connexes.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-2"/>
          <w:w w:val="95"/>
          <w:sz w:val="20"/>
        </w:rPr>
        <w:t> </w:t>
      </w:r>
      <w:r>
        <w:rPr>
          <w:i/>
          <w:w w:val="95"/>
          <w:sz w:val="20"/>
        </w:rPr>
        <w:t>même,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il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ne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donne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pas</w:t>
      </w:r>
      <w:r>
        <w:rPr>
          <w:i/>
          <w:spacing w:val="-4"/>
          <w:w w:val="95"/>
          <w:sz w:val="20"/>
        </w:rPr>
        <w:t> </w:t>
      </w:r>
      <w:r>
        <w:rPr>
          <w:i/>
          <w:w w:val="95"/>
          <w:sz w:val="20"/>
        </w:rPr>
        <w:t>et</w:t>
      </w:r>
      <w:r>
        <w:rPr>
          <w:i/>
          <w:spacing w:val="-4"/>
          <w:w w:val="95"/>
          <w:sz w:val="20"/>
        </w:rPr>
        <w:t> </w:t>
      </w:r>
      <w:r>
        <w:rPr>
          <w:i/>
          <w:w w:val="95"/>
          <w:sz w:val="20"/>
        </w:rPr>
        <w:t>ne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doit</w:t>
      </w:r>
      <w:r>
        <w:rPr>
          <w:i/>
          <w:spacing w:val="-4"/>
          <w:w w:val="95"/>
          <w:sz w:val="20"/>
        </w:rPr>
        <w:t> </w:t>
      </w:r>
      <w:r>
        <w:rPr>
          <w:i/>
          <w:w w:val="95"/>
          <w:sz w:val="20"/>
        </w:rPr>
        <w:t>pas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être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traité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comme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un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conseil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d'investissement.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Il</w:t>
      </w:r>
      <w:r>
        <w:rPr>
          <w:i/>
          <w:spacing w:val="-65"/>
          <w:w w:val="95"/>
          <w:sz w:val="20"/>
        </w:rPr>
        <w:t> </w:t>
      </w:r>
      <w:r>
        <w:rPr>
          <w:i/>
          <w:sz w:val="20"/>
        </w:rPr>
        <w:t>n'a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aucun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égard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aux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objectifs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placement,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situation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financière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besoins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particuliers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8"/>
          <w:sz w:val="20"/>
        </w:rPr>
        <w:t> </w:t>
      </w:r>
      <w:r>
        <w:rPr>
          <w:i/>
          <w:w w:val="95"/>
          <w:sz w:val="20"/>
        </w:rPr>
        <w:t>tout</w:t>
      </w:r>
      <w:r>
        <w:rPr>
          <w:i/>
          <w:spacing w:val="13"/>
          <w:w w:val="95"/>
          <w:sz w:val="20"/>
        </w:rPr>
        <w:t> </w:t>
      </w:r>
      <w:r>
        <w:rPr>
          <w:i/>
          <w:w w:val="95"/>
          <w:sz w:val="20"/>
        </w:rPr>
        <w:t>récepteur.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Aucune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représentation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ou</w:t>
      </w:r>
      <w:r>
        <w:rPr>
          <w:i/>
          <w:spacing w:val="10"/>
          <w:w w:val="95"/>
          <w:sz w:val="20"/>
        </w:rPr>
        <w:t> </w:t>
      </w:r>
      <w:r>
        <w:rPr>
          <w:i/>
          <w:w w:val="95"/>
          <w:sz w:val="20"/>
        </w:rPr>
        <w:t>garantie,</w:t>
      </w:r>
      <w:r>
        <w:rPr>
          <w:i/>
          <w:spacing w:val="13"/>
          <w:w w:val="95"/>
          <w:sz w:val="20"/>
        </w:rPr>
        <w:t> </w:t>
      </w:r>
      <w:r>
        <w:rPr>
          <w:i/>
          <w:w w:val="95"/>
          <w:sz w:val="20"/>
        </w:rPr>
        <w:t>expresse</w:t>
      </w:r>
      <w:r>
        <w:rPr>
          <w:i/>
          <w:spacing w:val="13"/>
          <w:w w:val="95"/>
          <w:sz w:val="20"/>
        </w:rPr>
        <w:t> </w:t>
      </w:r>
      <w:r>
        <w:rPr>
          <w:i/>
          <w:w w:val="95"/>
          <w:sz w:val="20"/>
        </w:rPr>
        <w:t>ou</w:t>
      </w:r>
      <w:r>
        <w:rPr>
          <w:i/>
          <w:spacing w:val="13"/>
          <w:w w:val="95"/>
          <w:sz w:val="20"/>
        </w:rPr>
        <w:t> </w:t>
      </w:r>
      <w:r>
        <w:rPr>
          <w:i/>
          <w:w w:val="95"/>
          <w:sz w:val="20"/>
        </w:rPr>
        <w:t>implicite,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n'est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fournie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par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rapport</w:t>
      </w:r>
      <w:r>
        <w:rPr>
          <w:i/>
          <w:spacing w:val="-65"/>
          <w:w w:val="95"/>
          <w:sz w:val="20"/>
        </w:rPr>
        <w:t> </w:t>
      </w:r>
      <w:r>
        <w:rPr>
          <w:i/>
          <w:sz w:val="20"/>
        </w:rPr>
        <w:t>à l'exactitude, l'exhaustivité ou la fiabilité des informations contenues dans ce document. Il ne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devrait pas être considéré par les bénéficiaires comme un substitut à l'exercice de leur propre</w:t>
      </w:r>
      <w:r>
        <w:rPr>
          <w:i/>
          <w:spacing w:val="1"/>
          <w:sz w:val="20"/>
        </w:rPr>
        <w:t> </w:t>
      </w:r>
      <w:r>
        <w:rPr>
          <w:i/>
          <w:w w:val="95"/>
          <w:sz w:val="20"/>
        </w:rPr>
        <w:t>jugement.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Toutes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les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opinions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exprimées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dans</w:t>
      </w:r>
      <w:r>
        <w:rPr>
          <w:i/>
          <w:spacing w:val="-16"/>
          <w:w w:val="95"/>
          <w:sz w:val="20"/>
        </w:rPr>
        <w:t> </w:t>
      </w:r>
      <w:r>
        <w:rPr>
          <w:i/>
          <w:w w:val="95"/>
          <w:sz w:val="20"/>
        </w:rPr>
        <w:t>ce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document</w:t>
      </w:r>
      <w:r>
        <w:rPr>
          <w:i/>
          <w:spacing w:val="-15"/>
          <w:w w:val="95"/>
          <w:sz w:val="20"/>
        </w:rPr>
        <w:t> </w:t>
      </w:r>
      <w:r>
        <w:rPr>
          <w:i/>
          <w:w w:val="95"/>
          <w:sz w:val="20"/>
        </w:rPr>
        <w:t>sont</w:t>
      </w:r>
      <w:r>
        <w:rPr>
          <w:i/>
          <w:spacing w:val="-14"/>
          <w:w w:val="95"/>
          <w:sz w:val="20"/>
        </w:rPr>
        <w:t> </w:t>
      </w:r>
      <w:r>
        <w:rPr>
          <w:i/>
          <w:w w:val="95"/>
          <w:sz w:val="20"/>
        </w:rPr>
        <w:t>sujettes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à</w:t>
      </w:r>
      <w:r>
        <w:rPr>
          <w:i/>
          <w:spacing w:val="-16"/>
          <w:w w:val="95"/>
          <w:sz w:val="20"/>
        </w:rPr>
        <w:t> </w:t>
      </w:r>
      <w:r>
        <w:rPr>
          <w:i/>
          <w:w w:val="95"/>
          <w:sz w:val="20"/>
        </w:rPr>
        <w:t>changement</w:t>
      </w:r>
      <w:r>
        <w:rPr>
          <w:i/>
          <w:spacing w:val="-14"/>
          <w:w w:val="95"/>
          <w:sz w:val="20"/>
        </w:rPr>
        <w:t> </w:t>
      </w:r>
      <w:r>
        <w:rPr>
          <w:i/>
          <w:w w:val="95"/>
          <w:sz w:val="20"/>
        </w:rPr>
        <w:t>sans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préavis.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8"/>
        </w:rPr>
      </w:pPr>
      <w:r>
        <w:rPr/>
        <w:pict>
          <v:rect style="position:absolute;margin-left:56.639999pt;margin-top:13.08622pt;width:144.050pt;height:.4800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i/>
          <w:sz w:val="6"/>
        </w:rPr>
      </w:pPr>
    </w:p>
    <w:p>
      <w:pPr>
        <w:spacing w:line="244" w:lineRule="auto" w:before="99"/>
        <w:ind w:left="112" w:right="0" w:firstLine="0"/>
        <w:jc w:val="left"/>
        <w:rPr>
          <w:sz w:val="20"/>
        </w:rPr>
      </w:pPr>
      <w:r>
        <w:rPr>
          <w:color w:val="0D0D0D"/>
          <w:w w:val="95"/>
          <w:position w:val="5"/>
          <w:sz w:val="13"/>
        </w:rPr>
        <w:t>1</w:t>
      </w:r>
      <w:r>
        <w:rPr>
          <w:color w:val="0D0D0D"/>
          <w:spacing w:val="15"/>
          <w:w w:val="95"/>
          <w:position w:val="5"/>
          <w:sz w:val="13"/>
        </w:rPr>
        <w:t> </w:t>
      </w:r>
      <w:r>
        <w:rPr>
          <w:color w:val="0D0D0D"/>
          <w:w w:val="95"/>
          <w:sz w:val="20"/>
        </w:rPr>
        <w:t>Les</w:t>
      </w:r>
      <w:r>
        <w:rPr>
          <w:color w:val="0D0D0D"/>
          <w:spacing w:val="-9"/>
          <w:w w:val="95"/>
          <w:sz w:val="20"/>
        </w:rPr>
        <w:t> </w:t>
      </w:r>
      <w:r>
        <w:rPr>
          <w:color w:val="0D0D0D"/>
          <w:w w:val="95"/>
          <w:sz w:val="20"/>
        </w:rPr>
        <w:t>porteurs</w:t>
      </w:r>
      <w:r>
        <w:rPr>
          <w:color w:val="0D0D0D"/>
          <w:spacing w:val="-9"/>
          <w:w w:val="95"/>
          <w:sz w:val="20"/>
        </w:rPr>
        <w:t> </w:t>
      </w:r>
      <w:r>
        <w:rPr>
          <w:color w:val="0D0D0D"/>
          <w:w w:val="95"/>
          <w:sz w:val="20"/>
        </w:rPr>
        <w:t>des</w:t>
      </w:r>
      <w:r>
        <w:rPr>
          <w:color w:val="0D0D0D"/>
          <w:spacing w:val="-9"/>
          <w:w w:val="95"/>
          <w:sz w:val="20"/>
        </w:rPr>
        <w:t> </w:t>
      </w:r>
      <w:r>
        <w:rPr>
          <w:color w:val="0D0D0D"/>
          <w:w w:val="95"/>
          <w:sz w:val="20"/>
        </w:rPr>
        <w:t>obligations</w:t>
      </w:r>
      <w:r>
        <w:rPr>
          <w:color w:val="0D0D0D"/>
          <w:spacing w:val="-9"/>
          <w:w w:val="95"/>
          <w:sz w:val="20"/>
        </w:rPr>
        <w:t> </w:t>
      </w:r>
      <w:r>
        <w:rPr>
          <w:color w:val="0D0D0D"/>
          <w:w w:val="95"/>
          <w:sz w:val="20"/>
        </w:rPr>
        <w:t>EMTN</w:t>
      </w:r>
      <w:r>
        <w:rPr>
          <w:color w:val="0D0D0D"/>
          <w:spacing w:val="-10"/>
          <w:w w:val="95"/>
          <w:sz w:val="20"/>
        </w:rPr>
        <w:t> </w:t>
      </w:r>
      <w:r>
        <w:rPr>
          <w:color w:val="0D0D0D"/>
          <w:w w:val="95"/>
          <w:sz w:val="20"/>
        </w:rPr>
        <w:t>à</w:t>
      </w:r>
      <w:r>
        <w:rPr>
          <w:color w:val="0D0D0D"/>
          <w:spacing w:val="-8"/>
          <w:w w:val="95"/>
          <w:sz w:val="20"/>
        </w:rPr>
        <w:t> </w:t>
      </w:r>
      <w:r>
        <w:rPr>
          <w:color w:val="0D0D0D"/>
          <w:w w:val="95"/>
          <w:sz w:val="20"/>
        </w:rPr>
        <w:t>maturité</w:t>
      </w:r>
      <w:r>
        <w:rPr>
          <w:color w:val="0D0D0D"/>
          <w:spacing w:val="-9"/>
          <w:w w:val="95"/>
          <w:sz w:val="20"/>
        </w:rPr>
        <w:t> </w:t>
      </w:r>
      <w:r>
        <w:rPr>
          <w:color w:val="0D0D0D"/>
          <w:w w:val="95"/>
          <w:sz w:val="20"/>
        </w:rPr>
        <w:t>2024</w:t>
      </w:r>
      <w:r>
        <w:rPr>
          <w:color w:val="0D0D0D"/>
          <w:spacing w:val="-9"/>
          <w:w w:val="95"/>
          <w:sz w:val="20"/>
        </w:rPr>
        <w:t> </w:t>
      </w:r>
      <w:r>
        <w:rPr>
          <w:color w:val="0D0D0D"/>
          <w:w w:val="95"/>
          <w:sz w:val="20"/>
        </w:rPr>
        <w:t>et</w:t>
      </w:r>
      <w:r>
        <w:rPr>
          <w:color w:val="0D0D0D"/>
          <w:spacing w:val="-7"/>
          <w:w w:val="95"/>
          <w:sz w:val="20"/>
        </w:rPr>
        <w:t> </w:t>
      </w:r>
      <w:r>
        <w:rPr>
          <w:color w:val="0D0D0D"/>
          <w:w w:val="95"/>
          <w:sz w:val="20"/>
        </w:rPr>
        <w:t>2025</w:t>
      </w:r>
      <w:r>
        <w:rPr>
          <w:color w:val="0D0D0D"/>
          <w:spacing w:val="-9"/>
          <w:w w:val="95"/>
          <w:sz w:val="20"/>
        </w:rPr>
        <w:t> </w:t>
      </w:r>
      <w:r>
        <w:rPr>
          <w:color w:val="0D0D0D"/>
          <w:w w:val="95"/>
          <w:sz w:val="20"/>
        </w:rPr>
        <w:t>ont</w:t>
      </w:r>
      <w:r>
        <w:rPr>
          <w:color w:val="0D0D0D"/>
          <w:spacing w:val="-7"/>
          <w:w w:val="95"/>
          <w:sz w:val="20"/>
        </w:rPr>
        <w:t> </w:t>
      </w:r>
      <w:r>
        <w:rPr>
          <w:color w:val="0D0D0D"/>
          <w:w w:val="95"/>
          <w:sz w:val="20"/>
        </w:rPr>
        <w:t>octroyé</w:t>
      </w:r>
      <w:r>
        <w:rPr>
          <w:color w:val="0D0D0D"/>
          <w:spacing w:val="-6"/>
          <w:w w:val="95"/>
          <w:sz w:val="20"/>
        </w:rPr>
        <w:t> </w:t>
      </w:r>
      <w:r>
        <w:rPr>
          <w:color w:val="0D0D0D"/>
          <w:w w:val="95"/>
          <w:sz w:val="20"/>
        </w:rPr>
        <w:t>le</w:t>
      </w:r>
      <w:r>
        <w:rPr>
          <w:color w:val="0D0D0D"/>
          <w:spacing w:val="-3"/>
          <w:w w:val="95"/>
          <w:sz w:val="20"/>
        </w:rPr>
        <w:t> </w:t>
      </w:r>
      <w:r>
        <w:rPr>
          <w:i/>
          <w:color w:val="0D0D0D"/>
          <w:w w:val="95"/>
          <w:sz w:val="20"/>
        </w:rPr>
        <w:t>waiver</w:t>
      </w:r>
      <w:r>
        <w:rPr>
          <w:i/>
          <w:color w:val="0D0D0D"/>
          <w:spacing w:val="-7"/>
          <w:w w:val="95"/>
          <w:sz w:val="20"/>
        </w:rPr>
        <w:t> </w:t>
      </w:r>
      <w:r>
        <w:rPr>
          <w:color w:val="0D0D0D"/>
          <w:w w:val="95"/>
          <w:sz w:val="20"/>
        </w:rPr>
        <w:t>demandé</w:t>
      </w:r>
      <w:r>
        <w:rPr>
          <w:color w:val="0D0D0D"/>
          <w:spacing w:val="-9"/>
          <w:w w:val="95"/>
          <w:sz w:val="20"/>
        </w:rPr>
        <w:t> </w:t>
      </w:r>
      <w:r>
        <w:rPr>
          <w:color w:val="0D0D0D"/>
          <w:w w:val="95"/>
          <w:sz w:val="20"/>
        </w:rPr>
        <w:t>par</w:t>
      </w:r>
      <w:r>
        <w:rPr>
          <w:color w:val="0D0D0D"/>
          <w:spacing w:val="-9"/>
          <w:w w:val="95"/>
          <w:sz w:val="20"/>
        </w:rPr>
        <w:t> </w:t>
      </w:r>
      <w:r>
        <w:rPr>
          <w:color w:val="0D0D0D"/>
          <w:w w:val="95"/>
          <w:sz w:val="20"/>
        </w:rPr>
        <w:t>les</w:t>
      </w:r>
      <w:r>
        <w:rPr>
          <w:color w:val="0D0D0D"/>
          <w:spacing w:val="-64"/>
          <w:w w:val="95"/>
          <w:sz w:val="20"/>
        </w:rPr>
        <w:t> </w:t>
      </w:r>
      <w:r>
        <w:rPr>
          <w:color w:val="0D0D0D"/>
          <w:sz w:val="20"/>
        </w:rPr>
        <w:t>conciliateurs.</w:t>
      </w:r>
    </w:p>
    <w:p>
      <w:pPr>
        <w:spacing w:before="169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5"/>
          <w:sz w:val="20"/>
        </w:rPr>
        <w:t>Vendredi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8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septembre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8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▪</w:t>
      </w:r>
      <w:r>
        <w:rPr>
          <w:rFonts w:ascii="Tahoma" w:hAnsi="Tahoma"/>
          <w:b/>
          <w:color w:val="3CA05A"/>
          <w:spacing w:val="4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260" w:bottom="0" w:left="1020" w:right="1020"/>
        </w:sectPr>
      </w:pPr>
    </w:p>
    <w:p>
      <w:pPr>
        <w:pStyle w:val="Heading1"/>
        <w:spacing w:before="80"/>
        <w:rPr>
          <w:rFonts w:ascii="Arial"/>
        </w:rPr>
      </w:pPr>
      <w:r>
        <w:rPr/>
        <w:drawing>
          <wp:anchor distT="0" distB="0" distL="0" distR="0" allowOverlap="1" layoutInCell="1" locked="0" behindDoc="1" simplePos="0" relativeHeight="487519232">
            <wp:simplePos x="0" y="0"/>
            <wp:positionH relativeFrom="page">
              <wp:posOffset>721359</wp:posOffset>
            </wp:positionH>
            <wp:positionV relativeFrom="page">
              <wp:posOffset>182912</wp:posOffset>
            </wp:positionV>
            <wp:extent cx="6837045" cy="1050947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105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6460A9"/>
        </w:rPr>
        <w:t>***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</w:rPr>
      </w:pPr>
    </w:p>
    <w:p>
      <w:pPr>
        <w:spacing w:before="1"/>
        <w:ind w:left="2486" w:right="248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6460A9"/>
          <w:sz w:val="22"/>
        </w:rPr>
        <w:t>CONTACTS ANALYSTES</w:t>
      </w:r>
      <w:r>
        <w:rPr>
          <w:rFonts w:ascii="Arial"/>
          <w:b/>
          <w:color w:val="6460A9"/>
          <w:spacing w:val="-4"/>
          <w:sz w:val="22"/>
        </w:rPr>
        <w:t> </w:t>
      </w:r>
      <w:r>
        <w:rPr>
          <w:rFonts w:ascii="Arial"/>
          <w:b/>
          <w:color w:val="6460A9"/>
          <w:sz w:val="22"/>
        </w:rPr>
        <w:t>ET</w:t>
      </w:r>
      <w:r>
        <w:rPr>
          <w:rFonts w:ascii="Arial"/>
          <w:b/>
          <w:color w:val="6460A9"/>
          <w:spacing w:val="-6"/>
          <w:sz w:val="22"/>
        </w:rPr>
        <w:t> </w:t>
      </w:r>
      <w:r>
        <w:rPr>
          <w:rFonts w:ascii="Arial"/>
          <w:b/>
          <w:color w:val="6460A9"/>
          <w:sz w:val="22"/>
        </w:rPr>
        <w:t>INVESTISSEURS</w:t>
      </w:r>
    </w:p>
    <w:p>
      <w:pPr>
        <w:spacing w:line="242" w:lineRule="auto" w:before="44"/>
        <w:ind w:left="2486" w:right="2489" w:firstLine="0"/>
        <w:jc w:val="center"/>
        <w:rPr>
          <w:sz w:val="22"/>
        </w:rPr>
      </w:pPr>
      <w:r>
        <w:rPr>
          <w:rFonts w:ascii="Tahoma" w:hAnsi="Tahoma"/>
          <w:b/>
          <w:w w:val="85"/>
          <w:sz w:val="22"/>
        </w:rPr>
        <w:t>Christopher</w:t>
      </w:r>
      <w:r>
        <w:rPr>
          <w:rFonts w:ascii="Tahoma" w:hAnsi="Tahoma"/>
          <w:b/>
          <w:spacing w:val="14"/>
          <w:w w:val="85"/>
          <w:sz w:val="22"/>
        </w:rPr>
        <w:t> </w:t>
      </w:r>
      <w:r>
        <w:rPr>
          <w:rFonts w:ascii="Tahoma" w:hAnsi="Tahoma"/>
          <w:b/>
          <w:w w:val="85"/>
          <w:sz w:val="22"/>
        </w:rPr>
        <w:t>WELTON</w:t>
      </w:r>
      <w:r>
        <w:rPr>
          <w:rFonts w:ascii="Tahoma" w:hAnsi="Tahoma"/>
          <w:b/>
          <w:spacing w:val="20"/>
          <w:w w:val="85"/>
          <w:sz w:val="22"/>
        </w:rPr>
        <w:t> </w:t>
      </w:r>
      <w:r>
        <w:rPr>
          <w:w w:val="85"/>
          <w:sz w:val="22"/>
        </w:rPr>
        <w:t>–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Tél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: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+33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(0)1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53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65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64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17</w:t>
      </w:r>
      <w:r>
        <w:rPr>
          <w:spacing w:val="-63"/>
          <w:w w:val="85"/>
          <w:sz w:val="22"/>
        </w:rPr>
        <w:t> </w:t>
      </w:r>
      <w:hyperlink r:id="rId6">
        <w:r>
          <w:rPr>
            <w:sz w:val="22"/>
            <w:u w:val="single"/>
          </w:rPr>
          <w:t>cwelton.exterieur@groupe-casino.fr</w:t>
        </w:r>
      </w:hyperlink>
    </w:p>
    <w:p>
      <w:pPr>
        <w:pStyle w:val="Heading1"/>
      </w:pPr>
      <w:r>
        <w:rPr/>
        <w:t>ou</w:t>
      </w:r>
    </w:p>
    <w:p>
      <w:pPr>
        <w:pStyle w:val="BodyText"/>
        <w:spacing w:before="43"/>
        <w:ind w:left="2486" w:right="2487"/>
        <w:jc w:val="center"/>
      </w:pPr>
      <w:r>
        <w:rPr>
          <w:w w:val="85"/>
        </w:rPr>
        <w:t>+33</w:t>
      </w:r>
      <w:r>
        <w:rPr>
          <w:spacing w:val="-6"/>
          <w:w w:val="85"/>
        </w:rPr>
        <w:t> </w:t>
      </w:r>
      <w:r>
        <w:rPr>
          <w:w w:val="85"/>
        </w:rPr>
        <w:t>(0)1</w:t>
      </w:r>
      <w:r>
        <w:rPr>
          <w:spacing w:val="-6"/>
          <w:w w:val="85"/>
        </w:rPr>
        <w:t> </w:t>
      </w:r>
      <w:r>
        <w:rPr>
          <w:w w:val="85"/>
        </w:rPr>
        <w:t>53</w:t>
      </w:r>
      <w:r>
        <w:rPr>
          <w:spacing w:val="-5"/>
          <w:w w:val="85"/>
        </w:rPr>
        <w:t> </w:t>
      </w:r>
      <w:r>
        <w:rPr>
          <w:w w:val="85"/>
        </w:rPr>
        <w:t>65</w:t>
      </w:r>
      <w:r>
        <w:rPr>
          <w:spacing w:val="-6"/>
          <w:w w:val="85"/>
        </w:rPr>
        <w:t> </w:t>
      </w:r>
      <w:r>
        <w:rPr>
          <w:w w:val="85"/>
        </w:rPr>
        <w:t>24</w:t>
      </w:r>
      <w:r>
        <w:rPr>
          <w:spacing w:val="-6"/>
          <w:w w:val="85"/>
        </w:rPr>
        <w:t> </w:t>
      </w:r>
      <w:r>
        <w:rPr>
          <w:w w:val="85"/>
        </w:rPr>
        <w:t>17</w:t>
      </w:r>
    </w:p>
    <w:p>
      <w:pPr>
        <w:pStyle w:val="BodyText"/>
        <w:spacing w:before="44"/>
        <w:ind w:left="2486" w:right="2486"/>
        <w:jc w:val="center"/>
      </w:pPr>
      <w:r>
        <w:rPr/>
        <w:pict>
          <v:rect style="position:absolute;margin-left:223.25pt;margin-top:14.339057pt;width:148.82pt;height:.600010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hyperlink r:id="rId7">
        <w:r>
          <w:rPr>
            <w:spacing w:val="2"/>
            <w:w w:val="53"/>
          </w:rPr>
          <w:t>I</w:t>
        </w:r>
        <w:r>
          <w:rPr>
            <w:spacing w:val="-2"/>
            <w:w w:val="87"/>
          </w:rPr>
          <w:t>R</w:t>
        </w:r>
        <w:r>
          <w:rPr>
            <w:w w:val="98"/>
          </w:rPr>
          <w:t>_</w:t>
        </w:r>
        <w:r>
          <w:rPr>
            <w:spacing w:val="-2"/>
            <w:w w:val="98"/>
          </w:rPr>
          <w:t>C</w:t>
        </w:r>
        <w:r>
          <w:rPr>
            <w:spacing w:val="-1"/>
            <w:w w:val="95"/>
          </w:rPr>
          <w:t>a</w:t>
        </w:r>
        <w:r>
          <w:rPr>
            <w:spacing w:val="-2"/>
            <w:w w:val="95"/>
          </w:rPr>
          <w:t>s</w:t>
        </w:r>
        <w:r>
          <w:rPr>
            <w:spacing w:val="1"/>
            <w:w w:val="73"/>
          </w:rPr>
          <w:t>i</w:t>
        </w:r>
        <w:r>
          <w:rPr>
            <w:w w:val="102"/>
          </w:rPr>
          <w:t>n</w:t>
        </w:r>
        <w:r>
          <w:rPr>
            <w:spacing w:val="-1"/>
            <w:w w:val="102"/>
          </w:rPr>
          <w:t>o</w:t>
        </w:r>
        <w:r>
          <w:rPr>
            <w:spacing w:val="-2"/>
            <w:w w:val="87"/>
          </w:rPr>
          <w:t>@</w:t>
        </w:r>
        <w:r>
          <w:rPr>
            <w:w w:val="93"/>
          </w:rPr>
          <w:t>gr</w:t>
        </w:r>
        <w:r>
          <w:rPr>
            <w:w w:val="102"/>
          </w:rPr>
          <w:t>o</w:t>
        </w:r>
        <w:r>
          <w:rPr>
            <w:spacing w:val="-3"/>
            <w:w w:val="102"/>
          </w:rPr>
          <w:t>u</w:t>
        </w:r>
        <w:r>
          <w:rPr>
            <w:spacing w:val="-1"/>
            <w:w w:val="109"/>
          </w:rPr>
          <w:t>pe</w:t>
        </w:r>
        <w:r>
          <w:rPr>
            <w:spacing w:val="1"/>
            <w:w w:val="73"/>
          </w:rPr>
          <w:t>-</w:t>
        </w:r>
        <w:r>
          <w:rPr>
            <w:spacing w:val="-2"/>
            <w:w w:val="124"/>
          </w:rPr>
          <w:t>c</w:t>
        </w:r>
        <w:r>
          <w:rPr>
            <w:spacing w:val="-3"/>
            <w:w w:val="114"/>
          </w:rPr>
          <w:t>a</w:t>
        </w:r>
        <w:r>
          <w:rPr>
            <w:w w:val="74"/>
          </w:rPr>
          <w:t>s</w:t>
        </w:r>
        <w:r>
          <w:rPr>
            <w:spacing w:val="1"/>
            <w:w w:val="73"/>
          </w:rPr>
          <w:t>i</w:t>
        </w:r>
        <w:r>
          <w:rPr>
            <w:w w:val="102"/>
          </w:rPr>
          <w:t>n</w:t>
        </w:r>
        <w:r>
          <w:rPr>
            <w:spacing w:val="-1"/>
            <w:w w:val="102"/>
          </w:rPr>
          <w:t>o</w:t>
        </w:r>
        <w:r>
          <w:rPr>
            <w:spacing w:val="-2"/>
            <w:w w:val="76"/>
          </w:rPr>
          <w:t>.</w:t>
        </w:r>
        <w:r>
          <w:rPr>
            <w:w w:val="79"/>
          </w:rPr>
          <w:t>fr</w:t>
        </w:r>
      </w:hyperlink>
    </w:p>
    <w:p>
      <w:pPr>
        <w:spacing w:before="40"/>
        <w:ind w:left="2486" w:right="2488" w:firstLine="0"/>
        <w:jc w:val="center"/>
        <w:rPr>
          <w:rFonts w:ascii="Tahoma"/>
          <w:b/>
          <w:sz w:val="20"/>
        </w:rPr>
      </w:pPr>
      <w:r>
        <w:rPr>
          <w:rFonts w:ascii="Arial"/>
          <w:b/>
          <w:w w:val="90"/>
          <w:sz w:val="20"/>
        </w:rPr>
        <w:t>CONTACTS</w:t>
      </w:r>
      <w:r>
        <w:rPr>
          <w:rFonts w:ascii="Arial"/>
          <w:b/>
          <w:spacing w:val="30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PRESSE</w:t>
      </w:r>
    </w:p>
    <w:p>
      <w:pPr>
        <w:spacing w:before="126"/>
        <w:ind w:left="2486" w:right="2488" w:firstLine="0"/>
        <w:jc w:val="center"/>
        <w:rPr>
          <w:sz w:val="20"/>
        </w:rPr>
      </w:pPr>
      <w:r>
        <w:rPr>
          <w:spacing w:val="-1"/>
          <w:sz w:val="20"/>
        </w:rPr>
        <w:t>Groupe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Casino</w:t>
      </w:r>
      <w:r>
        <w:rPr>
          <w:spacing w:val="-16"/>
          <w:sz w:val="20"/>
        </w:rPr>
        <w:t> </w:t>
      </w:r>
      <w:r>
        <w:rPr>
          <w:sz w:val="20"/>
        </w:rPr>
        <w:t>–</w:t>
      </w:r>
      <w:r>
        <w:rPr>
          <w:spacing w:val="-15"/>
          <w:sz w:val="20"/>
        </w:rPr>
        <w:t> </w:t>
      </w:r>
      <w:r>
        <w:rPr>
          <w:sz w:val="20"/>
        </w:rPr>
        <w:t>Direction</w:t>
      </w:r>
      <w:r>
        <w:rPr>
          <w:spacing w:val="-16"/>
          <w:sz w:val="20"/>
        </w:rPr>
        <w:t> </w:t>
      </w:r>
      <w:r>
        <w:rPr>
          <w:sz w:val="20"/>
        </w:rPr>
        <w:t>de</w:t>
      </w:r>
      <w:r>
        <w:rPr>
          <w:spacing w:val="-17"/>
          <w:sz w:val="20"/>
        </w:rPr>
        <w:t> </w:t>
      </w:r>
      <w:r>
        <w:rPr>
          <w:sz w:val="20"/>
        </w:rPr>
        <w:t>la</w:t>
      </w:r>
      <w:r>
        <w:rPr>
          <w:spacing w:val="-16"/>
          <w:sz w:val="20"/>
        </w:rPr>
        <w:t> </w:t>
      </w:r>
      <w:r>
        <w:rPr>
          <w:sz w:val="20"/>
        </w:rPr>
        <w:t>Communication</w:t>
      </w:r>
    </w:p>
    <w:p>
      <w:pPr>
        <w:spacing w:before="122"/>
        <w:ind w:left="1601" w:right="1603" w:firstLine="0"/>
        <w:jc w:val="center"/>
        <w:rPr>
          <w:sz w:val="20"/>
        </w:rPr>
      </w:pPr>
      <w:r>
        <w:rPr>
          <w:w w:val="90"/>
          <w:sz w:val="20"/>
        </w:rPr>
        <w:t>Nicolas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BOUDOT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5"/>
          <w:w w:val="90"/>
          <w:sz w:val="20"/>
        </w:rPr>
        <w:t> </w:t>
      </w:r>
      <w:hyperlink r:id="rId8">
        <w:r>
          <w:rPr>
            <w:w w:val="90"/>
            <w:sz w:val="20"/>
          </w:rPr>
          <w:t>nboudot@groupe-casino.fr</w:t>
        </w:r>
        <w:r>
          <w:rPr>
            <w:spacing w:val="5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+</w:t>
      </w:r>
      <w:r>
        <w:rPr>
          <w:spacing w:val="9"/>
          <w:w w:val="90"/>
          <w:sz w:val="20"/>
        </w:rPr>
        <w:t> </w:t>
      </w:r>
      <w:r>
        <w:rPr>
          <w:w w:val="90"/>
          <w:sz w:val="20"/>
        </w:rPr>
        <w:t>33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79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61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40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99</w:t>
      </w:r>
    </w:p>
    <w:p>
      <w:pPr>
        <w:spacing w:before="123"/>
        <w:ind w:left="2486" w:right="2487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ou</w:t>
      </w:r>
    </w:p>
    <w:p>
      <w:pPr>
        <w:spacing w:before="125"/>
        <w:ind w:left="1603" w:right="1603" w:firstLine="0"/>
        <w:jc w:val="center"/>
        <w:rPr>
          <w:sz w:val="20"/>
        </w:rPr>
      </w:pPr>
      <w:r>
        <w:rPr>
          <w:w w:val="90"/>
          <w:sz w:val="20"/>
        </w:rPr>
        <w:t>+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33(0)1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53</w:t>
      </w:r>
      <w:r>
        <w:rPr>
          <w:spacing w:val="28"/>
          <w:w w:val="90"/>
          <w:sz w:val="20"/>
        </w:rPr>
        <w:t> </w:t>
      </w:r>
      <w:r>
        <w:rPr>
          <w:w w:val="90"/>
          <w:sz w:val="20"/>
        </w:rPr>
        <w:t>65</w:t>
      </w:r>
      <w:r>
        <w:rPr>
          <w:spacing w:val="23"/>
          <w:w w:val="90"/>
          <w:sz w:val="20"/>
        </w:rPr>
        <w:t> </w:t>
      </w:r>
      <w:r>
        <w:rPr>
          <w:w w:val="90"/>
          <w:sz w:val="20"/>
        </w:rPr>
        <w:t>24</w:t>
      </w:r>
      <w:r>
        <w:rPr>
          <w:spacing w:val="23"/>
          <w:w w:val="90"/>
          <w:sz w:val="20"/>
        </w:rPr>
        <w:t> </w:t>
      </w:r>
      <w:r>
        <w:rPr>
          <w:w w:val="90"/>
          <w:sz w:val="20"/>
        </w:rPr>
        <w:t>78</w:t>
      </w:r>
      <w:r>
        <w:rPr>
          <w:spacing w:val="27"/>
          <w:w w:val="90"/>
          <w:sz w:val="20"/>
        </w:rPr>
        <w:t> </w:t>
      </w:r>
      <w:r>
        <w:rPr>
          <w:w w:val="90"/>
          <w:sz w:val="20"/>
        </w:rPr>
        <w:t>–</w:t>
      </w:r>
      <w:r>
        <w:rPr>
          <w:spacing w:val="26"/>
          <w:w w:val="90"/>
          <w:sz w:val="20"/>
        </w:rPr>
        <w:t> </w:t>
      </w:r>
      <w:hyperlink r:id="rId9">
        <w:r>
          <w:rPr>
            <w:color w:val="0000FF"/>
            <w:w w:val="90"/>
            <w:sz w:val="20"/>
            <w:u w:val="single" w:color="0000FF"/>
          </w:rPr>
          <w:t>directiondelacommunication@groupe-casino.fr</w:t>
        </w:r>
      </w:hyperlink>
    </w:p>
    <w:p>
      <w:pPr>
        <w:spacing w:before="122"/>
        <w:ind w:left="2486" w:right="2488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Agence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IMAGE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7</w:t>
      </w:r>
    </w:p>
    <w:p>
      <w:pPr>
        <w:spacing w:before="123"/>
        <w:ind w:left="2074" w:right="2078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+33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(0)6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11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59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23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26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9"/>
          <w:w w:val="85"/>
          <w:sz w:val="20"/>
        </w:rPr>
        <w:t> </w:t>
      </w:r>
      <w:hyperlink r:id="rId10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122"/>
        <w:ind w:left="1601" w:right="1603" w:firstLine="0"/>
        <w:jc w:val="center"/>
        <w:rPr>
          <w:sz w:val="20"/>
        </w:rPr>
      </w:pPr>
      <w:r>
        <w:rPr/>
        <w:pict>
          <v:rect style="position:absolute;margin-left:355.630005pt;margin-top:17.11371pt;width:91.944pt;height:.600010pt;mso-position-horizontal-relative:page;mso-position-vertical-relative:paragraph;z-index:15731200" filled="true" fillcolor="#0000ff" stroked="false">
            <v:fill type="solid"/>
            <w10:wrap type="none"/>
          </v:rect>
        </w:pict>
      </w: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7"/>
          <w:w w:val="90"/>
          <w:sz w:val="20"/>
        </w:rPr>
        <w:t> </w:t>
      </w:r>
      <w:hyperlink r:id="rId11">
        <w:r>
          <w:rPr>
            <w:color w:val="0000FF"/>
            <w:spacing w:val="-1"/>
            <w:w w:val="90"/>
            <w:sz w:val="20"/>
          </w:rPr>
          <w:t>lpoinsot@image7.fr</w:t>
        </w:r>
      </w:hyperlink>
    </w:p>
    <w:p>
      <w:pPr>
        <w:spacing w:before="121"/>
        <w:ind w:left="1601" w:right="1603" w:firstLine="0"/>
        <w:jc w:val="center"/>
        <w:rPr>
          <w:sz w:val="20"/>
        </w:rPr>
      </w:pPr>
      <w:r>
        <w:rPr>
          <w:w w:val="90"/>
          <w:sz w:val="20"/>
        </w:rPr>
        <w:t>Franck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Pasquier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Tel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+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73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62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57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99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-6"/>
          <w:w w:val="90"/>
          <w:sz w:val="20"/>
        </w:rPr>
        <w:t> </w:t>
      </w:r>
      <w:hyperlink r:id="rId12">
        <w:r>
          <w:rPr>
            <w:w w:val="90"/>
            <w:sz w:val="20"/>
          </w:rPr>
          <w:t>fpasquier@image7.fr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10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5"/>
          <w:sz w:val="20"/>
        </w:rPr>
        <w:t>Vendredi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8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septembre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8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▪</w:t>
      </w:r>
      <w:r>
        <w:rPr>
          <w:rFonts w:ascii="Tahoma" w:hAnsi="Tahoma"/>
          <w:b/>
          <w:color w:val="3CA05A"/>
          <w:spacing w:val="4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2</w:t>
      </w:r>
    </w:p>
    <w:sectPr>
      <w:pgSz w:w="11910" w:h="16840"/>
      <w:pgMar w:top="120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26" w:hanging="356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24" w:hanging="35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29" w:hanging="35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33" w:hanging="35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38" w:hanging="35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43" w:hanging="35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47" w:hanging="35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52" w:hanging="35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57" w:hanging="356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486" w:right="2486"/>
      <w:jc w:val="center"/>
      <w:outlineLvl w:val="1"/>
    </w:pPr>
    <w:rPr>
      <w:rFonts w:ascii="Tahoma" w:hAnsi="Tahoma" w:eastAsia="Tahoma" w:cs="Tahoma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3951" w:right="539" w:hanging="3402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26" w:right="110" w:hanging="356"/>
      <w:jc w:val="both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nboudot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Relationship Id="rId12" Type="http://schemas.openxmlformats.org/officeDocument/2006/relationships/hyperlink" Target="mailto:fpasquier@image7.fr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2023-12-04T15:06:00Z</dcterms:created>
  <dcterms:modified xsi:type="dcterms:W3CDTF">2023-12-04T15:06:00Z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LastSaved">
    <vt:filetime>2023-12-04T00:00:00Z</vt:filetime>
  </property>
</Properties>
</file>