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3"/>
        <w:rPr>
          <w:rFonts w:ascii="Times New Roman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487341056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sz w:val="20"/>
        </w:rPr>
        <mc:AlternateContent>
          <mc:Choice Requires="wps">
            <w:drawing>
              <wp:inline distT="0" distB="0" distL="0" distR="0">
                <wp:extent cx="6581775" cy="5278755"/>
                <wp:effectExtent l="19050" t="9525" r="9525" b="17145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581775" cy="527875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rPr>
                                <w:rFonts w:ascii="Times New Roman"/>
                                <w:i w:val="0"/>
                                <w:sz w:val="28"/>
                              </w:rPr>
                            </w:pPr>
                          </w:p>
                          <w:p>
                            <w:pPr>
                              <w:spacing w:line="278" w:lineRule="auto" w:before="0"/>
                              <w:ind w:left="2493" w:right="0" w:hanging="2014"/>
                              <w:jc w:val="left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Rappel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prévisions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2023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et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communication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sur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mise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à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jour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du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plan d’affaires 2024-2028 par le Groupe Casino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i w:val="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45"/>
                              <w:rPr>
                                <w:rFonts w:ascii="Arial"/>
                                <w:b/>
                                <w:i w:val="0"/>
                                <w:sz w:val="28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459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Paris,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septembre</w:t>
                            </w:r>
                            <w:r>
                              <w:rPr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2023</w:t>
                            </w:r>
                          </w:p>
                          <w:p>
                            <w:pPr>
                              <w:pStyle w:val="BodyText"/>
                              <w:spacing w:before="134"/>
                              <w:rPr>
                                <w:i w:val="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80" w:lineRule="auto" w:before="0"/>
                              <w:ind w:left="459" w:right="225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groupe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Casino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mis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en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ligne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jour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sur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site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société</w:t>
                            </w:r>
                            <w:r>
                              <w:rPr>
                                <w:spacing w:val="-4"/>
                                <w:position w:val="6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13"/>
                                <w:position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une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présentation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relative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à </w:t>
                            </w:r>
                            <w:r>
                              <w:rPr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mise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à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jour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du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plan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d’affaires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2024-2028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du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Groupe.</w:t>
                            </w:r>
                          </w:p>
                          <w:p>
                            <w:pPr>
                              <w:pStyle w:val="BodyText"/>
                              <w:spacing w:before="89"/>
                              <w:rPr>
                                <w:i w:val="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59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Ce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nouveau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plan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d’affaires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s’appuie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sur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135"/>
                              <w:rPr>
                                <w:i w:val="0"/>
                                <w:sz w:val="22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80" w:val="left" w:leader="none"/>
                              </w:tabs>
                              <w:spacing w:before="1"/>
                              <w:ind w:left="880" w:right="0" w:hanging="36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plan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d’affaires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2024-2028</w:t>
                            </w:r>
                            <w:r>
                              <w:rPr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publié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26</w:t>
                            </w:r>
                            <w:r>
                              <w:rPr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juin</w:t>
                            </w:r>
                            <w:r>
                              <w:rPr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2023,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80" w:val="left" w:leader="none"/>
                              </w:tabs>
                              <w:spacing w:line="280" w:lineRule="auto" w:before="42"/>
                              <w:ind w:left="880" w:right="224" w:hanging="36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z w:val="22"/>
                              </w:rPr>
                              <w:t>reforecast</w:t>
                            </w:r>
                            <w:r>
                              <w:rPr>
                                <w:i/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pour</w:t>
                            </w:r>
                            <w:r>
                              <w:rPr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l’exercice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2023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(inchangé)</w:t>
                            </w:r>
                            <w:r>
                              <w:rPr>
                                <w:position w:val="6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pacing w:val="10"/>
                                <w:position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qui</w:t>
                            </w:r>
                            <w:r>
                              <w:rPr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déjà</w:t>
                            </w:r>
                            <w:r>
                              <w:rPr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fait</w:t>
                            </w:r>
                            <w:r>
                              <w:rPr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l’objet</w:t>
                            </w:r>
                            <w:r>
                              <w:rPr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d’une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publication du Groupe en date du 27 juillet 2023,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880" w:val="left" w:leader="none"/>
                              </w:tabs>
                              <w:spacing w:line="263" w:lineRule="exact" w:before="0"/>
                              <w:ind w:left="880" w:right="0" w:hanging="36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6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revue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trajectoire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2024-2028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par</w:t>
                            </w:r>
                            <w:r>
                              <w:rPr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Groupe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et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ses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conseils.</w:t>
                            </w:r>
                          </w:p>
                          <w:p>
                            <w:pPr>
                              <w:pStyle w:val="BodyText"/>
                              <w:spacing w:before="134"/>
                              <w:rPr>
                                <w:i w:val="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78" w:lineRule="auto" w:before="1"/>
                              <w:ind w:left="519" w:right="231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Les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principaux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chiffres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ce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plan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d’affaires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(détaillés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dans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présentation)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sont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présentés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ci-après.</w:t>
                            </w: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i w:val="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78" w:lineRule="auto" w:before="1"/>
                              <w:ind w:left="459" w:right="229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Par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ailleurs,</w:t>
                            </w:r>
                            <w:r>
                              <w:rPr>
                                <w:spacing w:val="-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dans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prolongement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son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communiqué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du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18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septembre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2023,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Groupe </w:t>
                            </w:r>
                            <w:r>
                              <w:rPr>
                                <w:sz w:val="22"/>
                              </w:rPr>
                              <w:t>annonce que le Tribunal de commerce de Paris a décidé de proroger la période de conciliation jusqu’au 25 octobre 2023.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18.25pt;height:415.65pt;mso-position-horizontal-relative:char;mso-position-vertical-relative:line" type="#_x0000_t202" id="docshape1" filled="false" stroked="true" strokeweight="2pt" strokecolor="#6460a9">
                <w10:anchorlock/>
                <v:textbox inset="0,0,0,0">
                  <w:txbxContent>
                    <w:p>
                      <w:pPr>
                        <w:pStyle w:val="BodyText"/>
                        <w:spacing w:before="13"/>
                        <w:rPr>
                          <w:rFonts w:ascii="Times New Roman"/>
                          <w:i w:val="0"/>
                          <w:sz w:val="28"/>
                        </w:rPr>
                      </w:pPr>
                    </w:p>
                    <w:p>
                      <w:pPr>
                        <w:spacing w:line="278" w:lineRule="auto" w:before="0"/>
                        <w:ind w:left="2493" w:right="0" w:hanging="2014"/>
                        <w:jc w:val="left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Rappel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des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prévisions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2023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et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communication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sur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mise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à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jour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du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plan d’affaires 2024-2028 par le Groupe Casino</w:t>
                      </w: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i w:val="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45"/>
                        <w:rPr>
                          <w:rFonts w:ascii="Arial"/>
                          <w:b/>
                          <w:i w:val="0"/>
                          <w:sz w:val="28"/>
                        </w:rPr>
                      </w:pPr>
                    </w:p>
                    <w:p>
                      <w:pPr>
                        <w:spacing w:before="1"/>
                        <w:ind w:left="459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90"/>
                          <w:sz w:val="22"/>
                        </w:rPr>
                        <w:t>Paris,</w:t>
                      </w:r>
                      <w:r>
                        <w:rPr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20</w:t>
                      </w:r>
                      <w:r>
                        <w:rPr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septembre</w:t>
                      </w:r>
                      <w:r>
                        <w:rPr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w w:val="90"/>
                          <w:sz w:val="22"/>
                        </w:rPr>
                        <w:t>2023</w:t>
                      </w:r>
                    </w:p>
                    <w:p>
                      <w:pPr>
                        <w:pStyle w:val="BodyText"/>
                        <w:spacing w:before="134"/>
                        <w:rPr>
                          <w:i w:val="0"/>
                          <w:sz w:val="22"/>
                        </w:rPr>
                      </w:pPr>
                    </w:p>
                    <w:p>
                      <w:pPr>
                        <w:spacing w:line="280" w:lineRule="auto" w:before="0"/>
                        <w:ind w:left="459" w:right="225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pacing w:val="-4"/>
                          <w:sz w:val="22"/>
                        </w:rPr>
                        <w:t>Le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groupe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Casino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a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mis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en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ligne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ce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jour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sur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le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site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de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la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société</w:t>
                      </w:r>
                      <w:r>
                        <w:rPr>
                          <w:spacing w:val="-4"/>
                          <w:position w:val="6"/>
                          <w:sz w:val="14"/>
                        </w:rPr>
                        <w:t>1</w:t>
                      </w:r>
                      <w:r>
                        <w:rPr>
                          <w:spacing w:val="13"/>
                          <w:position w:val="6"/>
                          <w:sz w:val="14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une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présentation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relative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à </w:t>
                      </w:r>
                      <w:r>
                        <w:rPr>
                          <w:sz w:val="22"/>
                        </w:rPr>
                        <w:t>la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mise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à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jour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du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plan</w:t>
                      </w:r>
                      <w:r>
                        <w:rPr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d’affaires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2024-2028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du</w:t>
                      </w:r>
                      <w:r>
                        <w:rPr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Groupe.</w:t>
                      </w:r>
                    </w:p>
                    <w:p>
                      <w:pPr>
                        <w:pStyle w:val="BodyText"/>
                        <w:spacing w:before="89"/>
                        <w:rPr>
                          <w:i w:val="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459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Ce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nouveau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plan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d’affaires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s’appuie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sur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pacing w:val="-10"/>
                          <w:sz w:val="2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135"/>
                        <w:rPr>
                          <w:i w:val="0"/>
                          <w:sz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80" w:val="left" w:leader="none"/>
                        </w:tabs>
                        <w:spacing w:before="1"/>
                        <w:ind w:left="880" w:right="0" w:hanging="361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90"/>
                          <w:sz w:val="22"/>
                        </w:rPr>
                        <w:t>Le</w:t>
                      </w:r>
                      <w:r>
                        <w:rPr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plan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d’affaires</w:t>
                      </w:r>
                      <w:r>
                        <w:rPr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2024-2028</w:t>
                      </w:r>
                      <w:r>
                        <w:rPr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publié</w:t>
                      </w:r>
                      <w:r>
                        <w:rPr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le</w:t>
                      </w:r>
                      <w:r>
                        <w:rPr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26</w:t>
                      </w:r>
                      <w:r>
                        <w:rPr>
                          <w:sz w:val="22"/>
                        </w:rPr>
                        <w:t> </w:t>
                      </w:r>
                      <w:r>
                        <w:rPr>
                          <w:w w:val="90"/>
                          <w:sz w:val="22"/>
                        </w:rPr>
                        <w:t>juin</w:t>
                      </w:r>
                      <w:r>
                        <w:rPr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w w:val="90"/>
                          <w:sz w:val="22"/>
                        </w:rPr>
                        <w:t>2023,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80" w:val="left" w:leader="none"/>
                        </w:tabs>
                        <w:spacing w:line="280" w:lineRule="auto" w:before="42"/>
                        <w:ind w:left="880" w:right="224" w:hanging="361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le</w:t>
                      </w:r>
                      <w:r>
                        <w:rPr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i/>
                          <w:sz w:val="22"/>
                        </w:rPr>
                        <w:t>reforecast</w:t>
                      </w:r>
                      <w:r>
                        <w:rPr>
                          <w:i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pour</w:t>
                      </w:r>
                      <w:r>
                        <w:rPr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l’exercice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2023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(inchangé)</w:t>
                      </w:r>
                      <w:r>
                        <w:rPr>
                          <w:position w:val="6"/>
                          <w:sz w:val="14"/>
                        </w:rPr>
                        <w:t>2</w:t>
                      </w:r>
                      <w:r>
                        <w:rPr>
                          <w:spacing w:val="10"/>
                          <w:position w:val="6"/>
                          <w:sz w:val="14"/>
                        </w:rPr>
                        <w:t> </w:t>
                      </w:r>
                      <w:r>
                        <w:rPr>
                          <w:sz w:val="22"/>
                        </w:rPr>
                        <w:t>qui</w:t>
                      </w:r>
                      <w:r>
                        <w:rPr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</w:t>
                      </w:r>
                      <w:r>
                        <w:rPr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déjà</w:t>
                      </w:r>
                      <w:r>
                        <w:rPr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fait</w:t>
                      </w:r>
                      <w:r>
                        <w:rPr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l’objet</w:t>
                      </w:r>
                      <w:r>
                        <w:rPr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d’une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publication du Groupe en date du 27 juillet 2023,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880" w:val="left" w:leader="none"/>
                        </w:tabs>
                        <w:spacing w:line="263" w:lineRule="exact" w:before="0"/>
                        <w:ind w:left="880" w:right="0" w:hanging="361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6"/>
                          <w:sz w:val="22"/>
                        </w:rPr>
                        <w:t>la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revue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de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la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trajectoire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2024-2028</w:t>
                      </w:r>
                      <w:r>
                        <w:rPr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par</w:t>
                      </w:r>
                      <w:r>
                        <w:rPr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le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Groupe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et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ses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6"/>
                          <w:sz w:val="22"/>
                        </w:rPr>
                        <w:t>conseils.</w:t>
                      </w:r>
                    </w:p>
                    <w:p>
                      <w:pPr>
                        <w:pStyle w:val="BodyText"/>
                        <w:spacing w:before="134"/>
                        <w:rPr>
                          <w:i w:val="0"/>
                          <w:sz w:val="22"/>
                        </w:rPr>
                      </w:pPr>
                    </w:p>
                    <w:p>
                      <w:pPr>
                        <w:spacing w:line="278" w:lineRule="auto" w:before="1"/>
                        <w:ind w:left="519" w:right="231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pacing w:val="-4"/>
                          <w:sz w:val="22"/>
                        </w:rPr>
                        <w:t>Les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principaux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chiffres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de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ce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plan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d’affaires</w:t>
                      </w:r>
                      <w:r>
                        <w:rPr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(détaillés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dans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la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présentation)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sont</w:t>
                      </w:r>
                      <w:r>
                        <w:rPr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présentés </w:t>
                      </w:r>
                      <w:r>
                        <w:rPr>
                          <w:spacing w:val="-2"/>
                          <w:sz w:val="22"/>
                        </w:rPr>
                        <w:t>ci-après.</w:t>
                      </w:r>
                    </w:p>
                    <w:p>
                      <w:pPr>
                        <w:pStyle w:val="BodyText"/>
                        <w:spacing w:before="93"/>
                        <w:rPr>
                          <w:i w:val="0"/>
                          <w:sz w:val="22"/>
                        </w:rPr>
                      </w:pPr>
                    </w:p>
                    <w:p>
                      <w:pPr>
                        <w:spacing w:line="278" w:lineRule="auto" w:before="1"/>
                        <w:ind w:left="459" w:right="229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Par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ailleurs,</w:t>
                      </w:r>
                      <w:r>
                        <w:rPr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dans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le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prolongement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son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communiqué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du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18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septembre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2023,</w:t>
                      </w:r>
                      <w:r>
                        <w:rPr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le</w:t>
                      </w:r>
                      <w:r>
                        <w:rPr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Groupe </w:t>
                      </w:r>
                      <w:r>
                        <w:rPr>
                          <w:sz w:val="22"/>
                        </w:rPr>
                        <w:t>annonce que le Tribunal de commerce de Paris a décidé de proroger la période de conciliation jusqu’au 25 octobre 2023.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71"/>
        <w:rPr>
          <w:rFonts w:ascii="Times New Roman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719327</wp:posOffset>
                </wp:positionH>
                <wp:positionV relativeFrom="paragraph">
                  <wp:posOffset>206495</wp:posOffset>
                </wp:positionV>
                <wp:extent cx="182943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6.259457pt;width:144.050pt;height:.4799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592" w:right="0" w:firstLine="0"/>
        <w:jc w:val="left"/>
        <w:rPr>
          <w:sz w:val="20"/>
        </w:rPr>
      </w:pPr>
      <w:r>
        <w:rPr>
          <w:color w:val="0D0D0D"/>
          <w:spacing w:val="-4"/>
          <w:position w:val="5"/>
          <w:sz w:val="13"/>
        </w:rPr>
        <w:t>1</w:t>
      </w:r>
      <w:r>
        <w:rPr>
          <w:color w:val="0D0D0D"/>
          <w:spacing w:val="-2"/>
          <w:position w:val="5"/>
          <w:sz w:val="13"/>
        </w:rPr>
        <w:t> </w:t>
      </w:r>
      <w:r>
        <w:rPr>
          <w:color w:val="0D0D0D"/>
          <w:spacing w:val="-4"/>
          <w:sz w:val="20"/>
        </w:rPr>
        <w:t>Cf.</w:t>
      </w:r>
      <w:r>
        <w:rPr>
          <w:color w:val="0D0D0D"/>
          <w:spacing w:val="-18"/>
          <w:sz w:val="20"/>
        </w:rPr>
        <w:t> </w:t>
      </w:r>
      <w:r>
        <w:rPr>
          <w:color w:val="0D0D0D"/>
          <w:spacing w:val="-4"/>
          <w:sz w:val="20"/>
        </w:rPr>
        <w:t>lien</w:t>
      </w:r>
      <w:r>
        <w:rPr>
          <w:color w:val="0D0D0D"/>
          <w:spacing w:val="-14"/>
          <w:sz w:val="20"/>
        </w:rPr>
        <w:t> </w:t>
      </w:r>
      <w:hyperlink r:id="rId6">
        <w:r>
          <w:rPr>
            <w:color w:val="0000FF"/>
            <w:spacing w:val="-4"/>
            <w:sz w:val="20"/>
            <w:u w:val="single" w:color="0000FF"/>
          </w:rPr>
          <w:t>Présentation</w:t>
        </w:r>
      </w:hyperlink>
    </w:p>
    <w:p>
      <w:pPr>
        <w:spacing w:before="5"/>
        <w:ind w:left="592" w:right="0" w:firstLine="0"/>
        <w:jc w:val="left"/>
        <w:rPr>
          <w:sz w:val="20"/>
        </w:rPr>
      </w:pPr>
      <w:r>
        <w:rPr>
          <w:color w:val="0D0D0D"/>
          <w:spacing w:val="-2"/>
          <w:position w:val="5"/>
          <w:sz w:val="13"/>
        </w:rPr>
        <w:t>2</w:t>
      </w:r>
      <w:r>
        <w:rPr>
          <w:color w:val="0D0D0D"/>
          <w:position w:val="5"/>
          <w:sz w:val="13"/>
        </w:rPr>
        <w:t> </w:t>
      </w:r>
      <w:r>
        <w:rPr>
          <w:color w:val="0D0D0D"/>
          <w:spacing w:val="-2"/>
          <w:sz w:val="20"/>
        </w:rPr>
        <w:t>Cf.</w:t>
      </w:r>
      <w:r>
        <w:rPr>
          <w:color w:val="0D0D0D"/>
          <w:spacing w:val="-18"/>
          <w:sz w:val="20"/>
        </w:rPr>
        <w:t> </w:t>
      </w:r>
      <w:r>
        <w:rPr>
          <w:color w:val="0D0D0D"/>
          <w:spacing w:val="-2"/>
          <w:sz w:val="20"/>
        </w:rPr>
        <w:t>pages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2"/>
          <w:sz w:val="20"/>
        </w:rPr>
        <w:t>12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2"/>
          <w:sz w:val="20"/>
        </w:rPr>
        <w:t>et</w:t>
      </w:r>
      <w:r>
        <w:rPr>
          <w:color w:val="0D0D0D"/>
          <w:spacing w:val="-15"/>
          <w:sz w:val="20"/>
        </w:rPr>
        <w:t> </w:t>
      </w:r>
      <w:r>
        <w:rPr>
          <w:color w:val="0D0D0D"/>
          <w:spacing w:val="-2"/>
          <w:sz w:val="20"/>
        </w:rPr>
        <w:t>13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2"/>
          <w:sz w:val="20"/>
        </w:rPr>
        <w:t>de</w:t>
      </w:r>
      <w:r>
        <w:rPr>
          <w:color w:val="0D0D0D"/>
          <w:spacing w:val="-16"/>
          <w:sz w:val="20"/>
        </w:rPr>
        <w:t> </w:t>
      </w:r>
      <w:r>
        <w:rPr>
          <w:color w:val="0D0D0D"/>
          <w:spacing w:val="-2"/>
          <w:sz w:val="20"/>
        </w:rPr>
        <w:t>la</w:t>
      </w:r>
      <w:r>
        <w:rPr>
          <w:color w:val="0D0D0D"/>
          <w:spacing w:val="-14"/>
          <w:sz w:val="20"/>
        </w:rPr>
        <w:t> </w:t>
      </w:r>
      <w:r>
        <w:rPr>
          <w:color w:val="0D0D0D"/>
          <w:spacing w:val="-2"/>
          <w:sz w:val="20"/>
        </w:rPr>
        <w:t>présentation</w:t>
      </w:r>
    </w:p>
    <w:p>
      <w:pPr>
        <w:spacing w:before="174"/>
        <w:ind w:left="624" w:right="0" w:firstLine="0"/>
        <w:jc w:val="left"/>
        <w:rPr>
          <w:rFonts w:ascii="Tahoma" w:hAnsi="Tahoma"/>
          <w:b/>
          <w:sz w:val="20"/>
        </w:rPr>
      </w:pPr>
      <w:r>
        <w:rPr>
          <w:spacing w:val="-6"/>
          <w:sz w:val="20"/>
        </w:rPr>
        <w:t>Mercredi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20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septembre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2023</w:t>
      </w:r>
      <w:r>
        <w:rPr>
          <w:spacing w:val="-11"/>
          <w:sz w:val="20"/>
        </w:rPr>
        <w:t> </w:t>
      </w:r>
      <w:r>
        <w:rPr>
          <w:rFonts w:ascii="Tahoma" w:hAnsi="Tahoma"/>
          <w:b/>
          <w:color w:val="3CA05A"/>
          <w:spacing w:val="-6"/>
          <w:sz w:val="20"/>
        </w:rPr>
        <w:t>▪</w:t>
      </w:r>
      <w:r>
        <w:rPr>
          <w:rFonts w:ascii="Tahoma" w:hAnsi="Tahoma"/>
          <w:b/>
          <w:color w:val="3CA05A"/>
          <w:spacing w:val="3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80" w:bottom="0" w:left="540" w:right="780"/>
        </w:sectPr>
      </w:pPr>
    </w:p>
    <w:p>
      <w:pPr>
        <w:spacing w:before="80"/>
        <w:ind w:left="592" w:right="0" w:firstLine="0"/>
        <w:jc w:val="both"/>
        <w:rPr>
          <w:rFonts w:ascii="Tahoma" w:hAnsi="Tahoma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342080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719327</wp:posOffset>
                </wp:positionH>
                <wp:positionV relativeFrom="paragraph">
                  <wp:posOffset>202945</wp:posOffset>
                </wp:positionV>
                <wp:extent cx="3361690" cy="127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3616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1690" h="12700">
                              <a:moveTo>
                                <a:pt x="336130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3361309" y="12192"/>
                              </a:lnTo>
                              <a:lnTo>
                                <a:pt x="3361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5.98pt;width:264.67pt;height:.96pt;mso-position-horizontal-relative:page;mso-position-vertical-relative:paragraph;z-index:15731200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 w:hAnsi="Tahoma"/>
          <w:b/>
          <w:spacing w:val="-6"/>
          <w:sz w:val="22"/>
        </w:rPr>
        <w:t>Consolidation</w:t>
      </w:r>
      <w:r>
        <w:rPr>
          <w:rFonts w:ascii="Tahoma" w:hAnsi="Tahoma"/>
          <w:b/>
          <w:spacing w:val="-5"/>
          <w:sz w:val="22"/>
        </w:rPr>
        <w:t> </w:t>
      </w:r>
      <w:r>
        <w:rPr>
          <w:rFonts w:ascii="Tahoma" w:hAnsi="Tahoma"/>
          <w:b/>
          <w:spacing w:val="-6"/>
          <w:sz w:val="22"/>
        </w:rPr>
        <w:t>France</w:t>
      </w:r>
      <w:r>
        <w:rPr>
          <w:rFonts w:ascii="Tahoma" w:hAnsi="Tahoma"/>
          <w:b/>
          <w:spacing w:val="-3"/>
          <w:sz w:val="22"/>
        </w:rPr>
        <w:t> </w:t>
      </w:r>
      <w:r>
        <w:rPr>
          <w:rFonts w:ascii="Tahoma" w:hAnsi="Tahoma"/>
          <w:b/>
          <w:spacing w:val="-6"/>
          <w:sz w:val="22"/>
        </w:rPr>
        <w:t>:</w:t>
      </w:r>
      <w:r>
        <w:rPr>
          <w:rFonts w:ascii="Tahoma" w:hAnsi="Tahoma"/>
          <w:b/>
          <w:spacing w:val="-9"/>
          <w:sz w:val="22"/>
        </w:rPr>
        <w:t> </w:t>
      </w:r>
      <w:r>
        <w:rPr>
          <w:rFonts w:ascii="Tahoma" w:hAnsi="Tahoma"/>
          <w:b/>
          <w:spacing w:val="-6"/>
          <w:sz w:val="22"/>
        </w:rPr>
        <w:t>Indicateurs</w:t>
      </w:r>
      <w:r>
        <w:rPr>
          <w:rFonts w:ascii="Tahoma" w:hAnsi="Tahoma"/>
          <w:b/>
          <w:spacing w:val="-7"/>
          <w:sz w:val="22"/>
        </w:rPr>
        <w:t> </w:t>
      </w:r>
      <w:r>
        <w:rPr>
          <w:rFonts w:ascii="Tahoma" w:hAnsi="Tahoma"/>
          <w:b/>
          <w:spacing w:val="-6"/>
          <w:sz w:val="22"/>
        </w:rPr>
        <w:t>financiers clés</w:t>
      </w:r>
      <w:r>
        <w:rPr>
          <w:rFonts w:ascii="Tahoma" w:hAnsi="Tahoma"/>
          <w:b/>
          <w:spacing w:val="-6"/>
          <w:position w:val="6"/>
          <w:sz w:val="14"/>
        </w:rPr>
        <w:t>1</w:t>
      </w:r>
    </w:p>
    <w:p>
      <w:pPr>
        <w:pStyle w:val="BodyText"/>
        <w:spacing w:before="39" w:after="1"/>
        <w:rPr>
          <w:rFonts w:ascii="Tahoma"/>
          <w:b/>
          <w:i w:val="0"/>
          <w:sz w:val="20"/>
        </w:rPr>
      </w:pPr>
    </w:p>
    <w:tbl>
      <w:tblPr>
        <w:tblW w:w="0" w:type="auto"/>
        <w:jc w:val="left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1135"/>
        <w:gridCol w:w="1132"/>
        <w:gridCol w:w="1056"/>
        <w:gridCol w:w="530"/>
        <w:gridCol w:w="1243"/>
      </w:tblGrid>
      <w:tr>
        <w:trPr>
          <w:trHeight w:val="441" w:hRule="atLeast"/>
        </w:trPr>
        <w:tc>
          <w:tcPr>
            <w:tcW w:w="45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"/>
              <w:ind w:left="110"/>
              <w:jc w:val="left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En</w:t>
            </w:r>
            <w:r>
              <w:rPr>
                <w:rFonts w:ascii="Tahoma" w:hAnsi="Tahoma"/>
                <w:b/>
                <w:spacing w:val="-4"/>
                <w:w w:val="90"/>
                <w:sz w:val="20"/>
              </w:rPr>
              <w:t> </w:t>
            </w:r>
            <w:r>
              <w:rPr>
                <w:rFonts w:ascii="Tahoma" w:hAnsi="Tahoma"/>
                <w:b/>
                <w:spacing w:val="-5"/>
                <w:w w:val="95"/>
                <w:sz w:val="20"/>
              </w:rPr>
              <w:t>M€</w:t>
            </w:r>
          </w:p>
        </w:tc>
        <w:tc>
          <w:tcPr>
            <w:tcW w:w="113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"/>
              <w:ind w:left="8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w w:val="95"/>
                <w:sz w:val="20"/>
              </w:rPr>
              <w:t>2023</w:t>
            </w:r>
          </w:p>
        </w:tc>
        <w:tc>
          <w:tcPr>
            <w:tcW w:w="11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"/>
              <w:ind w:left="12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w w:val="95"/>
                <w:sz w:val="20"/>
              </w:rPr>
              <w:t>2024</w:t>
            </w:r>
          </w:p>
        </w:tc>
        <w:tc>
          <w:tcPr>
            <w:tcW w:w="105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"/>
              <w:ind w:left="13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w w:val="95"/>
                <w:sz w:val="20"/>
              </w:rPr>
              <w:t>2025</w:t>
            </w:r>
          </w:p>
        </w:tc>
        <w:tc>
          <w:tcPr>
            <w:tcW w:w="53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"/>
              <w:ind w:left="174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0"/>
                <w:sz w:val="20"/>
              </w:rPr>
              <w:t>//</w:t>
            </w:r>
          </w:p>
        </w:tc>
        <w:tc>
          <w:tcPr>
            <w:tcW w:w="124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"/>
              <w:ind w:left="15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w w:val="95"/>
                <w:sz w:val="20"/>
              </w:rPr>
              <w:t>2028</w:t>
            </w:r>
          </w:p>
        </w:tc>
      </w:tr>
      <w:tr>
        <w:trPr>
          <w:trHeight w:val="453" w:hRule="atLeast"/>
        </w:trPr>
        <w:tc>
          <w:tcPr>
            <w:tcW w:w="4532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F1F1F1"/>
          </w:tcPr>
          <w:p>
            <w:pPr>
              <w:pStyle w:val="TableParagraph"/>
              <w:spacing w:before="67"/>
              <w:ind w:left="110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Chiffre</w:t>
            </w:r>
            <w:r>
              <w:rPr>
                <w:rFonts w:ascii="Tahoma"/>
                <w:b/>
                <w:spacing w:val="2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d'affaires</w:t>
            </w:r>
          </w:p>
        </w:tc>
        <w:tc>
          <w:tcPr>
            <w:tcW w:w="1135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F1F1F1"/>
          </w:tcPr>
          <w:p>
            <w:pPr>
              <w:pStyle w:val="TableParagraph"/>
              <w:spacing w:before="67"/>
              <w:ind w:left="8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14</w:t>
            </w:r>
            <w:r>
              <w:rPr>
                <w:rFonts w:ascii="Tahoma"/>
                <w:b/>
                <w:spacing w:val="-6"/>
                <w:w w:val="90"/>
                <w:sz w:val="20"/>
              </w:rPr>
              <w:t> </w:t>
            </w:r>
            <w:r>
              <w:rPr>
                <w:rFonts w:ascii="Tahoma"/>
                <w:b/>
                <w:spacing w:val="-5"/>
                <w:w w:val="95"/>
                <w:sz w:val="20"/>
              </w:rPr>
              <w:t>923</w:t>
            </w:r>
          </w:p>
        </w:tc>
        <w:tc>
          <w:tcPr>
            <w:tcW w:w="1132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F1F1F1"/>
          </w:tcPr>
          <w:p>
            <w:pPr>
              <w:pStyle w:val="TableParagraph"/>
              <w:spacing w:before="67"/>
              <w:ind w:left="12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14</w:t>
            </w:r>
            <w:r>
              <w:rPr>
                <w:rFonts w:ascii="Tahoma"/>
                <w:b/>
                <w:spacing w:val="-6"/>
                <w:w w:val="90"/>
                <w:sz w:val="20"/>
              </w:rPr>
              <w:t> </w:t>
            </w:r>
            <w:r>
              <w:rPr>
                <w:rFonts w:ascii="Tahoma"/>
                <w:b/>
                <w:spacing w:val="-5"/>
                <w:w w:val="95"/>
                <w:sz w:val="20"/>
              </w:rPr>
              <w:t>799</w:t>
            </w:r>
          </w:p>
        </w:tc>
        <w:tc>
          <w:tcPr>
            <w:tcW w:w="1056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F1F1F1"/>
          </w:tcPr>
          <w:p>
            <w:pPr>
              <w:pStyle w:val="TableParagraph"/>
              <w:spacing w:before="67"/>
              <w:ind w:left="13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15</w:t>
            </w:r>
            <w:r>
              <w:rPr>
                <w:rFonts w:ascii="Tahoma"/>
                <w:b/>
                <w:spacing w:val="-6"/>
                <w:w w:val="90"/>
                <w:sz w:val="20"/>
              </w:rPr>
              <w:t> </w:t>
            </w:r>
            <w:r>
              <w:rPr>
                <w:rFonts w:ascii="Tahoma"/>
                <w:b/>
                <w:spacing w:val="-5"/>
                <w:w w:val="95"/>
                <w:sz w:val="20"/>
              </w:rPr>
              <w:t>682</w:t>
            </w:r>
          </w:p>
        </w:tc>
        <w:tc>
          <w:tcPr>
            <w:tcW w:w="530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F1F1F1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  <w:tcBorders>
              <w:top w:val="double" w:sz="4" w:space="0" w:color="000000"/>
              <w:bottom w:val="double" w:sz="4" w:space="0" w:color="000000"/>
            </w:tcBorders>
            <w:shd w:val="clear" w:color="auto" w:fill="F1F1F1"/>
          </w:tcPr>
          <w:p>
            <w:pPr>
              <w:pStyle w:val="TableParagraph"/>
              <w:spacing w:before="67"/>
              <w:ind w:left="15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17</w:t>
            </w:r>
            <w:r>
              <w:rPr>
                <w:rFonts w:ascii="Tahoma"/>
                <w:b/>
                <w:spacing w:val="-6"/>
                <w:w w:val="90"/>
                <w:sz w:val="20"/>
              </w:rPr>
              <w:t> </w:t>
            </w:r>
            <w:r>
              <w:rPr>
                <w:rFonts w:ascii="Tahoma"/>
                <w:b/>
                <w:spacing w:val="-5"/>
                <w:w w:val="95"/>
                <w:sz w:val="20"/>
              </w:rPr>
              <w:t>297</w:t>
            </w:r>
          </w:p>
        </w:tc>
      </w:tr>
      <w:tr>
        <w:trPr>
          <w:trHeight w:val="428" w:hRule="atLeast"/>
        </w:trPr>
        <w:tc>
          <w:tcPr>
            <w:tcW w:w="45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4"/>
              <w:ind w:left="11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EBITDA</w:t>
            </w:r>
            <w:r>
              <w:rPr>
                <w:spacing w:val="10"/>
                <w:sz w:val="20"/>
              </w:rPr>
              <w:t> </w:t>
            </w:r>
            <w:r>
              <w:rPr>
                <w:w w:val="85"/>
                <w:sz w:val="20"/>
              </w:rPr>
              <w:t>après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loyers</w:t>
            </w:r>
          </w:p>
        </w:tc>
        <w:tc>
          <w:tcPr>
            <w:tcW w:w="113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4"/>
              <w:ind w:left="8" w:right="5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214</w:t>
            </w:r>
          </w:p>
        </w:tc>
        <w:tc>
          <w:tcPr>
            <w:tcW w:w="11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4"/>
              <w:ind w:left="12" w:right="5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401</w:t>
            </w:r>
          </w:p>
        </w:tc>
        <w:tc>
          <w:tcPr>
            <w:tcW w:w="105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4"/>
              <w:ind w:left="13" w:right="5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582</w:t>
            </w:r>
          </w:p>
        </w:tc>
        <w:tc>
          <w:tcPr>
            <w:tcW w:w="53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64"/>
              <w:ind w:left="15" w:right="5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830</w:t>
            </w:r>
          </w:p>
        </w:tc>
      </w:tr>
      <w:tr>
        <w:trPr>
          <w:trHeight w:val="402" w:hRule="atLeast"/>
        </w:trPr>
        <w:tc>
          <w:tcPr>
            <w:tcW w:w="4532" w:type="dxa"/>
          </w:tcPr>
          <w:p>
            <w:pPr>
              <w:pStyle w:val="TableParagraph"/>
              <w:ind w:left="386"/>
              <w:jc w:val="left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%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du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5"/>
                <w:w w:val="85"/>
                <w:sz w:val="20"/>
              </w:rPr>
              <w:t>CA</w:t>
            </w:r>
          </w:p>
        </w:tc>
        <w:tc>
          <w:tcPr>
            <w:tcW w:w="1135" w:type="dxa"/>
          </w:tcPr>
          <w:p>
            <w:pPr>
              <w:pStyle w:val="TableParagraph"/>
              <w:ind w:left="8"/>
              <w:rPr>
                <w:i/>
                <w:sz w:val="20"/>
              </w:rPr>
            </w:pPr>
            <w:r>
              <w:rPr>
                <w:i/>
                <w:spacing w:val="-4"/>
                <w:w w:val="90"/>
                <w:sz w:val="20"/>
              </w:rPr>
              <w:t>1,4%</w:t>
            </w:r>
          </w:p>
        </w:tc>
        <w:tc>
          <w:tcPr>
            <w:tcW w:w="1132" w:type="dxa"/>
          </w:tcPr>
          <w:p>
            <w:pPr>
              <w:pStyle w:val="TableParagraph"/>
              <w:ind w:left="12"/>
              <w:rPr>
                <w:i/>
                <w:sz w:val="20"/>
              </w:rPr>
            </w:pPr>
            <w:r>
              <w:rPr>
                <w:i/>
                <w:spacing w:val="-4"/>
                <w:w w:val="90"/>
                <w:sz w:val="20"/>
              </w:rPr>
              <w:t>2,7%</w:t>
            </w:r>
          </w:p>
        </w:tc>
        <w:tc>
          <w:tcPr>
            <w:tcW w:w="1056" w:type="dxa"/>
          </w:tcPr>
          <w:p>
            <w:pPr>
              <w:pStyle w:val="TableParagraph"/>
              <w:ind w:left="13"/>
              <w:rPr>
                <w:i/>
                <w:sz w:val="20"/>
              </w:rPr>
            </w:pPr>
            <w:r>
              <w:rPr>
                <w:i/>
                <w:spacing w:val="-4"/>
                <w:w w:val="90"/>
                <w:sz w:val="20"/>
              </w:rPr>
              <w:t>3,7%</w:t>
            </w:r>
          </w:p>
        </w:tc>
        <w:tc>
          <w:tcPr>
            <w:tcW w:w="5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ind w:left="15"/>
              <w:rPr>
                <w:i/>
                <w:sz w:val="20"/>
              </w:rPr>
            </w:pPr>
            <w:r>
              <w:rPr>
                <w:i/>
                <w:spacing w:val="-4"/>
                <w:w w:val="90"/>
                <w:sz w:val="20"/>
              </w:rPr>
              <w:t>4,8%</w:t>
            </w:r>
          </w:p>
        </w:tc>
      </w:tr>
      <w:tr>
        <w:trPr>
          <w:trHeight w:val="402" w:hRule="atLeast"/>
        </w:trPr>
        <w:tc>
          <w:tcPr>
            <w:tcW w:w="4532" w:type="dxa"/>
          </w:tcPr>
          <w:p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APCO</w:t>
            </w:r>
          </w:p>
        </w:tc>
        <w:tc>
          <w:tcPr>
            <w:tcW w:w="1135" w:type="dxa"/>
          </w:tcPr>
          <w:p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(302)</w:t>
            </w:r>
          </w:p>
        </w:tc>
        <w:tc>
          <w:tcPr>
            <w:tcW w:w="1132" w:type="dxa"/>
          </w:tcPr>
          <w:p>
            <w:pPr>
              <w:pStyle w:val="TableParagraph"/>
              <w:ind w:left="12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(185)</w:t>
            </w:r>
          </w:p>
        </w:tc>
        <w:tc>
          <w:tcPr>
            <w:tcW w:w="1056" w:type="dxa"/>
          </w:tcPr>
          <w:p>
            <w:pPr>
              <w:pStyle w:val="TableParagraph"/>
              <w:ind w:left="13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(129)</w:t>
            </w:r>
          </w:p>
        </w:tc>
        <w:tc>
          <w:tcPr>
            <w:tcW w:w="5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(58)</w:t>
            </w:r>
          </w:p>
        </w:tc>
      </w:tr>
      <w:tr>
        <w:trPr>
          <w:trHeight w:val="402" w:hRule="atLeast"/>
        </w:trPr>
        <w:tc>
          <w:tcPr>
            <w:tcW w:w="4532" w:type="dxa"/>
          </w:tcPr>
          <w:p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Autres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éléments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la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5"/>
                <w:sz w:val="20"/>
              </w:rPr>
              <w:t>CAF</w:t>
            </w:r>
          </w:p>
        </w:tc>
        <w:tc>
          <w:tcPr>
            <w:tcW w:w="1135" w:type="dxa"/>
          </w:tcPr>
          <w:p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(189)</w:t>
            </w:r>
          </w:p>
        </w:tc>
        <w:tc>
          <w:tcPr>
            <w:tcW w:w="1132" w:type="dxa"/>
          </w:tcPr>
          <w:p>
            <w:pPr>
              <w:pStyle w:val="TableParagraph"/>
              <w:ind w:left="12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(120)</w:t>
            </w:r>
          </w:p>
        </w:tc>
        <w:tc>
          <w:tcPr>
            <w:tcW w:w="1056" w:type="dxa"/>
          </w:tcPr>
          <w:p>
            <w:pPr>
              <w:pStyle w:val="TableParagraph"/>
              <w:ind w:left="13" w:right="2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(91)</w:t>
            </w:r>
          </w:p>
        </w:tc>
        <w:tc>
          <w:tcPr>
            <w:tcW w:w="5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(87)</w:t>
            </w:r>
          </w:p>
        </w:tc>
      </w:tr>
      <w:tr>
        <w:trPr>
          <w:trHeight w:val="402" w:hRule="atLeast"/>
        </w:trPr>
        <w:tc>
          <w:tcPr>
            <w:tcW w:w="4532" w:type="dxa"/>
            <w:shd w:val="clear" w:color="auto" w:fill="D9D9D9"/>
          </w:tcPr>
          <w:p>
            <w:pPr>
              <w:pStyle w:val="TableParagraph"/>
              <w:spacing w:before="42"/>
              <w:ind w:left="110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CAF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spacing w:before="42"/>
              <w:ind w:left="8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(277)</w:t>
            </w:r>
          </w:p>
        </w:tc>
        <w:tc>
          <w:tcPr>
            <w:tcW w:w="1132" w:type="dxa"/>
            <w:shd w:val="clear" w:color="auto" w:fill="D9D9D9"/>
          </w:tcPr>
          <w:p>
            <w:pPr>
              <w:pStyle w:val="TableParagraph"/>
              <w:spacing w:before="42"/>
              <w:ind w:left="12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96</w:t>
            </w:r>
          </w:p>
        </w:tc>
        <w:tc>
          <w:tcPr>
            <w:tcW w:w="1056" w:type="dxa"/>
            <w:shd w:val="clear" w:color="auto" w:fill="D9D9D9"/>
          </w:tcPr>
          <w:p>
            <w:pPr>
              <w:pStyle w:val="TableParagraph"/>
              <w:spacing w:before="42"/>
              <w:ind w:left="13" w:right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362</w:t>
            </w:r>
          </w:p>
        </w:tc>
        <w:tc>
          <w:tcPr>
            <w:tcW w:w="530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  <w:shd w:val="clear" w:color="auto" w:fill="D9D9D9"/>
          </w:tcPr>
          <w:p>
            <w:pPr>
              <w:pStyle w:val="TableParagraph"/>
              <w:spacing w:before="42"/>
              <w:ind w:left="15" w:right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685</w:t>
            </w:r>
          </w:p>
        </w:tc>
      </w:tr>
      <w:tr>
        <w:trPr>
          <w:trHeight w:val="403" w:hRule="atLeast"/>
        </w:trPr>
        <w:tc>
          <w:tcPr>
            <w:tcW w:w="4532" w:type="dxa"/>
          </w:tcPr>
          <w:p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Capex</w:t>
            </w:r>
          </w:p>
        </w:tc>
        <w:tc>
          <w:tcPr>
            <w:tcW w:w="1135" w:type="dxa"/>
          </w:tcPr>
          <w:p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(418)</w:t>
            </w:r>
          </w:p>
        </w:tc>
        <w:tc>
          <w:tcPr>
            <w:tcW w:w="1132" w:type="dxa"/>
          </w:tcPr>
          <w:p>
            <w:pPr>
              <w:pStyle w:val="TableParagraph"/>
              <w:ind w:left="12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(452)</w:t>
            </w:r>
          </w:p>
        </w:tc>
        <w:tc>
          <w:tcPr>
            <w:tcW w:w="1056" w:type="dxa"/>
          </w:tcPr>
          <w:p>
            <w:pPr>
              <w:pStyle w:val="TableParagraph"/>
              <w:ind w:left="13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(477)</w:t>
            </w:r>
          </w:p>
        </w:tc>
        <w:tc>
          <w:tcPr>
            <w:tcW w:w="5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(513)</w:t>
            </w:r>
          </w:p>
        </w:tc>
      </w:tr>
      <w:tr>
        <w:trPr>
          <w:trHeight w:val="402" w:hRule="atLeast"/>
        </w:trPr>
        <w:tc>
          <w:tcPr>
            <w:tcW w:w="4532" w:type="dxa"/>
            <w:shd w:val="clear" w:color="auto" w:fill="D9D9D9"/>
          </w:tcPr>
          <w:p>
            <w:pPr>
              <w:pStyle w:val="TableParagraph"/>
              <w:spacing w:before="42"/>
              <w:ind w:left="110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CAF -</w:t>
            </w:r>
            <w:r>
              <w:rPr>
                <w:rFonts w:ascii="Tahoma"/>
                <w:b/>
                <w:spacing w:val="-1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CAPEX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spacing w:before="42"/>
              <w:ind w:left="8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(695)</w:t>
            </w:r>
          </w:p>
        </w:tc>
        <w:tc>
          <w:tcPr>
            <w:tcW w:w="1132" w:type="dxa"/>
            <w:shd w:val="clear" w:color="auto" w:fill="D9D9D9"/>
          </w:tcPr>
          <w:p>
            <w:pPr>
              <w:pStyle w:val="TableParagraph"/>
              <w:spacing w:before="42"/>
              <w:ind w:left="12" w:right="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(356)</w:t>
            </w:r>
          </w:p>
        </w:tc>
        <w:tc>
          <w:tcPr>
            <w:tcW w:w="1056" w:type="dxa"/>
            <w:shd w:val="clear" w:color="auto" w:fill="D9D9D9"/>
          </w:tcPr>
          <w:p>
            <w:pPr>
              <w:pStyle w:val="TableParagraph"/>
              <w:spacing w:before="42"/>
              <w:ind w:left="13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(115)</w:t>
            </w:r>
          </w:p>
        </w:tc>
        <w:tc>
          <w:tcPr>
            <w:tcW w:w="530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  <w:shd w:val="clear" w:color="auto" w:fill="D9D9D9"/>
          </w:tcPr>
          <w:p>
            <w:pPr>
              <w:pStyle w:val="TableParagraph"/>
              <w:spacing w:before="42"/>
              <w:ind w:left="15" w:right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172</w:t>
            </w:r>
          </w:p>
        </w:tc>
      </w:tr>
      <w:tr>
        <w:trPr>
          <w:trHeight w:val="402" w:hRule="atLeast"/>
        </w:trPr>
        <w:tc>
          <w:tcPr>
            <w:tcW w:w="4532" w:type="dxa"/>
          </w:tcPr>
          <w:p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75"/>
                <w:sz w:val="20"/>
              </w:rPr>
              <w:t>IS</w:t>
            </w:r>
          </w:p>
        </w:tc>
        <w:tc>
          <w:tcPr>
            <w:tcW w:w="1135" w:type="dxa"/>
          </w:tcPr>
          <w:p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(23)</w:t>
            </w:r>
          </w:p>
        </w:tc>
        <w:tc>
          <w:tcPr>
            <w:tcW w:w="1132" w:type="dxa"/>
          </w:tcPr>
          <w:p>
            <w:pPr>
              <w:pStyle w:val="TableParagraph"/>
              <w:ind w:left="12" w:right="2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(18)</w:t>
            </w:r>
          </w:p>
        </w:tc>
        <w:tc>
          <w:tcPr>
            <w:tcW w:w="1056" w:type="dxa"/>
          </w:tcPr>
          <w:p>
            <w:pPr>
              <w:pStyle w:val="TableParagraph"/>
              <w:ind w:left="13" w:right="2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(17)</w:t>
            </w:r>
          </w:p>
        </w:tc>
        <w:tc>
          <w:tcPr>
            <w:tcW w:w="5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(6)</w:t>
            </w:r>
          </w:p>
        </w:tc>
      </w:tr>
      <w:tr>
        <w:trPr>
          <w:trHeight w:val="402" w:hRule="atLeast"/>
        </w:trPr>
        <w:tc>
          <w:tcPr>
            <w:tcW w:w="4532" w:type="dxa"/>
          </w:tcPr>
          <w:p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BFR</w:t>
            </w:r>
          </w:p>
        </w:tc>
        <w:tc>
          <w:tcPr>
            <w:tcW w:w="1135" w:type="dxa"/>
          </w:tcPr>
          <w:p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(782)</w:t>
            </w:r>
          </w:p>
        </w:tc>
        <w:tc>
          <w:tcPr>
            <w:tcW w:w="1132" w:type="dxa"/>
          </w:tcPr>
          <w:p>
            <w:pPr>
              <w:pStyle w:val="TableParagraph"/>
              <w:ind w:left="12" w:right="2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(88)</w:t>
            </w:r>
          </w:p>
        </w:tc>
        <w:tc>
          <w:tcPr>
            <w:tcW w:w="1056" w:type="dxa"/>
          </w:tcPr>
          <w:p>
            <w:pPr>
              <w:pStyle w:val="TableParagraph"/>
              <w:ind w:left="13" w:right="1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ind w:left="15" w:right="1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9</w:t>
            </w:r>
          </w:p>
        </w:tc>
      </w:tr>
      <w:tr>
        <w:trPr>
          <w:trHeight w:val="402" w:hRule="atLeast"/>
        </w:trPr>
        <w:tc>
          <w:tcPr>
            <w:tcW w:w="4532" w:type="dxa"/>
          </w:tcPr>
          <w:p>
            <w:pPr>
              <w:pStyle w:val="TableParagraph"/>
              <w:ind w:left="110"/>
              <w:jc w:val="left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dont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financements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BFR</w:t>
            </w:r>
          </w:p>
        </w:tc>
        <w:tc>
          <w:tcPr>
            <w:tcW w:w="1135" w:type="dxa"/>
          </w:tcPr>
          <w:p>
            <w:pPr>
              <w:pStyle w:val="TableParagraph"/>
              <w:ind w:left="8" w:right="2"/>
              <w:rPr>
                <w:i/>
                <w:sz w:val="20"/>
              </w:rPr>
            </w:pPr>
            <w:r>
              <w:rPr>
                <w:i/>
                <w:spacing w:val="-2"/>
                <w:w w:val="95"/>
                <w:sz w:val="20"/>
              </w:rPr>
              <w:t>(837)</w:t>
            </w:r>
          </w:p>
        </w:tc>
        <w:tc>
          <w:tcPr>
            <w:tcW w:w="1132" w:type="dxa"/>
          </w:tcPr>
          <w:p>
            <w:pPr>
              <w:pStyle w:val="TableParagraph"/>
              <w:ind w:left="12" w:right="2"/>
              <w:rPr>
                <w:i/>
                <w:sz w:val="20"/>
              </w:rPr>
            </w:pPr>
            <w:r>
              <w:rPr>
                <w:i/>
                <w:spacing w:val="-10"/>
                <w:w w:val="80"/>
                <w:sz w:val="20"/>
              </w:rPr>
              <w:t>-</w:t>
            </w:r>
          </w:p>
        </w:tc>
        <w:tc>
          <w:tcPr>
            <w:tcW w:w="1056" w:type="dxa"/>
          </w:tcPr>
          <w:p>
            <w:pPr>
              <w:pStyle w:val="TableParagraph"/>
              <w:ind w:left="13" w:right="2"/>
              <w:rPr>
                <w:i/>
                <w:sz w:val="20"/>
              </w:rPr>
            </w:pPr>
            <w:r>
              <w:rPr>
                <w:i/>
                <w:spacing w:val="-10"/>
                <w:w w:val="80"/>
                <w:sz w:val="20"/>
              </w:rPr>
              <w:t>-</w:t>
            </w:r>
          </w:p>
        </w:tc>
        <w:tc>
          <w:tcPr>
            <w:tcW w:w="5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ind w:left="15" w:right="2"/>
              <w:rPr>
                <w:i/>
                <w:sz w:val="20"/>
              </w:rPr>
            </w:pPr>
            <w:r>
              <w:rPr>
                <w:i/>
                <w:spacing w:val="-10"/>
                <w:w w:val="80"/>
                <w:sz w:val="20"/>
              </w:rPr>
              <w:t>-</w:t>
            </w:r>
          </w:p>
        </w:tc>
      </w:tr>
      <w:tr>
        <w:trPr>
          <w:trHeight w:val="402" w:hRule="atLeast"/>
        </w:trPr>
        <w:tc>
          <w:tcPr>
            <w:tcW w:w="4532" w:type="dxa"/>
          </w:tcPr>
          <w:p>
            <w:pPr>
              <w:pStyle w:val="TableParagraph"/>
              <w:ind w:left="11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dont</w:t>
            </w:r>
            <w:r>
              <w:rPr>
                <w:i/>
                <w:spacing w:val="10"/>
                <w:sz w:val="20"/>
              </w:rPr>
              <w:t> </w:t>
            </w:r>
            <w:r>
              <w:rPr>
                <w:i/>
                <w:sz w:val="20"/>
              </w:rPr>
              <w:t>décalages</w:t>
            </w:r>
            <w:r>
              <w:rPr>
                <w:i/>
                <w:spacing w:val="6"/>
                <w:sz w:val="20"/>
              </w:rPr>
              <w:t> </w:t>
            </w:r>
            <w:r>
              <w:rPr>
                <w:i/>
                <w:sz w:val="20"/>
              </w:rPr>
              <w:t>dette</w:t>
            </w:r>
            <w:r>
              <w:rPr>
                <w:i/>
                <w:spacing w:val="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sociale</w:t>
            </w:r>
          </w:p>
        </w:tc>
        <w:tc>
          <w:tcPr>
            <w:tcW w:w="1135" w:type="dxa"/>
          </w:tcPr>
          <w:p>
            <w:pPr>
              <w:pStyle w:val="TableParagraph"/>
              <w:ind w:left="8" w:right="5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296</w:t>
            </w:r>
          </w:p>
        </w:tc>
        <w:tc>
          <w:tcPr>
            <w:tcW w:w="1132" w:type="dxa"/>
          </w:tcPr>
          <w:p>
            <w:pPr>
              <w:pStyle w:val="TableParagraph"/>
              <w:ind w:left="12" w:right="2"/>
              <w:rPr>
                <w:i/>
                <w:sz w:val="20"/>
              </w:rPr>
            </w:pPr>
            <w:r>
              <w:rPr>
                <w:i/>
                <w:spacing w:val="-2"/>
                <w:w w:val="95"/>
                <w:sz w:val="20"/>
              </w:rPr>
              <w:t>(296)</w:t>
            </w:r>
          </w:p>
        </w:tc>
        <w:tc>
          <w:tcPr>
            <w:tcW w:w="1056" w:type="dxa"/>
          </w:tcPr>
          <w:p>
            <w:pPr>
              <w:pStyle w:val="TableParagraph"/>
              <w:ind w:left="13" w:right="2"/>
              <w:rPr>
                <w:i/>
                <w:sz w:val="20"/>
              </w:rPr>
            </w:pPr>
            <w:r>
              <w:rPr>
                <w:i/>
                <w:spacing w:val="-10"/>
                <w:w w:val="80"/>
                <w:sz w:val="20"/>
              </w:rPr>
              <w:t>-</w:t>
            </w:r>
          </w:p>
        </w:tc>
        <w:tc>
          <w:tcPr>
            <w:tcW w:w="5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ind w:left="15" w:right="2"/>
              <w:rPr>
                <w:i/>
                <w:sz w:val="20"/>
              </w:rPr>
            </w:pPr>
            <w:r>
              <w:rPr>
                <w:i/>
                <w:spacing w:val="-10"/>
                <w:w w:val="80"/>
                <w:sz w:val="20"/>
              </w:rPr>
              <w:t>-</w:t>
            </w:r>
          </w:p>
        </w:tc>
      </w:tr>
      <w:tr>
        <w:trPr>
          <w:trHeight w:val="405" w:hRule="atLeast"/>
        </w:trPr>
        <w:tc>
          <w:tcPr>
            <w:tcW w:w="4532" w:type="dxa"/>
            <w:shd w:val="clear" w:color="auto" w:fill="D9D9D9"/>
          </w:tcPr>
          <w:p>
            <w:pPr>
              <w:pStyle w:val="TableParagraph"/>
              <w:spacing w:before="42"/>
              <w:ind w:left="110"/>
              <w:jc w:val="lef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FCF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spacing w:before="42"/>
              <w:ind w:left="8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(1</w:t>
            </w:r>
            <w:r>
              <w:rPr>
                <w:rFonts w:ascii="Tahoma"/>
                <w:b/>
                <w:spacing w:val="-1"/>
                <w:w w:val="95"/>
                <w:sz w:val="20"/>
              </w:rPr>
              <w:t> 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>499)</w:t>
            </w:r>
          </w:p>
        </w:tc>
        <w:tc>
          <w:tcPr>
            <w:tcW w:w="1132" w:type="dxa"/>
            <w:shd w:val="clear" w:color="auto" w:fill="D9D9D9"/>
          </w:tcPr>
          <w:p>
            <w:pPr>
              <w:pStyle w:val="TableParagraph"/>
              <w:spacing w:before="42"/>
              <w:ind w:left="12" w:right="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(461)</w:t>
            </w:r>
          </w:p>
        </w:tc>
        <w:tc>
          <w:tcPr>
            <w:tcW w:w="1056" w:type="dxa"/>
            <w:shd w:val="clear" w:color="auto" w:fill="D9D9D9"/>
          </w:tcPr>
          <w:p>
            <w:pPr>
              <w:pStyle w:val="TableParagraph"/>
              <w:spacing w:before="42"/>
              <w:ind w:left="13" w:right="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w w:val="95"/>
                <w:sz w:val="20"/>
              </w:rPr>
              <w:t>(85)</w:t>
            </w:r>
          </w:p>
        </w:tc>
        <w:tc>
          <w:tcPr>
            <w:tcW w:w="530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  <w:shd w:val="clear" w:color="auto" w:fill="D9D9D9"/>
          </w:tcPr>
          <w:p>
            <w:pPr>
              <w:pStyle w:val="TableParagraph"/>
              <w:spacing w:before="42"/>
              <w:ind w:left="15" w:right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175</w:t>
            </w:r>
          </w:p>
        </w:tc>
      </w:tr>
      <w:tr>
        <w:trPr>
          <w:trHeight w:val="633" w:hRule="atLeast"/>
        </w:trPr>
        <w:tc>
          <w:tcPr>
            <w:tcW w:w="45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2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FCF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hors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financements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opérationnels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et dette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sociale</w:t>
            </w:r>
          </w:p>
        </w:tc>
        <w:tc>
          <w:tcPr>
            <w:tcW w:w="113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25"/>
              <w:ind w:left="8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(889)</w:t>
            </w:r>
          </w:p>
        </w:tc>
        <w:tc>
          <w:tcPr>
            <w:tcW w:w="11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25"/>
              <w:ind w:left="12" w:right="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(165)</w:t>
            </w:r>
          </w:p>
        </w:tc>
        <w:tc>
          <w:tcPr>
            <w:tcW w:w="105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25"/>
              <w:ind w:left="13" w:right="2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(85)</w:t>
            </w:r>
          </w:p>
        </w:tc>
        <w:tc>
          <w:tcPr>
            <w:tcW w:w="53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25"/>
              <w:ind w:left="15" w:right="5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175</w:t>
            </w:r>
          </w:p>
        </w:tc>
      </w:tr>
      <w:tr>
        <w:trPr>
          <w:trHeight w:val="427" w:hRule="atLeast"/>
        </w:trPr>
        <w:tc>
          <w:tcPr>
            <w:tcW w:w="45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110"/>
              <w:jc w:val="left"/>
              <w:rPr>
                <w:i/>
                <w:sz w:val="13"/>
              </w:rPr>
            </w:pPr>
            <w:r>
              <w:rPr>
                <w:i/>
                <w:spacing w:val="-6"/>
                <w:sz w:val="20"/>
              </w:rPr>
              <w:t>Impact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6"/>
                <w:sz w:val="20"/>
              </w:rPr>
              <w:t>prévisionnel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6"/>
                <w:sz w:val="20"/>
              </w:rPr>
              <w:t>partenariat Prosol</w:t>
            </w:r>
            <w:r>
              <w:rPr>
                <w:i/>
                <w:spacing w:val="-23"/>
                <w:sz w:val="20"/>
              </w:rPr>
              <w:t> </w:t>
            </w:r>
            <w:r>
              <w:rPr>
                <w:i/>
                <w:spacing w:val="-6"/>
                <w:position w:val="5"/>
                <w:sz w:val="13"/>
              </w:rPr>
              <w:t>(1)</w:t>
            </w:r>
          </w:p>
        </w:tc>
        <w:tc>
          <w:tcPr>
            <w:tcW w:w="113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12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10</w:t>
            </w:r>
          </w:p>
        </w:tc>
        <w:tc>
          <w:tcPr>
            <w:tcW w:w="105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13" w:right="1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44</w:t>
            </w:r>
          </w:p>
        </w:tc>
        <w:tc>
          <w:tcPr>
            <w:tcW w:w="53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7"/>
              <w:ind w:left="15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87</w:t>
            </w:r>
          </w:p>
        </w:tc>
      </w:tr>
      <w:tr>
        <w:trPr>
          <w:trHeight w:val="402" w:hRule="atLeast"/>
        </w:trPr>
        <w:tc>
          <w:tcPr>
            <w:tcW w:w="4532" w:type="dxa"/>
          </w:tcPr>
          <w:p>
            <w:pPr>
              <w:pStyle w:val="TableParagraph"/>
              <w:spacing w:before="22"/>
              <w:ind w:left="110"/>
              <w:jc w:val="left"/>
              <w:rPr>
                <w:i/>
                <w:sz w:val="13"/>
              </w:rPr>
            </w:pPr>
            <w:r>
              <w:rPr>
                <w:i/>
                <w:w w:val="90"/>
                <w:sz w:val="20"/>
              </w:rPr>
              <w:t>Impact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prévisionnel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cessions</w:t>
            </w:r>
            <w:r>
              <w:rPr>
                <w:i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ITM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liste</w:t>
            </w:r>
            <w:r>
              <w:rPr>
                <w:i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A2</w:t>
            </w:r>
            <w:r>
              <w:rPr>
                <w:i/>
                <w:spacing w:val="-12"/>
                <w:w w:val="90"/>
                <w:sz w:val="20"/>
              </w:rPr>
              <w:t> </w:t>
            </w:r>
            <w:r>
              <w:rPr>
                <w:i/>
                <w:spacing w:val="-5"/>
                <w:w w:val="90"/>
                <w:position w:val="5"/>
                <w:sz w:val="13"/>
              </w:rPr>
              <w:t>(1)</w:t>
            </w:r>
          </w:p>
        </w:tc>
        <w:tc>
          <w:tcPr>
            <w:tcW w:w="11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22"/>
              <w:ind w:left="13" w:right="1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before="22"/>
              <w:ind w:left="15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16</w:t>
            </w:r>
          </w:p>
        </w:tc>
      </w:tr>
      <w:tr>
        <w:trPr>
          <w:trHeight w:val="616" w:hRule="atLeast"/>
        </w:trPr>
        <w:tc>
          <w:tcPr>
            <w:tcW w:w="4532" w:type="dxa"/>
            <w:shd w:val="clear" w:color="auto" w:fill="D9D9D9"/>
          </w:tcPr>
          <w:p>
            <w:pPr>
              <w:pStyle w:val="TableParagraph"/>
              <w:spacing w:line="242" w:lineRule="auto" w:before="8"/>
              <w:ind w:left="110"/>
              <w:jc w:val="left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6"/>
                <w:sz w:val="20"/>
              </w:rPr>
              <w:t>Free</w:t>
            </w:r>
            <w:r>
              <w:rPr>
                <w:rFonts w:ascii="Tahoma" w:hAnsi="Tahoma"/>
                <w:b/>
                <w:spacing w:val="-7"/>
                <w:sz w:val="20"/>
              </w:rPr>
              <w:t> </w:t>
            </w:r>
            <w:r>
              <w:rPr>
                <w:rFonts w:ascii="Tahoma" w:hAnsi="Tahoma"/>
                <w:b/>
                <w:spacing w:val="-6"/>
                <w:sz w:val="20"/>
              </w:rPr>
              <w:t>cash-flow pro forma, hors financements </w:t>
            </w:r>
            <w:r>
              <w:rPr>
                <w:rFonts w:ascii="Tahoma" w:hAnsi="Tahoma"/>
                <w:b/>
                <w:sz w:val="20"/>
              </w:rPr>
              <w:t>opérationnels et dette sociale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spacing w:before="131"/>
              <w:ind w:left="8" w:right="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(889)</w:t>
            </w:r>
          </w:p>
        </w:tc>
        <w:tc>
          <w:tcPr>
            <w:tcW w:w="1132" w:type="dxa"/>
            <w:shd w:val="clear" w:color="auto" w:fill="D9D9D9"/>
          </w:tcPr>
          <w:p>
            <w:pPr>
              <w:pStyle w:val="TableParagraph"/>
              <w:spacing w:before="131"/>
              <w:ind w:left="12" w:right="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(155)</w:t>
            </w:r>
          </w:p>
        </w:tc>
        <w:tc>
          <w:tcPr>
            <w:tcW w:w="1056" w:type="dxa"/>
            <w:shd w:val="clear" w:color="auto" w:fill="D9D9D9"/>
          </w:tcPr>
          <w:p>
            <w:pPr>
              <w:pStyle w:val="TableParagraph"/>
              <w:spacing w:before="131"/>
              <w:ind w:left="13" w:right="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w w:val="95"/>
                <w:sz w:val="20"/>
              </w:rPr>
              <w:t>(25)</w:t>
            </w:r>
          </w:p>
        </w:tc>
        <w:tc>
          <w:tcPr>
            <w:tcW w:w="530" w:type="dxa"/>
            <w:shd w:val="clear" w:color="auto" w:fill="D9D9D9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3" w:type="dxa"/>
            <w:shd w:val="clear" w:color="auto" w:fill="D9D9D9"/>
          </w:tcPr>
          <w:p>
            <w:pPr>
              <w:pStyle w:val="TableParagraph"/>
              <w:spacing w:before="131"/>
              <w:ind w:left="15" w:right="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278</w:t>
            </w:r>
          </w:p>
        </w:tc>
      </w:tr>
    </w:tbl>
    <w:p>
      <w:pPr>
        <w:spacing w:before="76"/>
        <w:ind w:left="592" w:right="0" w:firstLine="0"/>
        <w:jc w:val="left"/>
        <w:rPr>
          <w:sz w:val="20"/>
        </w:rPr>
      </w:pPr>
      <w:r>
        <w:rPr>
          <w:spacing w:val="-4"/>
          <w:sz w:val="20"/>
        </w:rPr>
        <w:t>(1)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Gains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suivis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analytiquement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au</w:t>
      </w:r>
      <w:r>
        <w:rPr>
          <w:spacing w:val="-16"/>
          <w:sz w:val="20"/>
        </w:rPr>
        <w:t> </w:t>
      </w:r>
      <w:r>
        <w:rPr>
          <w:spacing w:val="-4"/>
          <w:sz w:val="20"/>
        </w:rPr>
        <w:t>niveau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d’AMC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et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qui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seront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attribués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à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terme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à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DCF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6"/>
        <w:rPr>
          <w:i w:val="0"/>
          <w:sz w:val="20"/>
        </w:rPr>
      </w:pPr>
    </w:p>
    <w:p>
      <w:pPr>
        <w:spacing w:before="0"/>
        <w:ind w:left="248" w:right="11" w:firstLine="0"/>
        <w:jc w:val="center"/>
        <w:rPr>
          <w:sz w:val="22"/>
        </w:rPr>
      </w:pPr>
      <w:r>
        <w:rPr>
          <w:w w:val="65"/>
          <w:sz w:val="22"/>
        </w:rPr>
        <w:t>*</w:t>
      </w:r>
      <w:r>
        <w:rPr>
          <w:spacing w:val="-16"/>
          <w:sz w:val="22"/>
        </w:rPr>
        <w:t> </w:t>
      </w:r>
      <w:r>
        <w:rPr>
          <w:w w:val="65"/>
          <w:sz w:val="22"/>
        </w:rPr>
        <w:t>*</w:t>
      </w:r>
      <w:r>
        <w:rPr>
          <w:spacing w:val="-15"/>
          <w:sz w:val="22"/>
        </w:rPr>
        <w:t> </w:t>
      </w:r>
      <w:r>
        <w:rPr>
          <w:spacing w:val="-10"/>
          <w:w w:val="65"/>
          <w:sz w:val="22"/>
        </w:rPr>
        <w:t>*</w:t>
      </w:r>
    </w:p>
    <w:p>
      <w:pPr>
        <w:pStyle w:val="BodyText"/>
        <w:rPr>
          <w:i w:val="0"/>
          <w:sz w:val="22"/>
        </w:rPr>
      </w:pPr>
    </w:p>
    <w:p>
      <w:pPr>
        <w:pStyle w:val="BodyText"/>
        <w:rPr>
          <w:i w:val="0"/>
          <w:sz w:val="22"/>
        </w:rPr>
      </w:pPr>
    </w:p>
    <w:p>
      <w:pPr>
        <w:pStyle w:val="BodyText"/>
        <w:spacing w:before="41"/>
        <w:rPr>
          <w:i w:val="0"/>
          <w:sz w:val="22"/>
        </w:rPr>
      </w:pPr>
    </w:p>
    <w:p>
      <w:pPr>
        <w:pStyle w:val="BodyText"/>
        <w:spacing w:line="278" w:lineRule="auto" w:before="1"/>
        <w:ind w:left="592" w:right="352"/>
        <w:jc w:val="both"/>
      </w:pPr>
      <w:r>
        <w:rPr/>
        <w:t>Le communiqué a été préparé uniquement à titre informatif et ne doit pas être interprété comme une sollicitation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5"/>
        </w:rPr>
        <w:t> </w:t>
      </w:r>
      <w:r>
        <w:rPr/>
        <w:t>d'achat</w:t>
      </w:r>
      <w:r>
        <w:rPr>
          <w:spacing w:val="-2"/>
        </w:rPr>
        <w:t> </w:t>
      </w:r>
      <w:r>
        <w:rPr/>
        <w:t>ou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vente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valeurs</w:t>
      </w:r>
      <w:r>
        <w:rPr>
          <w:spacing w:val="-5"/>
        </w:rPr>
        <w:t> </w:t>
      </w:r>
      <w:r>
        <w:rPr/>
        <w:t>mobilières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financiers</w:t>
      </w:r>
      <w:r>
        <w:rPr>
          <w:spacing w:val="-8"/>
        </w:rPr>
        <w:t> </w:t>
      </w:r>
      <w:r>
        <w:rPr/>
        <w:t>connexes.</w:t>
      </w:r>
      <w:r>
        <w:rPr>
          <w:spacing w:val="-5"/>
        </w:rPr>
        <w:t> </w:t>
      </w:r>
      <w:r>
        <w:rPr/>
        <w:t>De 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1"/>
        </w:rPr>
        <w:t> </w:t>
      </w:r>
      <w:r>
        <w:rPr/>
        <w:t>donne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11"/>
        </w:rPr>
        <w:t> </w:t>
      </w:r>
      <w:r>
        <w:rPr/>
        <w:t>doit</w:t>
      </w:r>
      <w:r>
        <w:rPr>
          <w:spacing w:val="-8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11"/>
        </w:rPr>
        <w:t> </w:t>
      </w:r>
      <w:r>
        <w:rPr/>
        <w:t>Il</w:t>
      </w:r>
      <w:r>
        <w:rPr>
          <w:spacing w:val="-11"/>
        </w:rPr>
        <w:t> </w:t>
      </w:r>
      <w:r>
        <w:rPr/>
        <w:t>n'a</w:t>
      </w:r>
      <w:r>
        <w:rPr>
          <w:spacing w:val="-11"/>
        </w:rPr>
        <w:t> </w:t>
      </w:r>
      <w:r>
        <w:rPr/>
        <w:t>aucun</w:t>
      </w:r>
      <w:r>
        <w:rPr>
          <w:spacing w:val="-11"/>
        </w:rPr>
        <w:t> </w:t>
      </w:r>
      <w:r>
        <w:rPr/>
        <w:t>égard</w:t>
      </w:r>
      <w:r>
        <w:rPr>
          <w:spacing w:val="-11"/>
        </w:rPr>
        <w:t> </w:t>
      </w:r>
      <w:r>
        <w:rPr/>
        <w:t>aux objectifs de placement, la situation financière ou des besoins particuliers de tout récepteur. Aucune </w:t>
      </w:r>
      <w:r>
        <w:rPr>
          <w:spacing w:val="-2"/>
        </w:rPr>
        <w:t>représentation</w:t>
      </w:r>
      <w:r>
        <w:rPr>
          <w:spacing w:val="-6"/>
        </w:rPr>
        <w:t> </w:t>
      </w:r>
      <w:r>
        <w:rPr>
          <w:spacing w:val="-2"/>
        </w:rPr>
        <w:t>ou</w:t>
      </w:r>
      <w:r>
        <w:rPr>
          <w:spacing w:val="-6"/>
        </w:rPr>
        <w:t> </w:t>
      </w:r>
      <w:r>
        <w:rPr>
          <w:spacing w:val="-2"/>
        </w:rPr>
        <w:t>garantie,</w:t>
      </w:r>
      <w:r>
        <w:rPr>
          <w:spacing w:val="-6"/>
        </w:rPr>
        <w:t> </w:t>
      </w:r>
      <w:r>
        <w:rPr>
          <w:spacing w:val="-2"/>
        </w:rPr>
        <w:t>expresse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implicite,</w:t>
      </w:r>
      <w:r>
        <w:rPr>
          <w:spacing w:val="-8"/>
        </w:rPr>
        <w:t> </w:t>
      </w:r>
      <w:r>
        <w:rPr>
          <w:spacing w:val="-2"/>
        </w:rPr>
        <w:t>n'est</w:t>
      </w:r>
      <w:r>
        <w:rPr>
          <w:spacing w:val="-8"/>
        </w:rPr>
        <w:t> </w:t>
      </w:r>
      <w:r>
        <w:rPr>
          <w:spacing w:val="-2"/>
        </w:rPr>
        <w:t>fournie</w:t>
      </w:r>
      <w:r>
        <w:rPr>
          <w:spacing w:val="-8"/>
        </w:rPr>
        <w:t> </w:t>
      </w:r>
      <w:r>
        <w:rPr>
          <w:spacing w:val="-2"/>
        </w:rPr>
        <w:t>par</w:t>
      </w:r>
      <w:r>
        <w:rPr>
          <w:spacing w:val="-8"/>
        </w:rPr>
        <w:t> </w:t>
      </w:r>
      <w:r>
        <w:rPr>
          <w:spacing w:val="-2"/>
        </w:rPr>
        <w:t>rapport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9"/>
        </w:rPr>
        <w:t> </w:t>
      </w:r>
      <w:r>
        <w:rPr>
          <w:spacing w:val="-2"/>
        </w:rPr>
        <w:t>l'exactitude,</w:t>
      </w:r>
      <w:r>
        <w:rPr>
          <w:spacing w:val="-8"/>
        </w:rPr>
        <w:t> </w:t>
      </w:r>
      <w:r>
        <w:rPr>
          <w:spacing w:val="-2"/>
        </w:rPr>
        <w:t>l'exhaustivité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la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1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1"/>
        </w:rPr>
        <w:t> </w:t>
      </w:r>
      <w:r>
        <w:rPr/>
        <w:t>document.</w:t>
      </w:r>
      <w:r>
        <w:rPr>
          <w:spacing w:val="-11"/>
        </w:rPr>
        <w:t> </w:t>
      </w:r>
      <w:r>
        <w:rPr/>
        <w:t>Il</w:t>
      </w:r>
      <w:r>
        <w:rPr>
          <w:spacing w:val="-10"/>
        </w:rPr>
        <w:t> </w:t>
      </w:r>
      <w:r>
        <w:rPr/>
        <w:t>ne</w:t>
      </w:r>
      <w:r>
        <w:rPr>
          <w:spacing w:val="-11"/>
        </w:rPr>
        <w:t> </w:t>
      </w:r>
      <w:r>
        <w:rPr/>
        <w:t>devrait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3"/>
        </w:rPr>
        <w:t> </w:t>
      </w:r>
      <w:r>
        <w:rPr/>
        <w:t>considéré</w:t>
      </w:r>
      <w:r>
        <w:rPr>
          <w:spacing w:val="-11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 </w:t>
      </w:r>
      <w:r>
        <w:rPr>
          <w:spacing w:val="-4"/>
        </w:rPr>
        <w:t>comme</w:t>
      </w:r>
      <w:r>
        <w:rPr>
          <w:spacing w:val="-12"/>
        </w:rPr>
        <w:t> </w:t>
      </w:r>
      <w:r>
        <w:rPr>
          <w:spacing w:val="-4"/>
        </w:rPr>
        <w:t>un</w:t>
      </w:r>
      <w:r>
        <w:rPr>
          <w:spacing w:val="-12"/>
        </w:rPr>
        <w:t> </w:t>
      </w:r>
      <w:r>
        <w:rPr>
          <w:spacing w:val="-4"/>
        </w:rPr>
        <w:t>substitut</w:t>
      </w:r>
      <w:r>
        <w:rPr>
          <w:spacing w:val="-12"/>
        </w:rPr>
        <w:t> </w:t>
      </w:r>
      <w:r>
        <w:rPr>
          <w:spacing w:val="-4"/>
        </w:rPr>
        <w:t>à</w:t>
      </w:r>
      <w:r>
        <w:rPr>
          <w:spacing w:val="-12"/>
        </w:rPr>
        <w:t> </w:t>
      </w:r>
      <w:r>
        <w:rPr>
          <w:spacing w:val="-4"/>
        </w:rPr>
        <w:t>l'exercice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leur</w:t>
      </w:r>
      <w:r>
        <w:rPr>
          <w:spacing w:val="-12"/>
        </w:rPr>
        <w:t> </w:t>
      </w:r>
      <w:r>
        <w:rPr>
          <w:spacing w:val="-4"/>
        </w:rPr>
        <w:t>propre</w:t>
      </w:r>
      <w:r>
        <w:rPr>
          <w:spacing w:val="-12"/>
        </w:rPr>
        <w:t> </w:t>
      </w:r>
      <w:r>
        <w:rPr>
          <w:spacing w:val="-4"/>
        </w:rPr>
        <w:t>jugement.</w:t>
      </w:r>
      <w:r>
        <w:rPr>
          <w:spacing w:val="-12"/>
        </w:rPr>
        <w:t> </w:t>
      </w:r>
      <w:r>
        <w:rPr>
          <w:spacing w:val="-4"/>
        </w:rPr>
        <w:t>Toutes</w:t>
      </w:r>
      <w:r>
        <w:rPr>
          <w:spacing w:val="-12"/>
        </w:rPr>
        <w:t> </w:t>
      </w:r>
      <w:r>
        <w:rPr>
          <w:spacing w:val="-4"/>
        </w:rPr>
        <w:t>les</w:t>
      </w:r>
      <w:r>
        <w:rPr>
          <w:spacing w:val="-12"/>
        </w:rPr>
        <w:t> </w:t>
      </w:r>
      <w:r>
        <w:rPr>
          <w:spacing w:val="-4"/>
        </w:rPr>
        <w:t>opinions</w:t>
      </w:r>
      <w:r>
        <w:rPr>
          <w:spacing w:val="-11"/>
        </w:rPr>
        <w:t> </w:t>
      </w:r>
      <w:r>
        <w:rPr>
          <w:spacing w:val="-4"/>
        </w:rPr>
        <w:t>exprimées</w:t>
      </w:r>
      <w:r>
        <w:rPr>
          <w:spacing w:val="-12"/>
        </w:rPr>
        <w:t> </w:t>
      </w:r>
      <w:r>
        <w:rPr>
          <w:spacing w:val="-4"/>
        </w:rPr>
        <w:t>dans</w:t>
      </w:r>
      <w:r>
        <w:rPr>
          <w:spacing w:val="-12"/>
        </w:rPr>
        <w:t> </w:t>
      </w:r>
      <w:r>
        <w:rPr>
          <w:spacing w:val="-4"/>
        </w:rPr>
        <w:t>ce</w:t>
      </w:r>
      <w:r>
        <w:rPr>
          <w:spacing w:val="-12"/>
        </w:rPr>
        <w:t> </w:t>
      </w:r>
      <w:r>
        <w:rPr>
          <w:spacing w:val="-4"/>
        </w:rPr>
        <w:t>document</w:t>
      </w:r>
      <w:r>
        <w:rPr>
          <w:spacing w:val="-12"/>
        </w:rPr>
        <w:t> </w:t>
      </w:r>
      <w:r>
        <w:rPr>
          <w:spacing w:val="-4"/>
        </w:rPr>
        <w:t>sont </w:t>
      </w:r>
      <w:r>
        <w:rPr/>
        <w:t>sujettes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changement sans</w:t>
      </w:r>
      <w:r>
        <w:rPr>
          <w:spacing w:val="-7"/>
        </w:rPr>
        <w:t> </w:t>
      </w:r>
      <w:r>
        <w:rPr/>
        <w:t>préavis.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719327</wp:posOffset>
                </wp:positionH>
                <wp:positionV relativeFrom="paragraph">
                  <wp:posOffset>208665</wp:posOffset>
                </wp:positionV>
                <wp:extent cx="1829435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6.430317pt;width:144.050pt;height:.4799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412" w:lineRule="auto" w:before="207"/>
        <w:ind w:left="624" w:right="6119" w:hanging="32"/>
        <w:jc w:val="left"/>
        <w:rPr>
          <w:rFonts w:ascii="Tahoma" w:hAnsi="Tahoma"/>
          <w:b/>
          <w:sz w:val="20"/>
        </w:rPr>
      </w:pPr>
      <w:r>
        <w:rPr>
          <w:color w:val="0D0D0D"/>
          <w:position w:val="5"/>
          <w:sz w:val="13"/>
        </w:rPr>
        <w:t>1</w:t>
      </w:r>
      <w:r>
        <w:rPr>
          <w:color w:val="0D0D0D"/>
          <w:spacing w:val="-10"/>
          <w:position w:val="5"/>
          <w:sz w:val="13"/>
        </w:rPr>
        <w:t> </w:t>
      </w:r>
      <w:r>
        <w:rPr>
          <w:color w:val="0D0D0D"/>
          <w:sz w:val="20"/>
        </w:rPr>
        <w:t>Cf.</w:t>
      </w:r>
      <w:r>
        <w:rPr>
          <w:color w:val="0D0D0D"/>
          <w:spacing w:val="-18"/>
          <w:sz w:val="20"/>
        </w:rPr>
        <w:t> </w:t>
      </w:r>
      <w:r>
        <w:rPr>
          <w:color w:val="0D0D0D"/>
          <w:sz w:val="20"/>
        </w:rPr>
        <w:t>page</w:t>
      </w:r>
      <w:r>
        <w:rPr>
          <w:color w:val="0D0D0D"/>
          <w:spacing w:val="-18"/>
          <w:sz w:val="20"/>
        </w:rPr>
        <w:t> </w:t>
      </w:r>
      <w:r>
        <w:rPr>
          <w:color w:val="0D0D0D"/>
          <w:sz w:val="20"/>
        </w:rPr>
        <w:t>22</w:t>
      </w:r>
      <w:r>
        <w:rPr>
          <w:color w:val="0D0D0D"/>
          <w:spacing w:val="-17"/>
          <w:sz w:val="20"/>
        </w:rPr>
        <w:t> </w:t>
      </w:r>
      <w:r>
        <w:rPr>
          <w:color w:val="0D0D0D"/>
          <w:sz w:val="20"/>
        </w:rPr>
        <w:t>de</w:t>
      </w:r>
      <w:r>
        <w:rPr>
          <w:color w:val="0D0D0D"/>
          <w:spacing w:val="-18"/>
          <w:sz w:val="20"/>
        </w:rPr>
        <w:t> </w:t>
      </w:r>
      <w:r>
        <w:rPr>
          <w:color w:val="0D0D0D"/>
          <w:sz w:val="20"/>
        </w:rPr>
        <w:t>la</w:t>
      </w:r>
      <w:r>
        <w:rPr>
          <w:color w:val="0D0D0D"/>
          <w:spacing w:val="-17"/>
          <w:sz w:val="20"/>
        </w:rPr>
        <w:t> </w:t>
      </w:r>
      <w:r>
        <w:rPr>
          <w:color w:val="0D0D0D"/>
          <w:sz w:val="20"/>
        </w:rPr>
        <w:t>présentation </w:t>
      </w:r>
      <w:r>
        <w:rPr>
          <w:spacing w:val="-6"/>
          <w:sz w:val="20"/>
        </w:rPr>
        <w:t>Mercredi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20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septembre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2023</w:t>
      </w:r>
      <w:r>
        <w:rPr>
          <w:spacing w:val="-11"/>
          <w:sz w:val="20"/>
        </w:rPr>
        <w:t> </w:t>
      </w:r>
      <w:r>
        <w:rPr>
          <w:rFonts w:ascii="Tahoma" w:hAnsi="Tahoma"/>
          <w:b/>
          <w:color w:val="3CA05A"/>
          <w:spacing w:val="-6"/>
          <w:sz w:val="20"/>
        </w:rPr>
        <w:t>▪</w:t>
      </w:r>
      <w:r>
        <w:rPr>
          <w:rFonts w:ascii="Tahoma" w:hAnsi="Tahoma"/>
          <w:b/>
          <w:color w:val="3CA05A"/>
          <w:spacing w:val="3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2</w:t>
      </w:r>
    </w:p>
    <w:p>
      <w:pPr>
        <w:spacing w:after="0" w:line="412" w:lineRule="auto"/>
        <w:jc w:val="left"/>
        <w:rPr>
          <w:rFonts w:ascii="Tahoma" w:hAnsi="Tahoma"/>
          <w:sz w:val="20"/>
        </w:rPr>
        <w:sectPr>
          <w:pgSz w:w="11910" w:h="16840"/>
          <w:pgMar w:top="1520" w:bottom="0" w:left="540" w:right="780"/>
        </w:sectPr>
      </w:pPr>
    </w:p>
    <w:p>
      <w:pPr>
        <w:spacing w:before="84"/>
        <w:ind w:left="592" w:right="0" w:firstLine="0"/>
        <w:jc w:val="both"/>
        <w:rPr>
          <w:b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343104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85"/>
          <w:sz w:val="18"/>
        </w:rPr>
        <w:t>Déclarations</w:t>
      </w:r>
      <w:r>
        <w:rPr>
          <w:b/>
          <w:i/>
          <w:spacing w:val="-3"/>
          <w:sz w:val="18"/>
        </w:rPr>
        <w:t> </w:t>
      </w:r>
      <w:r>
        <w:rPr>
          <w:b/>
          <w:i/>
          <w:spacing w:val="-2"/>
          <w:w w:val="95"/>
          <w:sz w:val="18"/>
        </w:rPr>
        <w:t>prospectives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78" w:lineRule="auto"/>
        <w:ind w:left="592" w:right="360"/>
        <w:jc w:val="both"/>
      </w:pPr>
      <w:r>
        <w:rPr>
          <w:spacing w:val="-4"/>
        </w:rPr>
        <w:t>Ce communiqué de presse</w:t>
      </w:r>
      <w:r>
        <w:rPr>
          <w:spacing w:val="-7"/>
        </w:rPr>
        <w:t> </w:t>
      </w:r>
      <w:r>
        <w:rPr>
          <w:spacing w:val="-4"/>
        </w:rPr>
        <w:t>peut contenir des déclarations prospectives. Ces déclarations prospectives peuvent </w:t>
      </w:r>
      <w:r>
        <w:rPr/>
        <w:t>être</w:t>
      </w:r>
      <w:r>
        <w:rPr>
          <w:spacing w:val="18"/>
        </w:rPr>
        <w:t> </w:t>
      </w:r>
      <w:r>
        <w:rPr/>
        <w:t>identifiées</w:t>
      </w:r>
      <w:r>
        <w:rPr>
          <w:spacing w:val="18"/>
        </w:rPr>
        <w:t> </w:t>
      </w:r>
      <w:r>
        <w:rPr/>
        <w:t>à</w:t>
      </w:r>
      <w:r>
        <w:rPr>
          <w:spacing w:val="18"/>
        </w:rPr>
        <w:t> </w:t>
      </w:r>
      <w:r>
        <w:rPr/>
        <w:t>l’aide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16"/>
        </w:rPr>
        <w:t> </w:t>
      </w:r>
      <w:r>
        <w:rPr/>
        <w:t>terminologie</w:t>
      </w:r>
      <w:r>
        <w:rPr>
          <w:spacing w:val="18"/>
        </w:rPr>
        <w:t> </w:t>
      </w:r>
      <w:r>
        <w:rPr/>
        <w:t>prospective,</w:t>
      </w:r>
      <w:r>
        <w:rPr>
          <w:spacing w:val="18"/>
        </w:rPr>
        <w:t> </w:t>
      </w:r>
      <w:r>
        <w:rPr/>
        <w:t>notamment</w:t>
      </w:r>
      <w:r>
        <w:rPr>
          <w:spacing w:val="19"/>
        </w:rPr>
        <w:t> </w:t>
      </w:r>
      <w:r>
        <w:rPr/>
        <w:t>les</w:t>
      </w:r>
      <w:r>
        <w:rPr>
          <w:spacing w:val="17"/>
        </w:rPr>
        <w:t> </w:t>
      </w:r>
      <w:r>
        <w:rPr/>
        <w:t>termes</w:t>
      </w:r>
      <w:r>
        <w:rPr>
          <w:spacing w:val="18"/>
        </w:rPr>
        <w:t> </w:t>
      </w:r>
      <w:r>
        <w:rPr/>
        <w:t>«croire»,</w:t>
      </w:r>
      <w:r>
        <w:rPr>
          <w:spacing w:val="21"/>
        </w:rPr>
        <w:t> </w:t>
      </w:r>
      <w:r>
        <w:rPr/>
        <w:t>«s’attendre</w:t>
      </w:r>
      <w:r>
        <w:rPr>
          <w:spacing w:val="18"/>
        </w:rPr>
        <w:t> </w:t>
      </w:r>
      <w:r>
        <w:rPr/>
        <w:t>à»,</w:t>
      </w:r>
    </w:p>
    <w:p>
      <w:pPr>
        <w:pStyle w:val="BodyText"/>
        <w:spacing w:line="278" w:lineRule="auto" w:before="1"/>
        <w:ind w:left="592" w:right="351"/>
        <w:jc w:val="both"/>
      </w:pPr>
      <w:r>
        <w:rPr>
          <w:w w:val="90"/>
        </w:rPr>
        <w:t>«anticiper»,</w:t>
      </w:r>
      <w:r>
        <w:rPr>
          <w:spacing w:val="-4"/>
          <w:w w:val="90"/>
        </w:rPr>
        <w:t> </w:t>
      </w:r>
      <w:r>
        <w:rPr>
          <w:w w:val="90"/>
        </w:rPr>
        <w:t>«peut»,</w:t>
      </w:r>
      <w:r>
        <w:rPr>
          <w:spacing w:val="-4"/>
          <w:w w:val="90"/>
        </w:rPr>
        <w:t> </w:t>
      </w:r>
      <w:r>
        <w:rPr>
          <w:w w:val="90"/>
        </w:rPr>
        <w:t>«présumer»,</w:t>
      </w:r>
      <w:r>
        <w:rPr>
          <w:spacing w:val="-4"/>
          <w:w w:val="90"/>
        </w:rPr>
        <w:t> </w:t>
      </w:r>
      <w:r>
        <w:rPr>
          <w:w w:val="90"/>
        </w:rPr>
        <w:t>«planifier»,</w:t>
      </w:r>
      <w:r>
        <w:rPr>
          <w:spacing w:val="-4"/>
          <w:w w:val="90"/>
        </w:rPr>
        <w:t> </w:t>
      </w:r>
      <w:r>
        <w:rPr>
          <w:w w:val="90"/>
        </w:rPr>
        <w:t>«avoir</w:t>
      </w:r>
      <w:r>
        <w:rPr>
          <w:spacing w:val="-8"/>
          <w:w w:val="90"/>
        </w:rPr>
        <w:t> </w:t>
      </w:r>
      <w:r>
        <w:rPr>
          <w:w w:val="90"/>
        </w:rPr>
        <w:t>l’intention</w:t>
      </w:r>
      <w:r>
        <w:rPr>
          <w:spacing w:val="-4"/>
          <w:w w:val="90"/>
        </w:rPr>
        <w:t> </w:t>
      </w:r>
      <w:r>
        <w:rPr>
          <w:w w:val="90"/>
        </w:rPr>
        <w:t>de»,</w:t>
      </w:r>
      <w:r>
        <w:rPr>
          <w:spacing w:val="-4"/>
          <w:w w:val="90"/>
        </w:rPr>
        <w:t> </w:t>
      </w:r>
      <w:r>
        <w:rPr>
          <w:w w:val="90"/>
        </w:rPr>
        <w:t>«sera»,</w:t>
      </w:r>
      <w:r>
        <w:rPr>
          <w:spacing w:val="-4"/>
          <w:w w:val="90"/>
        </w:rPr>
        <w:t> </w:t>
      </w:r>
      <w:r>
        <w:rPr>
          <w:w w:val="90"/>
        </w:rPr>
        <w:t>«devrait»,</w:t>
      </w:r>
      <w:r>
        <w:rPr>
          <w:spacing w:val="-4"/>
          <w:w w:val="90"/>
        </w:rPr>
        <w:t> </w:t>
      </w:r>
      <w:r>
        <w:rPr>
          <w:w w:val="90"/>
        </w:rPr>
        <w:t>«estimation»,</w:t>
      </w:r>
      <w:r>
        <w:rPr>
          <w:spacing w:val="-4"/>
          <w:w w:val="90"/>
        </w:rPr>
        <w:t> </w:t>
      </w:r>
      <w:r>
        <w:rPr>
          <w:w w:val="90"/>
        </w:rPr>
        <w:t>«risque»</w:t>
      </w:r>
      <w:r>
        <w:rPr>
          <w:spacing w:val="-6"/>
          <w:w w:val="90"/>
        </w:rPr>
        <w:t> </w:t>
      </w:r>
      <w:r>
        <w:rPr>
          <w:w w:val="90"/>
        </w:rPr>
        <w:t>et/ou, </w:t>
      </w:r>
      <w:r>
        <w:rPr/>
        <w:t>dans chaque cas, leur contraire, ou d’autres variantes ou terminologie comparable. Ces déclarations prospectives</w:t>
      </w:r>
      <w:r>
        <w:rPr>
          <w:spacing w:val="-5"/>
        </w:rPr>
        <w:t> </w:t>
      </w:r>
      <w:r>
        <w:rPr/>
        <w:t>comprennent</w:t>
      </w:r>
      <w:r>
        <w:rPr>
          <w:spacing w:val="-5"/>
        </w:rPr>
        <w:t> </w:t>
      </w:r>
      <w:r>
        <w:rPr/>
        <w:t>tout</w:t>
      </w:r>
      <w:r>
        <w:rPr>
          <w:spacing w:val="-3"/>
        </w:rPr>
        <w:t> </w:t>
      </w:r>
      <w:r>
        <w:rPr/>
        <w:t>sujet</w:t>
      </w:r>
      <w:r>
        <w:rPr>
          <w:spacing w:val="-2"/>
        </w:rPr>
        <w:t> </w:t>
      </w:r>
      <w:r>
        <w:rPr/>
        <w:t>qui</w:t>
      </w:r>
      <w:r>
        <w:rPr>
          <w:spacing w:val="-4"/>
        </w:rPr>
        <w:t> </w:t>
      </w:r>
      <w:r>
        <w:rPr/>
        <w:t>ne</w:t>
      </w:r>
      <w:r>
        <w:rPr>
          <w:spacing w:val="-3"/>
        </w:rPr>
        <w:t> </w:t>
      </w:r>
      <w:r>
        <w:rPr/>
        <w:t>porte</w:t>
      </w:r>
      <w:r>
        <w:rPr>
          <w:spacing w:val="-4"/>
        </w:rPr>
        <w:t> </w:t>
      </w:r>
      <w:r>
        <w:rPr/>
        <w:t>pas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des</w:t>
      </w:r>
      <w:r>
        <w:rPr>
          <w:spacing w:val="-5"/>
        </w:rPr>
        <w:t> </w:t>
      </w:r>
      <w:r>
        <w:rPr/>
        <w:t>faits</w:t>
      </w:r>
      <w:r>
        <w:rPr>
          <w:spacing w:val="-5"/>
        </w:rPr>
        <w:t> </w:t>
      </w:r>
      <w:r>
        <w:rPr/>
        <w:t>historiques</w:t>
      </w:r>
      <w:r>
        <w:rPr>
          <w:spacing w:val="-5"/>
        </w:rPr>
        <w:t> </w:t>
      </w:r>
      <w:r>
        <w:rPr/>
        <w:t>et incluent</w:t>
      </w:r>
      <w:r>
        <w:rPr>
          <w:spacing w:val="-2"/>
        </w:rPr>
        <w:t> </w:t>
      </w:r>
      <w:r>
        <w:rPr/>
        <w:t>des</w:t>
      </w:r>
      <w:r>
        <w:rPr>
          <w:spacing w:val="-5"/>
        </w:rPr>
        <w:t> </w:t>
      </w:r>
      <w:r>
        <w:rPr/>
        <w:t>déclarations relatives</w:t>
      </w:r>
      <w:r>
        <w:rPr>
          <w:spacing w:val="-8"/>
        </w:rPr>
        <w:t> </w:t>
      </w:r>
      <w:r>
        <w:rPr/>
        <w:t>aux</w:t>
      </w:r>
      <w:r>
        <w:rPr>
          <w:spacing w:val="-8"/>
        </w:rPr>
        <w:t> </w:t>
      </w:r>
      <w:r>
        <w:rPr/>
        <w:t>intentions,</w:t>
      </w:r>
      <w:r>
        <w:rPr>
          <w:spacing w:val="-6"/>
        </w:rPr>
        <w:t> </w:t>
      </w:r>
      <w:r>
        <w:rPr/>
        <w:t>aux</w:t>
      </w:r>
      <w:r>
        <w:rPr>
          <w:spacing w:val="-10"/>
        </w:rPr>
        <w:t> </w:t>
      </w:r>
      <w:r>
        <w:rPr/>
        <w:t>convictions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aux</w:t>
      </w:r>
      <w:r>
        <w:rPr>
          <w:spacing w:val="-8"/>
        </w:rPr>
        <w:t> </w:t>
      </w:r>
      <w:r>
        <w:rPr/>
        <w:t>attentes</w:t>
      </w:r>
      <w:r>
        <w:rPr>
          <w:spacing w:val="-8"/>
        </w:rPr>
        <w:t> </w:t>
      </w:r>
      <w:r>
        <w:rPr/>
        <w:t>actuelles</w:t>
      </w:r>
      <w:r>
        <w:rPr>
          <w:spacing w:val="-8"/>
        </w:rPr>
        <w:t> </w:t>
      </w:r>
      <w:r>
        <w:rPr/>
        <w:t>du</w:t>
      </w:r>
      <w:r>
        <w:rPr>
          <w:spacing w:val="-8"/>
        </w:rPr>
        <w:t> </w:t>
      </w:r>
      <w:r>
        <w:rPr/>
        <w:t>Groupe</w:t>
      </w:r>
      <w:r>
        <w:rPr>
          <w:spacing w:val="-8"/>
        </w:rPr>
        <w:t> </w:t>
      </w:r>
      <w:r>
        <w:rPr/>
        <w:t>Casino,</w:t>
      </w:r>
      <w:r>
        <w:rPr>
          <w:spacing w:val="-8"/>
        </w:rPr>
        <w:t> </w:t>
      </w:r>
      <w:r>
        <w:rPr/>
        <w:t>notamment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ce</w:t>
      </w:r>
      <w:r>
        <w:rPr>
          <w:spacing w:val="-8"/>
        </w:rPr>
        <w:t> </w:t>
      </w:r>
      <w:r>
        <w:rPr/>
        <w:t>qui </w:t>
      </w:r>
      <w:r>
        <w:rPr>
          <w:spacing w:val="-4"/>
        </w:rPr>
        <w:t>concerne</w:t>
      </w:r>
      <w:r>
        <w:rPr>
          <w:spacing w:val="-7"/>
        </w:rPr>
        <w:t> </w:t>
      </w:r>
      <w:r>
        <w:rPr>
          <w:spacing w:val="-4"/>
        </w:rPr>
        <w:t>les plans,</w:t>
      </w:r>
      <w:r>
        <w:rPr>
          <w:spacing w:val="-5"/>
        </w:rPr>
        <w:t> </w:t>
      </w:r>
      <w:r>
        <w:rPr>
          <w:spacing w:val="-4"/>
        </w:rPr>
        <w:t>les</w:t>
      </w:r>
      <w:r>
        <w:rPr>
          <w:spacing w:val="-6"/>
        </w:rPr>
        <w:t> </w:t>
      </w:r>
      <w:r>
        <w:rPr>
          <w:spacing w:val="-4"/>
        </w:rPr>
        <w:t>objectifs,</w:t>
      </w:r>
      <w:r>
        <w:rPr>
          <w:spacing w:val="-5"/>
        </w:rPr>
        <w:t> </w:t>
      </w:r>
      <w:r>
        <w:rPr>
          <w:spacing w:val="-4"/>
        </w:rPr>
        <w:t>les</w:t>
      </w:r>
      <w:r>
        <w:rPr>
          <w:spacing w:val="-6"/>
        </w:rPr>
        <w:t> </w:t>
      </w:r>
      <w:r>
        <w:rPr>
          <w:spacing w:val="-4"/>
        </w:rPr>
        <w:t>hypothèses, les attentes,</w:t>
      </w:r>
      <w:r>
        <w:rPr>
          <w:spacing w:val="-5"/>
        </w:rPr>
        <w:t> </w:t>
      </w:r>
      <w:r>
        <w:rPr>
          <w:spacing w:val="-4"/>
        </w:rPr>
        <w:t>les</w:t>
      </w:r>
      <w:r>
        <w:rPr>
          <w:spacing w:val="-6"/>
        </w:rPr>
        <w:t> </w:t>
      </w:r>
      <w:r>
        <w:rPr>
          <w:spacing w:val="-4"/>
        </w:rPr>
        <w:t>perspectives</w:t>
      </w:r>
      <w:r>
        <w:rPr>
          <w:spacing w:val="-6"/>
        </w:rPr>
        <w:t> </w:t>
      </w:r>
      <w:r>
        <w:rPr>
          <w:spacing w:val="-4"/>
        </w:rPr>
        <w:t>et prévisions du Groupe</w:t>
      </w:r>
      <w:r>
        <w:rPr>
          <w:spacing w:val="-5"/>
        </w:rPr>
        <w:t> </w:t>
      </w:r>
      <w:r>
        <w:rPr>
          <w:spacing w:val="-4"/>
        </w:rPr>
        <w:t>Casino, et</w:t>
      </w:r>
      <w:r>
        <w:rPr>
          <w:spacing w:val="-12"/>
        </w:rPr>
        <w:t> </w:t>
      </w:r>
      <w:r>
        <w:rPr>
          <w:spacing w:val="-4"/>
        </w:rPr>
        <w:t>des</w:t>
      </w:r>
      <w:r>
        <w:rPr>
          <w:spacing w:val="-12"/>
        </w:rPr>
        <w:t> </w:t>
      </w:r>
      <w:r>
        <w:rPr>
          <w:spacing w:val="-4"/>
        </w:rPr>
        <w:t>déclarations</w:t>
      </w:r>
      <w:r>
        <w:rPr>
          <w:spacing w:val="-11"/>
        </w:rPr>
        <w:t> </w:t>
      </w:r>
      <w:r>
        <w:rPr>
          <w:spacing w:val="-4"/>
        </w:rPr>
        <w:t>concernant</w:t>
      </w:r>
      <w:r>
        <w:rPr>
          <w:spacing w:val="-7"/>
        </w:rPr>
        <w:t> </w:t>
      </w:r>
      <w:r>
        <w:rPr>
          <w:spacing w:val="-4"/>
        </w:rPr>
        <w:t>d’autres</w:t>
      </w:r>
      <w:r>
        <w:rPr>
          <w:spacing w:val="-12"/>
        </w:rPr>
        <w:t> </w:t>
      </w:r>
      <w:r>
        <w:rPr>
          <w:spacing w:val="-4"/>
        </w:rPr>
        <w:t>événements</w:t>
      </w:r>
      <w:r>
        <w:rPr>
          <w:spacing w:val="-12"/>
        </w:rPr>
        <w:t> </w:t>
      </w:r>
      <w:r>
        <w:rPr>
          <w:spacing w:val="-4"/>
        </w:rPr>
        <w:t>ou</w:t>
      </w:r>
      <w:r>
        <w:rPr>
          <w:spacing w:val="-12"/>
        </w:rPr>
        <w:t> </w:t>
      </w:r>
      <w:r>
        <w:rPr>
          <w:spacing w:val="-4"/>
        </w:rPr>
        <w:t>perspectives</w:t>
      </w:r>
      <w:r>
        <w:rPr>
          <w:spacing w:val="-12"/>
        </w:rPr>
        <w:t> </w:t>
      </w:r>
      <w:r>
        <w:rPr>
          <w:spacing w:val="-4"/>
        </w:rPr>
        <w:t>futurs.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par</w:t>
      </w:r>
      <w:r>
        <w:rPr>
          <w:spacing w:val="-12"/>
        </w:rPr>
        <w:t> </w:t>
      </w:r>
      <w:r>
        <w:rPr>
          <w:spacing w:val="-4"/>
        </w:rPr>
        <w:t>leur</w:t>
      </w:r>
      <w:r>
        <w:rPr>
          <w:spacing w:val="-10"/>
        </w:rPr>
        <w:t> </w:t>
      </w:r>
      <w:r>
        <w:rPr>
          <w:spacing w:val="-4"/>
        </w:rPr>
        <w:t>nature,</w:t>
      </w:r>
      <w:r>
        <w:rPr>
          <w:spacing w:val="-12"/>
        </w:rPr>
        <w:t> </w:t>
      </w:r>
      <w:r>
        <w:rPr>
          <w:spacing w:val="-4"/>
        </w:rPr>
        <w:t>les</w:t>
      </w:r>
      <w:r>
        <w:rPr>
          <w:spacing w:val="-12"/>
        </w:rPr>
        <w:t> </w:t>
      </w:r>
      <w:r>
        <w:rPr>
          <w:spacing w:val="-4"/>
        </w:rPr>
        <w:t>déclarations </w:t>
      </w:r>
      <w:r>
        <w:rPr>
          <w:spacing w:val="-2"/>
        </w:rPr>
        <w:t>prospectives</w:t>
      </w:r>
      <w:r>
        <w:rPr>
          <w:spacing w:val="-12"/>
        </w:rPr>
        <w:t> </w:t>
      </w:r>
      <w:r>
        <w:rPr>
          <w:spacing w:val="-2"/>
        </w:rPr>
        <w:t>impliquent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14"/>
        </w:rPr>
        <w:t> </w:t>
      </w:r>
      <w:r>
        <w:rPr>
          <w:spacing w:val="-2"/>
        </w:rPr>
        <w:t>risques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incertitudes</w:t>
      </w:r>
      <w:r>
        <w:rPr>
          <w:spacing w:val="-12"/>
        </w:rPr>
        <w:t> </w:t>
      </w:r>
      <w:r>
        <w:rPr>
          <w:spacing w:val="-2"/>
        </w:rPr>
        <w:t>car</w:t>
      </w:r>
      <w:r>
        <w:rPr>
          <w:spacing w:val="-11"/>
        </w:rPr>
        <w:t> </w:t>
      </w:r>
      <w:r>
        <w:rPr>
          <w:spacing w:val="-2"/>
        </w:rPr>
        <w:t>elles</w:t>
      </w:r>
      <w:r>
        <w:rPr>
          <w:spacing w:val="-12"/>
        </w:rPr>
        <w:t> </w:t>
      </w:r>
      <w:r>
        <w:rPr>
          <w:spacing w:val="-2"/>
        </w:rPr>
        <w:t>concernent</w:t>
      </w:r>
      <w:r>
        <w:rPr>
          <w:spacing w:val="-8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événements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dépendent</w:t>
      </w:r>
      <w:r>
        <w:rPr>
          <w:spacing w:val="-8"/>
        </w:rPr>
        <w:t> </w:t>
      </w:r>
      <w:r>
        <w:rPr>
          <w:spacing w:val="-2"/>
        </w:rPr>
        <w:t>de </w:t>
      </w:r>
      <w:r>
        <w:rPr/>
        <w:t>circonstances</w:t>
      </w:r>
      <w:r>
        <w:rPr>
          <w:spacing w:val="-16"/>
        </w:rPr>
        <w:t> </w:t>
      </w:r>
      <w:r>
        <w:rPr/>
        <w:t>susceptibles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survenir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non</w:t>
      </w:r>
      <w:r>
        <w:rPr>
          <w:spacing w:val="-15"/>
        </w:rPr>
        <w:t> </w:t>
      </w:r>
      <w:r>
        <w:rPr/>
        <w:t>à</w:t>
      </w:r>
      <w:r>
        <w:rPr>
          <w:spacing w:val="-16"/>
        </w:rPr>
        <w:t> </w:t>
      </w:r>
      <w:r>
        <w:rPr/>
        <w:t>l'avenir.</w:t>
      </w:r>
      <w:r>
        <w:rPr>
          <w:spacing w:val="-16"/>
        </w:rPr>
        <w:t> </w:t>
      </w:r>
      <w:r>
        <w:rPr/>
        <w:t>Les</w:t>
      </w:r>
      <w:r>
        <w:rPr>
          <w:spacing w:val="-16"/>
        </w:rPr>
        <w:t> </w:t>
      </w:r>
      <w:r>
        <w:rPr/>
        <w:t>déclarations</w:t>
      </w:r>
      <w:r>
        <w:rPr>
          <w:spacing w:val="-16"/>
        </w:rPr>
        <w:t> </w:t>
      </w:r>
      <w:r>
        <w:rPr/>
        <w:t>prospectives</w:t>
      </w:r>
      <w:r>
        <w:rPr>
          <w:spacing w:val="-16"/>
        </w:rPr>
        <w:t> </w:t>
      </w:r>
      <w:r>
        <w:rPr/>
        <w:t>reflètent</w:t>
      </w:r>
      <w:r>
        <w:rPr>
          <w:spacing w:val="-15"/>
        </w:rPr>
        <w:t> </w:t>
      </w:r>
      <w:r>
        <w:rPr/>
        <w:t>les</w:t>
      </w:r>
      <w:r>
        <w:rPr>
          <w:spacing w:val="-16"/>
        </w:rPr>
        <w:t> </w:t>
      </w:r>
      <w:r>
        <w:rPr/>
        <w:t>attentes, intentions ou prévisions actuelles du Groupe Casino concernant des événements futurs, fondées sur les </w:t>
      </w:r>
      <w:r>
        <w:rPr>
          <w:spacing w:val="-2"/>
        </w:rPr>
        <w:t>informations</w:t>
      </w:r>
      <w:r>
        <w:rPr>
          <w:spacing w:val="-8"/>
        </w:rPr>
        <w:t> </w:t>
      </w:r>
      <w:r>
        <w:rPr>
          <w:spacing w:val="-2"/>
        </w:rPr>
        <w:t>actuellement</w:t>
      </w:r>
      <w:r>
        <w:rPr>
          <w:spacing w:val="-7"/>
        </w:rPr>
        <w:t> </w:t>
      </w:r>
      <w:r>
        <w:rPr>
          <w:spacing w:val="-2"/>
        </w:rPr>
        <w:t>disponibles</w:t>
      </w:r>
      <w:r>
        <w:rPr>
          <w:spacing w:val="-8"/>
        </w:rPr>
        <w:t> </w:t>
      </w:r>
      <w:r>
        <w:rPr>
          <w:spacing w:val="-2"/>
        </w:rPr>
        <w:t>et</w:t>
      </w:r>
      <w:r>
        <w:rPr>
          <w:spacing w:val="-8"/>
        </w:rPr>
        <w:t> </w:t>
      </w:r>
      <w:r>
        <w:rPr>
          <w:spacing w:val="-2"/>
        </w:rPr>
        <w:t>les</w:t>
      </w:r>
      <w:r>
        <w:rPr>
          <w:spacing w:val="-10"/>
        </w:rPr>
        <w:t> </w:t>
      </w:r>
      <w:r>
        <w:rPr>
          <w:spacing w:val="-2"/>
        </w:rPr>
        <w:t>hypothèses</w:t>
      </w:r>
      <w:r>
        <w:rPr>
          <w:spacing w:val="-12"/>
        </w:rPr>
        <w:t> </w:t>
      </w:r>
      <w:r>
        <w:rPr>
          <w:spacing w:val="-2"/>
        </w:rPr>
        <w:t>formulées</w:t>
      </w:r>
      <w:r>
        <w:rPr>
          <w:spacing w:val="-8"/>
        </w:rPr>
        <w:t> </w:t>
      </w:r>
      <w:r>
        <w:rPr>
          <w:spacing w:val="-2"/>
        </w:rPr>
        <w:t>par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8"/>
        </w:rPr>
        <w:t> </w:t>
      </w:r>
      <w:r>
        <w:rPr>
          <w:spacing w:val="-2"/>
        </w:rPr>
        <w:t>Groupe</w:t>
      </w:r>
      <w:r>
        <w:rPr>
          <w:spacing w:val="-7"/>
        </w:rPr>
        <w:t> </w:t>
      </w:r>
      <w:r>
        <w:rPr>
          <w:spacing w:val="-2"/>
        </w:rPr>
        <w:t>Casino.</w:t>
      </w:r>
    </w:p>
    <w:p>
      <w:pPr>
        <w:pStyle w:val="BodyText"/>
        <w:spacing w:line="278" w:lineRule="auto" w:before="201"/>
        <w:ind w:left="592" w:right="355"/>
        <w:jc w:val="both"/>
      </w:pPr>
      <w:r>
        <w:rPr/>
        <w:t>Les déclarations prospectives et les informations contenues dans cette annonce sont faites à la date des </w:t>
      </w:r>
      <w:r>
        <w:rPr>
          <w:spacing w:val="-2"/>
        </w:rPr>
        <w:t>présentes</w:t>
      </w:r>
      <w:r>
        <w:rPr>
          <w:spacing w:val="-11"/>
        </w:rPr>
        <w:t> </w:t>
      </w:r>
      <w:r>
        <w:rPr>
          <w:spacing w:val="-2"/>
        </w:rPr>
        <w:t>et</w:t>
      </w:r>
      <w:r>
        <w:rPr>
          <w:spacing w:val="-9"/>
        </w:rPr>
        <w:t> </w:t>
      </w: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Groupe</w:t>
      </w:r>
      <w:r>
        <w:rPr>
          <w:spacing w:val="-10"/>
        </w:rPr>
        <w:t> </w:t>
      </w:r>
      <w:r>
        <w:rPr>
          <w:spacing w:val="-2"/>
        </w:rPr>
        <w:t>Casino</w:t>
      </w:r>
      <w:r>
        <w:rPr>
          <w:spacing w:val="-11"/>
        </w:rPr>
        <w:t> </w:t>
      </w:r>
      <w:r>
        <w:rPr>
          <w:spacing w:val="-2"/>
        </w:rPr>
        <w:t>n’assume</w:t>
      </w:r>
      <w:r>
        <w:rPr>
          <w:spacing w:val="-10"/>
        </w:rPr>
        <w:t> </w:t>
      </w:r>
      <w:r>
        <w:rPr>
          <w:spacing w:val="-2"/>
        </w:rPr>
        <w:t>aucune</w:t>
      </w:r>
      <w:r>
        <w:rPr>
          <w:spacing w:val="-11"/>
        </w:rPr>
        <w:t> </w:t>
      </w:r>
      <w:r>
        <w:rPr>
          <w:spacing w:val="-2"/>
        </w:rPr>
        <w:t>obligation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mettre</w:t>
      </w:r>
      <w:r>
        <w:rPr>
          <w:spacing w:val="-11"/>
        </w:rPr>
        <w:t> </w:t>
      </w:r>
      <w:r>
        <w:rPr>
          <w:spacing w:val="-2"/>
        </w:rPr>
        <w:t>à</w:t>
      </w:r>
      <w:r>
        <w:rPr>
          <w:spacing w:val="-11"/>
        </w:rPr>
        <w:t> </w:t>
      </w:r>
      <w:r>
        <w:rPr>
          <w:spacing w:val="-2"/>
        </w:rPr>
        <w:t>jour</w:t>
      </w:r>
      <w:r>
        <w:rPr>
          <w:spacing w:val="-10"/>
        </w:rPr>
        <w:t> </w:t>
      </w:r>
      <w:r>
        <w:rPr>
          <w:spacing w:val="-2"/>
        </w:rPr>
        <w:t>publiquement</w:t>
      </w:r>
      <w:r>
        <w:rPr>
          <w:spacing w:val="-7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réviser</w:t>
      </w:r>
      <w:r>
        <w:rPr>
          <w:spacing w:val="-12"/>
        </w:rPr>
        <w:t> </w:t>
      </w:r>
      <w:r>
        <w:rPr>
          <w:spacing w:val="-2"/>
        </w:rPr>
        <w:t>toute </w:t>
      </w:r>
      <w:r>
        <w:rPr>
          <w:spacing w:val="-4"/>
        </w:rPr>
        <w:t>déclaration</w:t>
      </w:r>
      <w:r>
        <w:rPr>
          <w:spacing w:val="-12"/>
        </w:rPr>
        <w:t> </w:t>
      </w:r>
      <w:r>
        <w:rPr>
          <w:spacing w:val="-4"/>
        </w:rPr>
        <w:t>ou</w:t>
      </w:r>
      <w:r>
        <w:rPr>
          <w:spacing w:val="-12"/>
        </w:rPr>
        <w:t> </w:t>
      </w:r>
      <w:r>
        <w:rPr>
          <w:spacing w:val="-4"/>
        </w:rPr>
        <w:t>information</w:t>
      </w:r>
      <w:r>
        <w:rPr>
          <w:spacing w:val="-12"/>
        </w:rPr>
        <w:t> </w:t>
      </w:r>
      <w:r>
        <w:rPr>
          <w:spacing w:val="-4"/>
        </w:rPr>
        <w:t>prospective,</w:t>
      </w:r>
      <w:r>
        <w:rPr>
          <w:spacing w:val="-12"/>
        </w:rPr>
        <w:t> </w:t>
      </w:r>
      <w:r>
        <w:rPr>
          <w:spacing w:val="-4"/>
        </w:rPr>
        <w:t>que</w:t>
      </w:r>
      <w:r>
        <w:rPr>
          <w:spacing w:val="-12"/>
        </w:rPr>
        <w:t> </w:t>
      </w:r>
      <w:r>
        <w:rPr>
          <w:spacing w:val="-4"/>
        </w:rPr>
        <w:t>ce</w:t>
      </w:r>
      <w:r>
        <w:rPr>
          <w:spacing w:val="-11"/>
        </w:rPr>
        <w:t> </w:t>
      </w:r>
      <w:r>
        <w:rPr>
          <w:spacing w:val="-4"/>
        </w:rPr>
        <w:t>soit</w:t>
      </w:r>
      <w:r>
        <w:rPr>
          <w:spacing w:val="-12"/>
        </w:rPr>
        <w:t> </w:t>
      </w:r>
      <w:r>
        <w:rPr>
          <w:spacing w:val="-4"/>
        </w:rPr>
        <w:t>à</w:t>
      </w:r>
      <w:r>
        <w:rPr>
          <w:spacing w:val="-11"/>
        </w:rPr>
        <w:t> </w:t>
      </w:r>
      <w:r>
        <w:rPr>
          <w:spacing w:val="-4"/>
        </w:rPr>
        <w:t>la</w:t>
      </w:r>
      <w:r>
        <w:rPr>
          <w:spacing w:val="-12"/>
        </w:rPr>
        <w:t> </w:t>
      </w:r>
      <w:r>
        <w:rPr>
          <w:spacing w:val="-4"/>
        </w:rPr>
        <w:t>suite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nouvelles</w:t>
      </w:r>
      <w:r>
        <w:rPr>
          <w:spacing w:val="-11"/>
        </w:rPr>
        <w:t> </w:t>
      </w:r>
      <w:r>
        <w:rPr>
          <w:spacing w:val="-4"/>
        </w:rPr>
        <w:t>informations,</w:t>
      </w:r>
      <w:r>
        <w:rPr>
          <w:spacing w:val="-9"/>
        </w:rPr>
        <w:t> </w:t>
      </w:r>
      <w:r>
        <w:rPr>
          <w:spacing w:val="-4"/>
        </w:rPr>
        <w:t>d'événements</w:t>
      </w:r>
      <w:r>
        <w:rPr>
          <w:spacing w:val="-12"/>
        </w:rPr>
        <w:t> </w:t>
      </w:r>
      <w:r>
        <w:rPr>
          <w:spacing w:val="-4"/>
        </w:rPr>
        <w:t>futurs</w:t>
      </w:r>
      <w:r>
        <w:rPr>
          <w:spacing w:val="-11"/>
        </w:rPr>
        <w:t> </w:t>
      </w:r>
      <w:r>
        <w:rPr>
          <w:spacing w:val="-4"/>
        </w:rPr>
        <w:t>ou </w:t>
      </w:r>
      <w:r>
        <w:rPr>
          <w:spacing w:val="-6"/>
        </w:rPr>
        <w:t>de</w:t>
      </w:r>
      <w:r>
        <w:rPr>
          <w:spacing w:val="-10"/>
        </w:rPr>
        <w:t> </w:t>
      </w:r>
      <w:r>
        <w:rPr>
          <w:spacing w:val="-6"/>
        </w:rPr>
        <w:t>toute</w:t>
      </w:r>
      <w:r>
        <w:rPr>
          <w:spacing w:val="-10"/>
        </w:rPr>
        <w:t> </w:t>
      </w:r>
      <w:r>
        <w:rPr>
          <w:spacing w:val="-6"/>
        </w:rPr>
        <w:t>autre</w:t>
      </w:r>
      <w:r>
        <w:rPr>
          <w:spacing w:val="-10"/>
        </w:rPr>
        <w:t> </w:t>
      </w:r>
      <w:r>
        <w:rPr>
          <w:spacing w:val="-6"/>
        </w:rPr>
        <w:t>manière,</w:t>
      </w:r>
      <w:r>
        <w:rPr>
          <w:spacing w:val="-10"/>
        </w:rPr>
        <w:t> </w:t>
      </w:r>
      <w:r>
        <w:rPr>
          <w:spacing w:val="-6"/>
        </w:rPr>
        <w:t>sauf</w:t>
      </w:r>
      <w:r>
        <w:rPr>
          <w:spacing w:val="-10"/>
        </w:rPr>
        <w:t> </w:t>
      </w:r>
      <w:r>
        <w:rPr>
          <w:spacing w:val="-6"/>
        </w:rPr>
        <w:t>si</w:t>
      </w:r>
      <w:r>
        <w:rPr>
          <w:spacing w:val="-9"/>
        </w:rPr>
        <w:t> </w:t>
      </w:r>
      <w:r>
        <w:rPr>
          <w:spacing w:val="-6"/>
        </w:rPr>
        <w:t>requis</w:t>
      </w:r>
      <w:r>
        <w:rPr>
          <w:spacing w:val="-10"/>
        </w:rPr>
        <w:t> </w:t>
      </w:r>
      <w:r>
        <w:rPr>
          <w:spacing w:val="-6"/>
        </w:rPr>
        <w:t>par</w:t>
      </w:r>
      <w:r>
        <w:rPr>
          <w:spacing w:val="-10"/>
        </w:rPr>
        <w:t> </w:t>
      </w:r>
      <w:r>
        <w:rPr>
          <w:spacing w:val="-6"/>
        </w:rPr>
        <w:t>la</w:t>
      </w:r>
      <w:r>
        <w:rPr>
          <w:spacing w:val="-10"/>
        </w:rPr>
        <w:t> </w:t>
      </w:r>
      <w:r>
        <w:rPr>
          <w:spacing w:val="-6"/>
        </w:rPr>
        <w:t>loi.</w:t>
      </w:r>
      <w:r>
        <w:rPr>
          <w:spacing w:val="-10"/>
        </w:rPr>
        <w:t> </w:t>
      </w:r>
      <w:r>
        <w:rPr>
          <w:spacing w:val="-6"/>
        </w:rPr>
        <w:t>Toutes</w:t>
      </w:r>
      <w:r>
        <w:rPr>
          <w:spacing w:val="-10"/>
        </w:rPr>
        <w:t> </w:t>
      </w:r>
      <w:r>
        <w:rPr>
          <w:spacing w:val="-6"/>
        </w:rPr>
        <w:t>les</w:t>
      </w:r>
      <w:r>
        <w:rPr>
          <w:spacing w:val="-9"/>
        </w:rPr>
        <w:t> </w:t>
      </w:r>
      <w:r>
        <w:rPr>
          <w:spacing w:val="-6"/>
        </w:rPr>
        <w:t>déclarations</w:t>
      </w:r>
      <w:r>
        <w:rPr>
          <w:spacing w:val="-10"/>
        </w:rPr>
        <w:t> </w:t>
      </w:r>
      <w:r>
        <w:rPr>
          <w:spacing w:val="-6"/>
        </w:rPr>
        <w:t>prospectives</w:t>
      </w:r>
      <w:r>
        <w:rPr>
          <w:spacing w:val="-10"/>
        </w:rPr>
        <w:t> </w:t>
      </w:r>
      <w:r>
        <w:rPr>
          <w:spacing w:val="-6"/>
        </w:rPr>
        <w:t>ultérieures,</w:t>
      </w:r>
      <w:r>
        <w:rPr>
          <w:spacing w:val="-10"/>
        </w:rPr>
        <w:t> </w:t>
      </w:r>
      <w:r>
        <w:rPr>
          <w:spacing w:val="-6"/>
        </w:rPr>
        <w:t>écrites</w:t>
      </w:r>
      <w:r>
        <w:rPr>
          <w:spacing w:val="-10"/>
        </w:rPr>
        <w:t> </w:t>
      </w:r>
      <w:r>
        <w:rPr>
          <w:spacing w:val="-6"/>
        </w:rPr>
        <w:t>ou</w:t>
      </w:r>
      <w:r>
        <w:rPr>
          <w:spacing w:val="-9"/>
        </w:rPr>
        <w:t> </w:t>
      </w:r>
      <w:r>
        <w:rPr>
          <w:spacing w:val="-6"/>
        </w:rPr>
        <w:t>orales, </w:t>
      </w:r>
      <w:r>
        <w:rPr>
          <w:spacing w:val="-4"/>
        </w:rPr>
        <w:t>attribuables</w:t>
      </w:r>
      <w:r>
        <w:rPr>
          <w:spacing w:val="-12"/>
        </w:rPr>
        <w:t> </w:t>
      </w:r>
      <w:r>
        <w:rPr>
          <w:spacing w:val="-4"/>
        </w:rPr>
        <w:t>au</w:t>
      </w:r>
      <w:r>
        <w:rPr>
          <w:spacing w:val="-12"/>
        </w:rPr>
        <w:t> </w:t>
      </w:r>
      <w:r>
        <w:rPr>
          <w:spacing w:val="-4"/>
        </w:rPr>
        <w:t>Groupe</w:t>
      </w:r>
      <w:r>
        <w:rPr>
          <w:spacing w:val="-12"/>
        </w:rPr>
        <w:t> </w:t>
      </w:r>
      <w:r>
        <w:rPr>
          <w:spacing w:val="-4"/>
        </w:rPr>
        <w:t>Casino</w:t>
      </w:r>
      <w:r>
        <w:rPr>
          <w:spacing w:val="-12"/>
        </w:rPr>
        <w:t> </w:t>
      </w:r>
      <w:r>
        <w:rPr>
          <w:spacing w:val="-4"/>
        </w:rPr>
        <w:t>ou</w:t>
      </w:r>
      <w:r>
        <w:rPr>
          <w:spacing w:val="-11"/>
        </w:rPr>
        <w:t> </w:t>
      </w:r>
      <w:r>
        <w:rPr>
          <w:spacing w:val="-4"/>
        </w:rPr>
        <w:t>à</w:t>
      </w:r>
      <w:r>
        <w:rPr>
          <w:spacing w:val="-12"/>
        </w:rPr>
        <w:t> </w:t>
      </w:r>
      <w:r>
        <w:rPr>
          <w:spacing w:val="-4"/>
        </w:rPr>
        <w:t>des</w:t>
      </w:r>
      <w:r>
        <w:rPr>
          <w:spacing w:val="-12"/>
        </w:rPr>
        <w:t> </w:t>
      </w:r>
      <w:r>
        <w:rPr>
          <w:spacing w:val="-4"/>
        </w:rPr>
        <w:t>personnes</w:t>
      </w:r>
      <w:r>
        <w:rPr>
          <w:spacing w:val="-12"/>
        </w:rPr>
        <w:t> </w:t>
      </w:r>
      <w:r>
        <w:rPr>
          <w:spacing w:val="-4"/>
        </w:rPr>
        <w:t>agissant</w:t>
      </w:r>
      <w:r>
        <w:rPr>
          <w:spacing w:val="-8"/>
        </w:rPr>
        <w:t> </w:t>
      </w:r>
      <w:r>
        <w:rPr>
          <w:spacing w:val="-4"/>
        </w:rPr>
        <w:t>au</w:t>
      </w:r>
      <w:r>
        <w:rPr>
          <w:spacing w:val="-11"/>
        </w:rPr>
        <w:t> </w:t>
      </w:r>
      <w:r>
        <w:rPr>
          <w:spacing w:val="-4"/>
        </w:rPr>
        <w:t>nom</w:t>
      </w:r>
      <w:r>
        <w:rPr>
          <w:spacing w:val="-8"/>
        </w:rPr>
        <w:t> </w:t>
      </w:r>
      <w:r>
        <w:rPr>
          <w:spacing w:val="-4"/>
        </w:rPr>
        <w:t>du</w:t>
      </w:r>
      <w:r>
        <w:rPr>
          <w:spacing w:val="-11"/>
        </w:rPr>
        <w:t> </w:t>
      </w:r>
      <w:r>
        <w:rPr>
          <w:spacing w:val="-4"/>
        </w:rPr>
        <w:t>Groupe</w:t>
      </w:r>
      <w:r>
        <w:rPr>
          <w:spacing w:val="-12"/>
        </w:rPr>
        <w:t> </w:t>
      </w:r>
      <w:r>
        <w:rPr>
          <w:spacing w:val="-4"/>
        </w:rPr>
        <w:t>Casino,</w:t>
      </w:r>
      <w:r>
        <w:rPr>
          <w:spacing w:val="-8"/>
        </w:rPr>
        <w:t> </w:t>
      </w:r>
      <w:r>
        <w:rPr>
          <w:spacing w:val="-4"/>
        </w:rPr>
        <w:t>y</w:t>
      </w:r>
      <w:r>
        <w:rPr>
          <w:spacing w:val="-12"/>
        </w:rPr>
        <w:t> </w:t>
      </w:r>
      <w:r>
        <w:rPr>
          <w:spacing w:val="-4"/>
        </w:rPr>
        <w:t>compris,</w:t>
      </w:r>
      <w:r>
        <w:rPr>
          <w:spacing w:val="-10"/>
        </w:rPr>
        <w:t> </w:t>
      </w:r>
      <w:r>
        <w:rPr>
          <w:spacing w:val="-4"/>
        </w:rPr>
        <w:t>mais</w:t>
      </w:r>
      <w:r>
        <w:rPr>
          <w:spacing w:val="-12"/>
        </w:rPr>
        <w:t> </w:t>
      </w:r>
      <w:r>
        <w:rPr>
          <w:spacing w:val="-4"/>
        </w:rPr>
        <w:t>sans</w:t>
      </w:r>
      <w:r>
        <w:rPr>
          <w:spacing w:val="-12"/>
        </w:rPr>
        <w:t> </w:t>
      </w:r>
      <w:r>
        <w:rPr>
          <w:spacing w:val="-4"/>
        </w:rPr>
        <w:t>s'y </w:t>
      </w:r>
      <w:r>
        <w:rPr/>
        <w:t>limiter, les communiqués de presse (y compris sur le site web du Groupe Casino), les rapports et autres communications,</w:t>
      </w:r>
      <w:r>
        <w:rPr>
          <w:spacing w:val="-2"/>
        </w:rPr>
        <w:t> </w:t>
      </w:r>
      <w:r>
        <w:rPr/>
        <w:t>sont</w:t>
      </w:r>
      <w:r>
        <w:rPr>
          <w:spacing w:val="-3"/>
        </w:rPr>
        <w:t> </w:t>
      </w:r>
      <w:r>
        <w:rPr/>
        <w:t>expressément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intégralement</w:t>
      </w:r>
      <w:r>
        <w:rPr>
          <w:spacing w:val="-5"/>
        </w:rPr>
        <w:t> </w:t>
      </w:r>
      <w:r>
        <w:rPr/>
        <w:t>couvertes</w:t>
      </w:r>
      <w:r>
        <w:rPr>
          <w:spacing w:val="-5"/>
        </w:rPr>
        <w:t> </w:t>
      </w:r>
      <w:r>
        <w:rPr/>
        <w:t>par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mises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garde</w:t>
      </w:r>
      <w:r>
        <w:rPr>
          <w:spacing w:val="-4"/>
        </w:rPr>
        <w:t> </w:t>
      </w:r>
      <w:r>
        <w:rPr/>
        <w:t>contenues</w:t>
      </w:r>
      <w:r>
        <w:rPr>
          <w:spacing w:val="-5"/>
        </w:rPr>
        <w:t> </w:t>
      </w:r>
      <w:r>
        <w:rPr/>
        <w:t>dans</w:t>
      </w:r>
      <w:r>
        <w:rPr>
          <w:spacing w:val="-6"/>
        </w:rPr>
        <w:t> </w:t>
      </w:r>
      <w:r>
        <w:rPr/>
        <w:t>le présent communiqué de presse.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spacing w:before="0"/>
        <w:ind w:left="248" w:right="1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pacing w:val="-5"/>
          <w:sz w:val="24"/>
        </w:rPr>
        <w:t>***</w:t>
      </w:r>
    </w:p>
    <w:p>
      <w:pPr>
        <w:pStyle w:val="BodyText"/>
        <w:rPr>
          <w:rFonts w:ascii="Arial"/>
          <w:b/>
          <w:i w:val="0"/>
          <w:sz w:val="24"/>
        </w:rPr>
      </w:pPr>
    </w:p>
    <w:p>
      <w:pPr>
        <w:pStyle w:val="BodyText"/>
        <w:rPr>
          <w:rFonts w:ascii="Arial"/>
          <w:b/>
          <w:i w:val="0"/>
          <w:sz w:val="24"/>
        </w:rPr>
      </w:pPr>
    </w:p>
    <w:p>
      <w:pPr>
        <w:pStyle w:val="BodyText"/>
        <w:spacing w:before="166"/>
        <w:rPr>
          <w:rFonts w:ascii="Arial"/>
          <w:b/>
          <w:i w:val="0"/>
          <w:sz w:val="24"/>
        </w:rPr>
      </w:pPr>
    </w:p>
    <w:p>
      <w:pPr>
        <w:pStyle w:val="Heading1"/>
        <w:ind w:right="16"/>
      </w:pPr>
      <w:r>
        <w:rPr>
          <w:color w:val="6460A9"/>
        </w:rPr>
        <w:t>CONTACTS</w:t>
      </w:r>
      <w:r>
        <w:rPr>
          <w:color w:val="6460A9"/>
          <w:spacing w:val="1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INVESTISSEURS</w:t>
      </w:r>
    </w:p>
    <w:p>
      <w:pPr>
        <w:spacing w:before="46"/>
        <w:ind w:left="3189" w:right="2952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z w:val="20"/>
        </w:rPr>
        <w:t> </w:t>
      </w:r>
      <w:r>
        <w:rPr>
          <w:w w:val="85"/>
          <w:sz w:val="20"/>
        </w:rPr>
        <w:t>– Tél : +33 (0)1 53 65 64 17 </w:t>
      </w:r>
      <w:hyperlink r:id="rId7">
        <w:r>
          <w:rPr>
            <w:spacing w:val="-2"/>
            <w:w w:val="95"/>
            <w:sz w:val="20"/>
            <w:u w:val="single"/>
          </w:rPr>
          <w:t>cwelton.exterieur@groupe-casino.fr</w:t>
        </w:r>
      </w:hyperlink>
    </w:p>
    <w:p>
      <w:pPr>
        <w:pStyle w:val="Heading2"/>
        <w:spacing w:before="4"/>
      </w:pPr>
      <w:r>
        <w:rPr>
          <w:spacing w:val="-5"/>
        </w:rPr>
        <w:t>ou</w:t>
      </w:r>
    </w:p>
    <w:p>
      <w:pPr>
        <w:spacing w:before="41"/>
        <w:ind w:left="248" w:right="12" w:firstLine="0"/>
        <w:jc w:val="center"/>
        <w:rPr>
          <w:sz w:val="20"/>
        </w:rPr>
      </w:pPr>
      <w:r>
        <w:rPr>
          <w:w w:val="80"/>
          <w:sz w:val="20"/>
        </w:rPr>
        <w:t>+33</w:t>
      </w:r>
      <w:r>
        <w:rPr>
          <w:spacing w:val="-4"/>
          <w:sz w:val="20"/>
        </w:rPr>
        <w:t> </w:t>
      </w:r>
      <w:r>
        <w:rPr>
          <w:w w:val="80"/>
          <w:sz w:val="20"/>
        </w:rPr>
        <w:t>(0)1</w:t>
      </w:r>
      <w:r>
        <w:rPr>
          <w:spacing w:val="-4"/>
          <w:sz w:val="20"/>
        </w:rPr>
        <w:t> </w:t>
      </w:r>
      <w:r>
        <w:rPr>
          <w:w w:val="80"/>
          <w:sz w:val="20"/>
        </w:rPr>
        <w:t>53</w:t>
      </w:r>
      <w:r>
        <w:rPr>
          <w:spacing w:val="-1"/>
          <w:sz w:val="20"/>
        </w:rPr>
        <w:t> </w:t>
      </w:r>
      <w:r>
        <w:rPr>
          <w:w w:val="80"/>
          <w:sz w:val="20"/>
        </w:rPr>
        <w:t>65</w:t>
      </w:r>
      <w:r>
        <w:rPr>
          <w:spacing w:val="-4"/>
          <w:sz w:val="20"/>
        </w:rPr>
        <w:t> </w:t>
      </w:r>
      <w:r>
        <w:rPr>
          <w:w w:val="80"/>
          <w:sz w:val="20"/>
        </w:rPr>
        <w:t>24</w:t>
      </w:r>
      <w:r>
        <w:rPr>
          <w:spacing w:val="-4"/>
          <w:sz w:val="20"/>
        </w:rPr>
        <w:t> </w:t>
      </w:r>
      <w:r>
        <w:rPr>
          <w:spacing w:val="-5"/>
          <w:w w:val="80"/>
          <w:sz w:val="20"/>
        </w:rPr>
        <w:t>17</w:t>
      </w:r>
    </w:p>
    <w:p>
      <w:pPr>
        <w:spacing w:before="38"/>
        <w:ind w:left="248" w:right="14" w:firstLine="0"/>
        <w:jc w:val="center"/>
        <w:rPr>
          <w:sz w:val="20"/>
        </w:rPr>
      </w:pPr>
      <w:hyperlink r:id="rId8">
        <w:r>
          <w:rPr>
            <w:w w:val="90"/>
            <w:sz w:val="20"/>
            <w:u w:val="single"/>
          </w:rPr>
          <w:t>IR_Casino@groupe-</w:t>
        </w:r>
        <w:r>
          <w:rPr>
            <w:spacing w:val="-2"/>
            <w:sz w:val="20"/>
            <w:u w:val="single"/>
          </w:rPr>
          <w:t>casino.fr</w:t>
        </w:r>
      </w:hyperlink>
    </w:p>
    <w:p>
      <w:pPr>
        <w:pStyle w:val="BodyText"/>
        <w:rPr>
          <w:i w:val="0"/>
          <w:sz w:val="24"/>
        </w:rPr>
      </w:pPr>
    </w:p>
    <w:p>
      <w:pPr>
        <w:pStyle w:val="BodyText"/>
        <w:spacing w:before="1"/>
        <w:rPr>
          <w:i w:val="0"/>
          <w:sz w:val="24"/>
        </w:rPr>
      </w:pPr>
    </w:p>
    <w:p>
      <w:pPr>
        <w:pStyle w:val="Heading1"/>
      </w:pPr>
      <w:r>
        <w:rPr>
          <w:color w:val="6460A9"/>
          <w:spacing w:val="-11"/>
        </w:rPr>
        <w:t>CONTACTS</w:t>
      </w:r>
      <w:r>
        <w:rPr>
          <w:color w:val="6460A9"/>
          <w:spacing w:val="-6"/>
        </w:rPr>
        <w:t> </w:t>
      </w:r>
      <w:r>
        <w:rPr>
          <w:color w:val="6460A9"/>
          <w:spacing w:val="-2"/>
        </w:rPr>
        <w:t>PRESSE</w:t>
      </w:r>
    </w:p>
    <w:p>
      <w:pPr>
        <w:pStyle w:val="Heading2"/>
        <w:spacing w:before="9"/>
        <w:ind w:right="15"/>
      </w:pPr>
      <w:r>
        <w:rPr>
          <w:spacing w:val="-2"/>
        </w:rPr>
        <w:t>Groupe</w:t>
      </w:r>
      <w:r>
        <w:rPr>
          <w:spacing w:val="-9"/>
        </w:rPr>
        <w:t> </w:t>
      </w:r>
      <w:r>
        <w:rPr>
          <w:spacing w:val="-2"/>
        </w:rPr>
        <w:t>Casino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Direction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Communication</w:t>
      </w:r>
    </w:p>
    <w:p>
      <w:pPr>
        <w:spacing w:before="2"/>
        <w:ind w:left="248" w:right="14" w:firstLine="0"/>
        <w:jc w:val="center"/>
        <w:rPr>
          <w:sz w:val="20"/>
        </w:rPr>
      </w:pPr>
      <w:r>
        <w:rPr>
          <w:rFonts w:ascii="Tahoma" w:hAnsi="Tahoma"/>
          <w:b/>
          <w:w w:val="90"/>
          <w:sz w:val="20"/>
        </w:rPr>
        <w:t>Nicolas</w:t>
      </w:r>
      <w:r>
        <w:rPr>
          <w:rFonts w:ascii="Tahoma" w:hAnsi="Tahoma"/>
          <w:b/>
          <w:spacing w:val="1"/>
          <w:sz w:val="20"/>
        </w:rPr>
        <w:t> </w:t>
      </w:r>
      <w:r>
        <w:rPr>
          <w:rFonts w:ascii="Tahoma" w:hAnsi="Tahoma"/>
          <w:b/>
          <w:w w:val="90"/>
          <w:sz w:val="20"/>
        </w:rPr>
        <w:t>BOUDOT</w:t>
      </w:r>
      <w:r>
        <w:rPr>
          <w:rFonts w:ascii="Tahoma" w:hAnsi="Tahoma"/>
          <w:b/>
          <w:sz w:val="20"/>
        </w:rPr>
        <w:t> </w:t>
      </w:r>
      <w:r>
        <w:rPr>
          <w:w w:val="90"/>
          <w:sz w:val="20"/>
        </w:rPr>
        <w:t>-</w:t>
      </w:r>
      <w:r>
        <w:rPr>
          <w:spacing w:val="48"/>
          <w:sz w:val="20"/>
        </w:rPr>
        <w:t> </w:t>
      </w:r>
      <w:r>
        <w:rPr>
          <w:w w:val="90"/>
          <w:sz w:val="20"/>
        </w:rPr>
        <w:t>Tél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: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+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33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79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61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40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99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hyperlink r:id="rId9">
        <w:r>
          <w:rPr>
            <w:w w:val="90"/>
            <w:sz w:val="20"/>
            <w:u w:val="single"/>
          </w:rPr>
          <w:t>nboudot@groupe-</w:t>
        </w:r>
        <w:r>
          <w:rPr>
            <w:spacing w:val="-2"/>
            <w:w w:val="90"/>
            <w:sz w:val="20"/>
            <w:u w:val="single"/>
          </w:rPr>
          <w:t>casino.fr</w:t>
        </w:r>
      </w:hyperlink>
    </w:p>
    <w:p>
      <w:pPr>
        <w:pStyle w:val="Heading2"/>
        <w:spacing w:before="3"/>
      </w:pPr>
      <w:r>
        <w:rPr>
          <w:spacing w:val="-5"/>
        </w:rPr>
        <w:t>ou</w:t>
      </w:r>
    </w:p>
    <w:p>
      <w:pPr>
        <w:spacing w:before="3"/>
        <w:ind w:left="248" w:right="12" w:firstLine="0"/>
        <w:jc w:val="center"/>
        <w:rPr>
          <w:sz w:val="20"/>
        </w:rPr>
      </w:pPr>
      <w:r>
        <w:rPr>
          <w:w w:val="90"/>
          <w:sz w:val="20"/>
        </w:rPr>
        <w:t>+</w:t>
      </w:r>
      <w:r>
        <w:rPr>
          <w:spacing w:val="18"/>
          <w:sz w:val="20"/>
        </w:rPr>
        <w:t> </w:t>
      </w:r>
      <w:r>
        <w:rPr>
          <w:w w:val="90"/>
          <w:sz w:val="20"/>
        </w:rPr>
        <w:t>33(0)1</w:t>
      </w:r>
      <w:r>
        <w:rPr>
          <w:spacing w:val="12"/>
          <w:sz w:val="20"/>
        </w:rPr>
        <w:t> </w:t>
      </w:r>
      <w:r>
        <w:rPr>
          <w:w w:val="90"/>
          <w:sz w:val="20"/>
        </w:rPr>
        <w:t>53</w:t>
      </w:r>
      <w:r>
        <w:rPr>
          <w:spacing w:val="17"/>
          <w:sz w:val="20"/>
        </w:rPr>
        <w:t> </w:t>
      </w:r>
      <w:r>
        <w:rPr>
          <w:w w:val="90"/>
          <w:sz w:val="20"/>
        </w:rPr>
        <w:t>65</w:t>
      </w:r>
      <w:r>
        <w:rPr>
          <w:spacing w:val="12"/>
          <w:sz w:val="20"/>
        </w:rPr>
        <w:t> </w:t>
      </w:r>
      <w:r>
        <w:rPr>
          <w:w w:val="90"/>
          <w:sz w:val="20"/>
        </w:rPr>
        <w:t>24</w:t>
      </w:r>
      <w:r>
        <w:rPr>
          <w:spacing w:val="12"/>
          <w:sz w:val="20"/>
        </w:rPr>
        <w:t> </w:t>
      </w:r>
      <w:r>
        <w:rPr>
          <w:w w:val="90"/>
          <w:sz w:val="20"/>
        </w:rPr>
        <w:t>78</w:t>
      </w:r>
      <w:r>
        <w:rPr>
          <w:spacing w:val="15"/>
          <w:sz w:val="20"/>
        </w:rPr>
        <w:t> </w:t>
      </w:r>
      <w:r>
        <w:rPr>
          <w:w w:val="90"/>
          <w:sz w:val="20"/>
        </w:rPr>
        <w:t>-</w:t>
      </w:r>
      <w:r>
        <w:rPr>
          <w:spacing w:val="14"/>
          <w:sz w:val="20"/>
        </w:rPr>
        <w:t> </w:t>
      </w:r>
      <w:hyperlink r:id="rId10">
        <w:r>
          <w:rPr>
            <w:w w:val="90"/>
            <w:sz w:val="20"/>
            <w:u w:val="single"/>
          </w:rPr>
          <w:t>directiondelacommunication@groupe-</w:t>
        </w:r>
        <w:r>
          <w:rPr>
            <w:spacing w:val="-2"/>
            <w:w w:val="90"/>
            <w:sz w:val="20"/>
            <w:u w:val="single"/>
          </w:rPr>
          <w:t>casino.fr</w:t>
        </w:r>
      </w:hyperlink>
    </w:p>
    <w:p>
      <w:pPr>
        <w:pStyle w:val="BodyText"/>
        <w:spacing w:before="6"/>
        <w:rPr>
          <w:i w:val="0"/>
          <w:sz w:val="20"/>
        </w:rPr>
      </w:pPr>
    </w:p>
    <w:p>
      <w:pPr>
        <w:pStyle w:val="Heading2"/>
        <w:ind w:right="13"/>
      </w:pPr>
      <w:r>
        <w:rPr/>
        <w:t>Agence IMAGE</w:t>
      </w:r>
      <w:r>
        <w:rPr>
          <w:spacing w:val="2"/>
        </w:rPr>
        <w:t> </w:t>
      </w:r>
      <w:r>
        <w:rPr>
          <w:spacing w:val="-10"/>
        </w:rPr>
        <w:t>7</w:t>
      </w:r>
    </w:p>
    <w:p>
      <w:pPr>
        <w:spacing w:before="2"/>
        <w:ind w:left="248" w:right="11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10"/>
          <w:sz w:val="20"/>
        </w:rPr>
        <w:t> </w:t>
      </w:r>
      <w:r>
        <w:rPr>
          <w:w w:val="85"/>
          <w:sz w:val="20"/>
        </w:rPr>
        <w:t>Tél</w:t>
      </w:r>
      <w:r>
        <w:rPr>
          <w:spacing w:val="-10"/>
          <w:sz w:val="20"/>
        </w:rPr>
        <w:t> </w:t>
      </w:r>
      <w:r>
        <w:rPr>
          <w:w w:val="85"/>
          <w:sz w:val="20"/>
        </w:rPr>
        <w:t>: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+33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(0)6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11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59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23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26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-2"/>
          <w:w w:val="85"/>
          <w:sz w:val="20"/>
        </w:rPr>
        <w:t> </w:t>
      </w:r>
      <w:hyperlink r:id="rId11">
        <w:r>
          <w:rPr>
            <w:spacing w:val="-2"/>
            <w:w w:val="85"/>
            <w:sz w:val="20"/>
            <w:u w:val="single"/>
          </w:rPr>
          <w:t>kallouis@image7.fr</w:t>
        </w:r>
      </w:hyperlink>
    </w:p>
    <w:p>
      <w:pPr>
        <w:spacing w:before="2"/>
        <w:ind w:left="248" w:right="13" w:firstLine="0"/>
        <w:jc w:val="center"/>
        <w:rPr>
          <w:sz w:val="20"/>
        </w:rPr>
      </w:pPr>
      <w:r>
        <w:rPr>
          <w:w w:val="85"/>
          <w:sz w:val="20"/>
        </w:rPr>
        <w:t>Laurent</w:t>
      </w:r>
      <w:r>
        <w:rPr>
          <w:spacing w:val="-7"/>
          <w:sz w:val="20"/>
        </w:rPr>
        <w:t> </w:t>
      </w:r>
      <w:r>
        <w:rPr>
          <w:w w:val="85"/>
          <w:sz w:val="20"/>
        </w:rPr>
        <w:t>Poinsot</w:t>
      </w:r>
      <w:r>
        <w:rPr>
          <w:spacing w:val="-4"/>
          <w:sz w:val="20"/>
        </w:rPr>
        <w:t> </w:t>
      </w:r>
      <w:r>
        <w:rPr>
          <w:w w:val="85"/>
          <w:sz w:val="20"/>
        </w:rPr>
        <w:t>–</w:t>
      </w:r>
      <w:r>
        <w:rPr>
          <w:spacing w:val="-6"/>
          <w:sz w:val="20"/>
        </w:rPr>
        <w:t> </w:t>
      </w:r>
      <w:r>
        <w:rPr>
          <w:w w:val="85"/>
          <w:sz w:val="20"/>
        </w:rPr>
        <w:t>Tél</w:t>
      </w:r>
      <w:r>
        <w:rPr>
          <w:spacing w:val="-8"/>
          <w:sz w:val="20"/>
        </w:rPr>
        <w:t> </w:t>
      </w:r>
      <w:r>
        <w:rPr>
          <w:w w:val="85"/>
          <w:sz w:val="20"/>
        </w:rPr>
        <w:t>:</w:t>
      </w:r>
      <w:r>
        <w:rPr>
          <w:spacing w:val="-11"/>
          <w:sz w:val="20"/>
        </w:rPr>
        <w:t> </w:t>
      </w:r>
      <w:r>
        <w:rPr>
          <w:w w:val="85"/>
          <w:sz w:val="20"/>
        </w:rPr>
        <w:t>+</w:t>
      </w:r>
      <w:r>
        <w:rPr>
          <w:spacing w:val="-4"/>
          <w:sz w:val="20"/>
        </w:rPr>
        <w:t> </w:t>
      </w:r>
      <w:r>
        <w:rPr>
          <w:w w:val="85"/>
          <w:sz w:val="20"/>
        </w:rPr>
        <w:t>33(0)6</w:t>
      </w:r>
      <w:r>
        <w:rPr>
          <w:spacing w:val="-8"/>
          <w:sz w:val="20"/>
        </w:rPr>
        <w:t> </w:t>
      </w:r>
      <w:r>
        <w:rPr>
          <w:w w:val="85"/>
          <w:sz w:val="20"/>
        </w:rPr>
        <w:t>80</w:t>
      </w:r>
      <w:r>
        <w:rPr>
          <w:spacing w:val="-9"/>
          <w:sz w:val="20"/>
        </w:rPr>
        <w:t> </w:t>
      </w:r>
      <w:r>
        <w:rPr>
          <w:w w:val="85"/>
          <w:sz w:val="20"/>
        </w:rPr>
        <w:t>11</w:t>
      </w:r>
      <w:r>
        <w:rPr>
          <w:spacing w:val="-9"/>
          <w:sz w:val="20"/>
        </w:rPr>
        <w:t> </w:t>
      </w:r>
      <w:r>
        <w:rPr>
          <w:w w:val="85"/>
          <w:sz w:val="20"/>
        </w:rPr>
        <w:t>73</w:t>
      </w:r>
      <w:r>
        <w:rPr>
          <w:spacing w:val="-5"/>
          <w:sz w:val="20"/>
        </w:rPr>
        <w:t> </w:t>
      </w:r>
      <w:r>
        <w:rPr>
          <w:w w:val="85"/>
          <w:sz w:val="20"/>
        </w:rPr>
        <w:t>52</w:t>
      </w:r>
      <w:r>
        <w:rPr>
          <w:spacing w:val="-6"/>
          <w:sz w:val="20"/>
        </w:rPr>
        <w:t> </w:t>
      </w:r>
      <w:r>
        <w:rPr>
          <w:w w:val="85"/>
          <w:sz w:val="20"/>
        </w:rPr>
        <w:t>-</w:t>
      </w:r>
      <w:r>
        <w:rPr>
          <w:spacing w:val="-8"/>
          <w:sz w:val="20"/>
        </w:rPr>
        <w:t> </w:t>
      </w:r>
      <w:hyperlink r:id="rId12">
        <w:r>
          <w:rPr>
            <w:spacing w:val="-2"/>
            <w:w w:val="85"/>
            <w:sz w:val="20"/>
            <w:u w:val="single"/>
          </w:rPr>
          <w:t>lpoinsot@image7.fr</w:t>
        </w:r>
      </w:hyperlink>
    </w:p>
    <w:p>
      <w:pPr>
        <w:spacing w:before="1"/>
        <w:ind w:left="248" w:right="13" w:firstLine="0"/>
        <w:jc w:val="center"/>
        <w:rPr>
          <w:sz w:val="20"/>
        </w:rPr>
      </w:pPr>
      <w:r>
        <w:rPr>
          <w:w w:val="85"/>
          <w:sz w:val="20"/>
        </w:rPr>
        <w:t>Franck</w:t>
      </w:r>
      <w:r>
        <w:rPr>
          <w:spacing w:val="-3"/>
          <w:sz w:val="20"/>
        </w:rPr>
        <w:t> </w:t>
      </w:r>
      <w:r>
        <w:rPr>
          <w:w w:val="85"/>
          <w:sz w:val="20"/>
        </w:rPr>
        <w:t>Pasquier</w:t>
      </w:r>
      <w:r>
        <w:rPr>
          <w:spacing w:val="-1"/>
          <w:sz w:val="20"/>
        </w:rPr>
        <w:t> </w:t>
      </w:r>
      <w:r>
        <w:rPr>
          <w:w w:val="85"/>
          <w:sz w:val="20"/>
        </w:rPr>
        <w:t>–</w:t>
      </w:r>
      <w:r>
        <w:rPr>
          <w:spacing w:val="-1"/>
          <w:sz w:val="20"/>
        </w:rPr>
        <w:t> </w:t>
      </w:r>
      <w:r>
        <w:rPr>
          <w:w w:val="85"/>
          <w:sz w:val="20"/>
        </w:rPr>
        <w:t>Tél</w:t>
      </w:r>
      <w:r>
        <w:rPr>
          <w:spacing w:val="-1"/>
          <w:sz w:val="20"/>
        </w:rPr>
        <w:t> </w:t>
      </w:r>
      <w:r>
        <w:rPr>
          <w:w w:val="85"/>
          <w:sz w:val="20"/>
        </w:rPr>
        <w:t>:</w:t>
      </w:r>
      <w:r>
        <w:rPr>
          <w:spacing w:val="-6"/>
          <w:sz w:val="20"/>
        </w:rPr>
        <w:t> </w:t>
      </w:r>
      <w:r>
        <w:rPr>
          <w:w w:val="85"/>
          <w:sz w:val="20"/>
        </w:rPr>
        <w:t>+</w:t>
      </w:r>
      <w:r>
        <w:rPr>
          <w:spacing w:val="1"/>
          <w:sz w:val="20"/>
        </w:rPr>
        <w:t> </w:t>
      </w:r>
      <w:r>
        <w:rPr>
          <w:w w:val="85"/>
          <w:sz w:val="20"/>
        </w:rPr>
        <w:t>33(0)6</w:t>
      </w:r>
      <w:r>
        <w:rPr>
          <w:spacing w:val="-4"/>
          <w:sz w:val="20"/>
        </w:rPr>
        <w:t> </w:t>
      </w:r>
      <w:r>
        <w:rPr>
          <w:w w:val="85"/>
          <w:sz w:val="20"/>
        </w:rPr>
        <w:t>73</w:t>
      </w:r>
      <w:r>
        <w:rPr>
          <w:spacing w:val="-3"/>
          <w:sz w:val="20"/>
        </w:rPr>
        <w:t> </w:t>
      </w:r>
      <w:r>
        <w:rPr>
          <w:w w:val="85"/>
          <w:sz w:val="20"/>
        </w:rPr>
        <w:t>62</w:t>
      </w:r>
      <w:r>
        <w:rPr>
          <w:spacing w:val="-4"/>
          <w:sz w:val="20"/>
        </w:rPr>
        <w:t> </w:t>
      </w:r>
      <w:r>
        <w:rPr>
          <w:w w:val="85"/>
          <w:sz w:val="20"/>
        </w:rPr>
        <w:t>57</w:t>
      </w:r>
      <w:r>
        <w:rPr>
          <w:sz w:val="20"/>
        </w:rPr>
        <w:t> </w:t>
      </w:r>
      <w:r>
        <w:rPr>
          <w:w w:val="85"/>
          <w:sz w:val="20"/>
        </w:rPr>
        <w:t>99</w:t>
      </w:r>
      <w:r>
        <w:rPr>
          <w:spacing w:val="-1"/>
          <w:sz w:val="20"/>
        </w:rPr>
        <w:t> </w:t>
      </w:r>
      <w:r>
        <w:rPr>
          <w:w w:val="85"/>
          <w:sz w:val="20"/>
        </w:rPr>
        <w:t>-</w:t>
      </w:r>
      <w:r>
        <w:rPr>
          <w:spacing w:val="-3"/>
          <w:sz w:val="20"/>
          <w:u w:val="single"/>
        </w:rPr>
        <w:t> </w:t>
      </w:r>
      <w:hyperlink r:id="rId13">
        <w:r>
          <w:rPr>
            <w:spacing w:val="-2"/>
            <w:w w:val="85"/>
            <w:sz w:val="20"/>
            <w:u w:val="single"/>
          </w:rPr>
          <w:t>fpasquier@image7.fr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03"/>
        <w:rPr>
          <w:i w:val="0"/>
          <w:sz w:val="20"/>
        </w:rPr>
      </w:pPr>
    </w:p>
    <w:p>
      <w:pPr>
        <w:spacing w:before="0"/>
        <w:ind w:left="624" w:right="0" w:firstLine="0"/>
        <w:jc w:val="left"/>
        <w:rPr>
          <w:rFonts w:ascii="Tahoma" w:hAnsi="Tahoma"/>
          <w:b/>
          <w:sz w:val="20"/>
        </w:rPr>
      </w:pPr>
      <w:r>
        <w:rPr>
          <w:spacing w:val="-6"/>
          <w:sz w:val="20"/>
        </w:rPr>
        <w:t>Mercredi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20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septembre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2023</w:t>
      </w:r>
      <w:r>
        <w:rPr>
          <w:spacing w:val="-11"/>
          <w:sz w:val="20"/>
        </w:rPr>
        <w:t> </w:t>
      </w:r>
      <w:r>
        <w:rPr>
          <w:rFonts w:ascii="Tahoma" w:hAnsi="Tahoma"/>
          <w:b/>
          <w:color w:val="3CA05A"/>
          <w:spacing w:val="-6"/>
          <w:sz w:val="20"/>
        </w:rPr>
        <w:t>▪</w:t>
      </w:r>
      <w:r>
        <w:rPr>
          <w:rFonts w:ascii="Tahoma" w:hAnsi="Tahoma"/>
          <w:b/>
          <w:color w:val="3CA05A"/>
          <w:spacing w:val="3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3</w:t>
      </w:r>
    </w:p>
    <w:sectPr>
      <w:pgSz w:w="11910" w:h="16840"/>
      <w:pgMar w:top="1200" w:bottom="0" w:left="5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80" w:hanging="361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73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24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69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13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58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02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47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91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36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48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48" w:right="12"/>
      <w:jc w:val="center"/>
      <w:outlineLvl w:val="2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2493" w:hanging="2014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jc w:val="center"/>
    </w:pPr>
    <w:rPr>
      <w:rFonts w:ascii="Verdana" w:hAnsi="Verdana" w:eastAsia="Verdana" w:cs="Verdan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groupe-casino.fr/wp-content/uploads/2023/09/2023.09.20-Presentation-Cleansing-vFr.pdf" TargetMode="Externa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nboudot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hyperlink" Target="mailto:fpasquier@image7.fr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2023-12-04T15:07:23Z</dcterms:created>
  <dcterms:modified xsi:type="dcterms:W3CDTF">2023-12-04T15:07:23Z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2023-12-04T00:00:00Z</vt:filetime>
  </property>
</Properties>
</file>