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group style="position:absolute;margin-left:1.4499pt;margin-top:16.924824pt;width:593.9pt;height:825pt;mso-position-horizontal-relative:page;mso-position-vertical-relative:page;z-index:-15767552" coordorigin="29,338" coordsize="11878,16500">
            <v:shape style="position:absolute;left:29;top:338;width:11878;height:16500" type="#_x0000_t75" stroked="false">
              <v:imagedata r:id="rId5" o:title=""/>
            </v:shape>
            <v:rect style="position:absolute;left:4599;top:12765;width:2706;height:12" filled="true" fillcolor="#000000" stroked="false">
              <v:fill type="solid"/>
            </v:rect>
            <v:rect style="position:absolute;left:7107;top:15678;width:1839;height:12" filled="true" fillcolor="#0000ff" stroked="false">
              <v:fill type="solid"/>
            </v:rect>
            <v:rect style="position:absolute;left:780;top:1662;width:10365;height:5940" filled="false" stroked="true" strokeweight="2pt" strokecolor="#6460a9">
              <v:stroke dashstyle="solid"/>
            </v:rect>
            <w10:wrap type="none"/>
          </v:group>
        </w:pict>
      </w:r>
    </w:p>
    <w:p>
      <w:pPr>
        <w:pStyle w:val="Title"/>
      </w:pPr>
      <w:r>
        <w:rPr>
          <w:color w:val="6460A9"/>
        </w:rPr>
        <w:t>Cession</w:t>
      </w:r>
      <w:r>
        <w:rPr>
          <w:color w:val="6460A9"/>
          <w:spacing w:val="-4"/>
        </w:rPr>
        <w:t> </w:t>
      </w:r>
      <w:r>
        <w:rPr>
          <w:color w:val="6460A9"/>
        </w:rPr>
        <w:t>d’une</w:t>
      </w:r>
      <w:r>
        <w:rPr>
          <w:color w:val="6460A9"/>
          <w:spacing w:val="-2"/>
        </w:rPr>
        <w:t> </w:t>
      </w:r>
      <w:r>
        <w:rPr>
          <w:color w:val="6460A9"/>
        </w:rPr>
        <w:t>partie</w:t>
      </w:r>
      <w:r>
        <w:rPr>
          <w:color w:val="6460A9"/>
          <w:spacing w:val="-1"/>
        </w:rPr>
        <w:t> </w:t>
      </w:r>
      <w:r>
        <w:rPr>
          <w:color w:val="6460A9"/>
        </w:rPr>
        <w:t>de</w:t>
      </w:r>
      <w:r>
        <w:rPr>
          <w:color w:val="6460A9"/>
          <w:spacing w:val="-4"/>
        </w:rPr>
        <w:t> </w:t>
      </w:r>
      <w:r>
        <w:rPr>
          <w:color w:val="6460A9"/>
        </w:rPr>
        <w:t>la</w:t>
      </w:r>
      <w:r>
        <w:rPr>
          <w:color w:val="6460A9"/>
          <w:spacing w:val="-2"/>
        </w:rPr>
        <w:t> </w:t>
      </w:r>
      <w:r>
        <w:rPr>
          <w:color w:val="6460A9"/>
        </w:rPr>
        <w:t>participation</w:t>
      </w:r>
      <w:r>
        <w:rPr>
          <w:color w:val="6460A9"/>
          <w:spacing w:val="-2"/>
        </w:rPr>
        <w:t> </w:t>
      </w:r>
      <w:r>
        <w:rPr>
          <w:color w:val="6460A9"/>
        </w:rPr>
        <w:t>dans</w:t>
      </w:r>
      <w:r>
        <w:rPr>
          <w:color w:val="6460A9"/>
          <w:spacing w:val="1"/>
        </w:rPr>
        <w:t> </w:t>
      </w:r>
      <w:r>
        <w:rPr>
          <w:color w:val="6460A9"/>
        </w:rPr>
        <w:t>Assaí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9"/>
          <w:w w:val="85"/>
        </w:rPr>
        <w:t> </w:t>
      </w:r>
      <w:r>
        <w:rPr>
          <w:w w:val="85"/>
        </w:rPr>
        <w:t>le</w:t>
      </w:r>
      <w:r>
        <w:rPr>
          <w:spacing w:val="13"/>
          <w:w w:val="85"/>
        </w:rPr>
        <w:t> </w:t>
      </w:r>
      <w:r>
        <w:rPr>
          <w:w w:val="85"/>
        </w:rPr>
        <w:t>14</w:t>
      </w:r>
      <w:r>
        <w:rPr>
          <w:spacing w:val="11"/>
          <w:w w:val="85"/>
        </w:rPr>
        <w:t> </w:t>
      </w:r>
      <w:r>
        <w:rPr>
          <w:w w:val="85"/>
        </w:rPr>
        <w:t>mars</w:t>
      </w:r>
      <w:r>
        <w:rPr>
          <w:spacing w:val="13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78" w:lineRule="auto"/>
        <w:ind w:left="112" w:right="109"/>
        <w:jc w:val="both"/>
      </w:pPr>
      <w:r>
        <w:rPr/>
        <w:t>Le groupe Casino annonce aujourd’hui le lancement de la cession d’une partie de sa</w:t>
      </w:r>
      <w:r>
        <w:rPr>
          <w:spacing w:val="1"/>
        </w:rPr>
        <w:t> </w:t>
      </w:r>
      <w:r>
        <w:rPr/>
        <w:t>participation</w:t>
      </w:r>
      <w:r>
        <w:rPr>
          <w:spacing w:val="-12"/>
        </w:rPr>
        <w:t> </w:t>
      </w:r>
      <w:r>
        <w:rPr/>
        <w:t>dans</w:t>
      </w:r>
      <w:r>
        <w:rPr>
          <w:spacing w:val="-9"/>
        </w:rPr>
        <w:t> </w:t>
      </w:r>
      <w:r>
        <w:rPr/>
        <w:t>Assaí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hauteur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174</w:t>
      </w:r>
      <w:r>
        <w:rPr>
          <w:spacing w:val="-13"/>
        </w:rPr>
        <w:t> </w:t>
      </w:r>
      <w:r>
        <w:rPr/>
        <w:t>millions</w:t>
      </w:r>
      <w:r>
        <w:rPr>
          <w:spacing w:val="-11"/>
        </w:rPr>
        <w:t> </w:t>
      </w:r>
      <w:r>
        <w:rPr/>
        <w:t>d’actions</w:t>
      </w:r>
      <w:r>
        <w:rPr>
          <w:spacing w:val="-10"/>
        </w:rPr>
        <w:t> </w:t>
      </w:r>
      <w:r>
        <w:rPr/>
        <w:t>(y</w:t>
      </w:r>
      <w:r>
        <w:rPr>
          <w:spacing w:val="-11"/>
        </w:rPr>
        <w:t> </w:t>
      </w:r>
      <w:r>
        <w:rPr/>
        <w:t>inclus</w:t>
      </w:r>
      <w:r>
        <w:rPr>
          <w:spacing w:val="-11"/>
        </w:rPr>
        <w:t> </w:t>
      </w:r>
      <w:r>
        <w:rPr/>
        <w:t>sous</w:t>
      </w:r>
      <w:r>
        <w:rPr>
          <w:spacing w:val="-10"/>
        </w:rPr>
        <w:t> </w:t>
      </w:r>
      <w:r>
        <w:rPr/>
        <w:t>forme</w:t>
      </w:r>
      <w:r>
        <w:rPr>
          <w:spacing w:val="-11"/>
        </w:rPr>
        <w:t> </w:t>
      </w:r>
      <w:r>
        <w:rPr/>
        <w:t>d’ADS)</w:t>
      </w:r>
      <w:r>
        <w:rPr>
          <w:spacing w:val="-75"/>
        </w:rPr>
        <w:t> </w:t>
      </w:r>
      <w:r>
        <w:rPr/>
        <w:t>représentant</w:t>
      </w:r>
      <w:r>
        <w:rPr>
          <w:spacing w:val="-17"/>
        </w:rPr>
        <w:t> </w:t>
      </w:r>
      <w:r>
        <w:rPr/>
        <w:t>12,9%</w:t>
      </w:r>
      <w:r>
        <w:rPr>
          <w:spacing w:val="-17"/>
        </w:rPr>
        <w:t> </w:t>
      </w:r>
      <w:r>
        <w:rPr/>
        <w:t>du</w:t>
      </w:r>
      <w:r>
        <w:rPr>
          <w:spacing w:val="-17"/>
        </w:rPr>
        <w:t> </w:t>
      </w:r>
      <w:r>
        <w:rPr/>
        <w:t>capital</w:t>
      </w:r>
      <w:r>
        <w:rPr>
          <w:spacing w:val="-16"/>
        </w:rPr>
        <w:t> </w:t>
      </w:r>
      <w:r>
        <w:rPr/>
        <w:t>d’Assaí,</w:t>
      </w:r>
      <w:r>
        <w:rPr>
          <w:spacing w:val="-16"/>
        </w:rPr>
        <w:t> </w:t>
      </w:r>
      <w:r>
        <w:rPr/>
        <w:t>afin</w:t>
      </w:r>
      <w:r>
        <w:rPr>
          <w:spacing w:val="-17"/>
        </w:rPr>
        <w:t> </w:t>
      </w:r>
      <w:r>
        <w:rPr/>
        <w:t>d’accélérer</w:t>
      </w:r>
      <w:r>
        <w:rPr>
          <w:spacing w:val="-16"/>
        </w:rPr>
        <w:t> </w:t>
      </w:r>
      <w:r>
        <w:rPr/>
        <w:t>son</w:t>
      </w:r>
      <w:r>
        <w:rPr>
          <w:spacing w:val="-17"/>
        </w:rPr>
        <w:t> </w:t>
      </w:r>
      <w:r>
        <w:rPr/>
        <w:t>désendettement.</w:t>
      </w:r>
      <w:r>
        <w:rPr>
          <w:spacing w:val="-16"/>
        </w:rPr>
        <w:t> </w:t>
      </w:r>
      <w:r>
        <w:rPr/>
        <w:t>Ce</w:t>
      </w:r>
      <w:r>
        <w:rPr>
          <w:spacing w:val="-16"/>
        </w:rPr>
        <w:t> </w:t>
      </w:r>
      <w:r>
        <w:rPr/>
        <w:t>nombre</w:t>
      </w:r>
      <w:r>
        <w:rPr>
          <w:spacing w:val="-75"/>
        </w:rPr>
        <w:t> </w:t>
      </w:r>
      <w:r>
        <w:rPr>
          <w:w w:val="95"/>
        </w:rPr>
        <w:t>pourra être augmenté d’un maximum de 80 millions d’actions (y inclus sous forme d’ADS)</w:t>
      </w:r>
      <w:r>
        <w:rPr>
          <w:spacing w:val="1"/>
          <w:w w:val="95"/>
        </w:rPr>
        <w:t> </w:t>
      </w:r>
      <w:r>
        <w:rPr>
          <w:w w:val="95"/>
        </w:rPr>
        <w:t>représentant</w:t>
      </w:r>
      <w:r>
        <w:rPr>
          <w:spacing w:val="-13"/>
          <w:w w:val="95"/>
        </w:rPr>
        <w:t> </w:t>
      </w:r>
      <w:r>
        <w:rPr>
          <w:w w:val="95"/>
        </w:rPr>
        <w:t>5,9%</w:t>
      </w:r>
      <w:r>
        <w:rPr>
          <w:spacing w:val="-14"/>
          <w:w w:val="95"/>
        </w:rPr>
        <w:t> </w:t>
      </w:r>
      <w:r>
        <w:rPr>
          <w:w w:val="95"/>
        </w:rPr>
        <w:t>du</w:t>
      </w:r>
      <w:r>
        <w:rPr>
          <w:spacing w:val="-14"/>
          <w:w w:val="95"/>
        </w:rPr>
        <w:t> </w:t>
      </w:r>
      <w:r>
        <w:rPr>
          <w:w w:val="95"/>
        </w:rPr>
        <w:t>capital</w:t>
      </w:r>
      <w:r>
        <w:rPr>
          <w:spacing w:val="-12"/>
          <w:w w:val="95"/>
        </w:rPr>
        <w:t> </w:t>
      </w:r>
      <w:r>
        <w:rPr>
          <w:w w:val="95"/>
        </w:rPr>
        <w:t>d’Assaí.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8" w:lineRule="auto" w:before="1"/>
        <w:ind w:left="112" w:right="109"/>
        <w:jc w:val="both"/>
      </w:pPr>
      <w:r>
        <w:rPr/>
        <w:t>Cette</w:t>
      </w:r>
      <w:r>
        <w:rPr>
          <w:spacing w:val="-11"/>
        </w:rPr>
        <w:t> </w:t>
      </w:r>
      <w:r>
        <w:rPr/>
        <w:t>cession,</w:t>
      </w:r>
      <w:r>
        <w:rPr>
          <w:spacing w:val="-10"/>
        </w:rPr>
        <w:t> </w:t>
      </w:r>
      <w:r>
        <w:rPr/>
        <w:t>qui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été</w:t>
      </w:r>
      <w:r>
        <w:rPr>
          <w:spacing w:val="-10"/>
        </w:rPr>
        <w:t> </w:t>
      </w:r>
      <w:r>
        <w:rPr/>
        <w:t>approuvée</w:t>
      </w:r>
      <w:r>
        <w:rPr>
          <w:spacing w:val="-11"/>
        </w:rPr>
        <w:t> </w:t>
      </w:r>
      <w:r>
        <w:rPr/>
        <w:t>par</w:t>
      </w:r>
      <w:r>
        <w:rPr>
          <w:spacing w:val="-11"/>
        </w:rPr>
        <w:t> </w:t>
      </w:r>
      <w:r>
        <w:rPr/>
        <w:t>le</w:t>
      </w:r>
      <w:r>
        <w:rPr>
          <w:spacing w:val="-12"/>
        </w:rPr>
        <w:t> </w:t>
      </w:r>
      <w:r>
        <w:rPr/>
        <w:t>Conseil</w:t>
      </w:r>
      <w:r>
        <w:rPr>
          <w:spacing w:val="-8"/>
        </w:rPr>
        <w:t> </w:t>
      </w:r>
      <w:r>
        <w:rPr/>
        <w:t>d’administration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Casino,</w:t>
      </w:r>
      <w:r>
        <w:rPr>
          <w:spacing w:val="-3"/>
        </w:rPr>
        <w:t> </w:t>
      </w:r>
      <w:r>
        <w:rPr/>
        <w:t>prendra</w:t>
      </w:r>
      <w:r>
        <w:rPr>
          <w:spacing w:val="-12"/>
        </w:rPr>
        <w:t> </w:t>
      </w:r>
      <w:r>
        <w:rPr/>
        <w:t>la</w:t>
      </w:r>
      <w:r>
        <w:rPr>
          <w:spacing w:val="-75"/>
        </w:rPr>
        <w:t> </w:t>
      </w:r>
      <w:r>
        <w:rPr/>
        <w:t>forme d’un placement secondaire dont l’allocation est prévue le 16 mars 2023 et le</w:t>
      </w:r>
      <w:r>
        <w:rPr>
          <w:spacing w:val="1"/>
        </w:rPr>
        <w:t> </w:t>
      </w:r>
      <w:r>
        <w:rPr>
          <w:w w:val="95"/>
        </w:rPr>
        <w:t>règlement-livraison</w:t>
      </w:r>
      <w:r>
        <w:rPr>
          <w:spacing w:val="-13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21</w:t>
      </w:r>
      <w:r>
        <w:rPr>
          <w:spacing w:val="-12"/>
          <w:w w:val="95"/>
        </w:rPr>
        <w:t> </w:t>
      </w:r>
      <w:r>
        <w:rPr>
          <w:w w:val="95"/>
        </w:rPr>
        <w:t>mars</w:t>
      </w:r>
      <w:r>
        <w:rPr>
          <w:spacing w:val="-11"/>
          <w:w w:val="95"/>
        </w:rPr>
        <w:t> </w:t>
      </w:r>
      <w:r>
        <w:rPr>
          <w:w w:val="95"/>
        </w:rPr>
        <w:t>2023,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fonction</w:t>
      </w:r>
      <w:r>
        <w:rPr>
          <w:spacing w:val="-13"/>
          <w:w w:val="95"/>
        </w:rPr>
        <w:t> </w:t>
      </w:r>
      <w:r>
        <w:rPr>
          <w:w w:val="95"/>
        </w:rPr>
        <w:t>des</w:t>
      </w:r>
      <w:r>
        <w:rPr>
          <w:spacing w:val="-10"/>
          <w:w w:val="95"/>
        </w:rPr>
        <w:t> </w:t>
      </w:r>
      <w:r>
        <w:rPr>
          <w:w w:val="95"/>
        </w:rPr>
        <w:t>conditions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marché.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8" w:lineRule="auto"/>
        <w:ind w:left="112" w:right="116"/>
        <w:jc w:val="both"/>
      </w:pPr>
      <w:r>
        <w:rPr/>
        <w:t>Pour plus de détails sur les modalités de l’opération, il convient de se référer au</w:t>
      </w:r>
      <w:r>
        <w:rPr>
          <w:spacing w:val="1"/>
        </w:rPr>
        <w:t> </w:t>
      </w:r>
      <w:r>
        <w:rPr>
          <w:w w:val="95"/>
        </w:rPr>
        <w:t>communiqué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presse</w:t>
      </w:r>
      <w:r>
        <w:rPr>
          <w:spacing w:val="-11"/>
          <w:w w:val="95"/>
        </w:rPr>
        <w:t> </w:t>
      </w:r>
      <w:r>
        <w:rPr>
          <w:w w:val="95"/>
        </w:rPr>
        <w:t>diffusé</w:t>
      </w:r>
      <w:r>
        <w:rPr>
          <w:spacing w:val="-14"/>
          <w:w w:val="95"/>
        </w:rPr>
        <w:t> </w:t>
      </w:r>
      <w:r>
        <w:rPr>
          <w:w w:val="95"/>
        </w:rPr>
        <w:t>par</w:t>
      </w:r>
      <w:r>
        <w:rPr>
          <w:spacing w:val="-11"/>
          <w:w w:val="95"/>
        </w:rPr>
        <w:t> </w:t>
      </w:r>
      <w:r>
        <w:rPr>
          <w:w w:val="95"/>
        </w:rPr>
        <w:t>Sendas</w:t>
      </w:r>
      <w:r>
        <w:rPr>
          <w:spacing w:val="-11"/>
          <w:w w:val="95"/>
        </w:rPr>
        <w:t> </w:t>
      </w:r>
      <w:r>
        <w:rPr>
          <w:w w:val="95"/>
        </w:rPr>
        <w:t>Distribuidora</w:t>
      </w:r>
      <w:r>
        <w:rPr>
          <w:spacing w:val="-11"/>
          <w:w w:val="95"/>
        </w:rPr>
        <w:t> </w:t>
      </w:r>
      <w:r>
        <w:rPr>
          <w:w w:val="95"/>
        </w:rPr>
        <w:t>S.A.</w:t>
      </w:r>
      <w:r>
        <w:rPr>
          <w:spacing w:val="-13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date</w:t>
      </w:r>
      <w:r>
        <w:rPr>
          <w:spacing w:val="-11"/>
          <w:w w:val="95"/>
        </w:rPr>
        <w:t> </w:t>
      </w:r>
      <w:r>
        <w:rPr>
          <w:w w:val="95"/>
        </w:rPr>
        <w:t>du</w:t>
      </w:r>
      <w:r>
        <w:rPr>
          <w:spacing w:val="-8"/>
          <w:w w:val="95"/>
        </w:rPr>
        <w:t> </w:t>
      </w:r>
      <w:r>
        <w:rPr>
          <w:w w:val="95"/>
        </w:rPr>
        <w:t>14</w:t>
      </w:r>
      <w:r>
        <w:rPr>
          <w:spacing w:val="-12"/>
          <w:w w:val="95"/>
        </w:rPr>
        <w:t> </w:t>
      </w:r>
      <w:r>
        <w:rPr>
          <w:w w:val="95"/>
        </w:rPr>
        <w:t>mars</w:t>
      </w:r>
      <w:r>
        <w:rPr>
          <w:spacing w:val="-11"/>
          <w:w w:val="95"/>
        </w:rPr>
        <w:t> </w:t>
      </w:r>
      <w:r>
        <w:rPr>
          <w:w w:val="95"/>
        </w:rPr>
        <w:t>2023.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12" w:right="115" w:firstLine="0"/>
        <w:jc w:val="both"/>
        <w:rPr>
          <w:sz w:val="20"/>
        </w:rPr>
      </w:pPr>
      <w:r>
        <w:rPr>
          <w:w w:val="95"/>
          <w:sz w:val="20"/>
        </w:rPr>
        <w:t>Avant tout investissement, il convient de prendre connaissance du document d’enregistrement (y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inclus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le</w:t>
      </w:r>
      <w:r>
        <w:rPr>
          <w:spacing w:val="-4"/>
          <w:w w:val="95"/>
          <w:sz w:val="20"/>
        </w:rPr>
        <w:t> </w:t>
      </w:r>
      <w:r>
        <w:rPr>
          <w:i/>
          <w:w w:val="95"/>
          <w:sz w:val="20"/>
        </w:rPr>
        <w:t>preliminary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prospetus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supplement</w:t>
      </w:r>
      <w:r>
        <w:rPr>
          <w:w w:val="95"/>
          <w:sz w:val="20"/>
        </w:rPr>
        <w:t>)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autres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documents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déposés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auprès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SEC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pour</w:t>
      </w:r>
      <w:r>
        <w:rPr>
          <w:spacing w:val="-64"/>
          <w:w w:val="95"/>
          <w:sz w:val="20"/>
        </w:rPr>
        <w:t> </w:t>
      </w:r>
      <w:r>
        <w:rPr>
          <w:sz w:val="20"/>
        </w:rPr>
        <w:t>plus</w:t>
      </w:r>
      <w:r>
        <w:rPr>
          <w:spacing w:val="-18"/>
          <w:sz w:val="20"/>
        </w:rPr>
        <w:t> </w:t>
      </w:r>
      <w:r>
        <w:rPr>
          <w:sz w:val="20"/>
        </w:rPr>
        <w:t>d’information</w:t>
      </w:r>
      <w:r>
        <w:rPr>
          <w:spacing w:val="-16"/>
          <w:sz w:val="20"/>
        </w:rPr>
        <w:t> </w:t>
      </w:r>
      <w:r>
        <w:rPr>
          <w:sz w:val="20"/>
        </w:rPr>
        <w:t>relativement</w:t>
      </w:r>
      <w:r>
        <w:rPr>
          <w:spacing w:val="-15"/>
          <w:sz w:val="20"/>
        </w:rPr>
        <w:t> </w:t>
      </w:r>
      <w:r>
        <w:rPr>
          <w:sz w:val="20"/>
        </w:rPr>
        <w:t>à</w:t>
      </w:r>
      <w:r>
        <w:rPr>
          <w:spacing w:val="-17"/>
          <w:sz w:val="20"/>
        </w:rPr>
        <w:t> </w:t>
      </w:r>
      <w:r>
        <w:rPr>
          <w:sz w:val="20"/>
        </w:rPr>
        <w:t>l’opération.</w:t>
      </w:r>
    </w:p>
    <w:p>
      <w:pPr>
        <w:spacing w:before="128"/>
        <w:ind w:left="112" w:right="114" w:firstLine="0"/>
        <w:jc w:val="both"/>
        <w:rPr>
          <w:i/>
          <w:sz w:val="20"/>
        </w:rPr>
      </w:pPr>
      <w:r>
        <w:rPr>
          <w:i/>
          <w:sz w:val="20"/>
        </w:rPr>
        <w:t>Ce communiqué est diffusé à des fins informatives exclusivement conformément aux lois 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réglements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applicables,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constitue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ni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sollicitation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d’une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d’achat</w:t>
      </w:r>
      <w:r>
        <w:rPr>
          <w:i/>
          <w:spacing w:val="-68"/>
          <w:sz w:val="20"/>
        </w:rPr>
        <w:t> </w:t>
      </w:r>
      <w:r>
        <w:rPr>
          <w:i/>
          <w:spacing w:val="-1"/>
          <w:w w:val="95"/>
          <w:sz w:val="20"/>
        </w:rPr>
        <w:t>relativement</w:t>
      </w:r>
      <w:r>
        <w:rPr>
          <w:i/>
          <w:spacing w:val="-16"/>
          <w:w w:val="95"/>
          <w:sz w:val="20"/>
        </w:rPr>
        <w:t> </w:t>
      </w:r>
      <w:r>
        <w:rPr>
          <w:i/>
          <w:spacing w:val="-1"/>
          <w:w w:val="95"/>
          <w:sz w:val="20"/>
        </w:rPr>
        <w:t>auxvaleurs</w:t>
      </w:r>
      <w:r>
        <w:rPr>
          <w:i/>
          <w:spacing w:val="-17"/>
          <w:w w:val="95"/>
          <w:sz w:val="20"/>
        </w:rPr>
        <w:t> </w:t>
      </w:r>
      <w:r>
        <w:rPr>
          <w:i/>
          <w:spacing w:val="-1"/>
          <w:w w:val="95"/>
          <w:sz w:val="20"/>
        </w:rPr>
        <w:t>mobilières</w:t>
      </w:r>
      <w:r>
        <w:rPr>
          <w:i/>
          <w:spacing w:val="-17"/>
          <w:w w:val="95"/>
          <w:sz w:val="20"/>
        </w:rPr>
        <w:t> </w:t>
      </w:r>
      <w:r>
        <w:rPr>
          <w:i/>
          <w:spacing w:val="-1"/>
          <w:w w:val="95"/>
          <w:sz w:val="20"/>
        </w:rPr>
        <w:t>ou</w:t>
      </w:r>
      <w:r>
        <w:rPr>
          <w:i/>
          <w:spacing w:val="-18"/>
          <w:w w:val="95"/>
          <w:sz w:val="20"/>
        </w:rPr>
        <w:t> </w:t>
      </w:r>
      <w:r>
        <w:rPr>
          <w:i/>
          <w:spacing w:val="-1"/>
          <w:w w:val="95"/>
          <w:sz w:val="20"/>
        </w:rPr>
        <w:t>instruments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financiers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connexes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qui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y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sont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décrits,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et</w:t>
      </w:r>
      <w:r>
        <w:rPr>
          <w:i/>
          <w:spacing w:val="-19"/>
          <w:w w:val="95"/>
          <w:sz w:val="20"/>
        </w:rPr>
        <w:t> </w:t>
      </w:r>
      <w:r>
        <w:rPr>
          <w:i/>
          <w:w w:val="95"/>
          <w:sz w:val="20"/>
        </w:rPr>
        <w:t>il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n’y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aura</w:t>
      </w:r>
      <w:r>
        <w:rPr>
          <w:i/>
          <w:spacing w:val="-65"/>
          <w:w w:val="95"/>
          <w:sz w:val="20"/>
        </w:rPr>
        <w:t> </w:t>
      </w:r>
      <w:r>
        <w:rPr>
          <w:i/>
          <w:w w:val="95"/>
          <w:sz w:val="20"/>
        </w:rPr>
        <w:t>aucune vente desdites valeurs mobilières ou instruments financiers connexes dans une quelconque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juridiction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laquelle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telle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offre,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solicitation,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serait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illégale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préalablement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tout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enregistrement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qualification au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titre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des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lois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et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règlements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applicables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dans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cette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juridiction.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</w:rPr>
      </w:pPr>
    </w:p>
    <w:p>
      <w:pPr>
        <w:pStyle w:val="Heading1"/>
        <w:ind w:right="1046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6"/>
        <w:ind w:left="2710" w:right="271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3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5"/>
        <w:ind w:left="1044" w:right="1045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38"/>
        <w:ind w:left="1044" w:right="1046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1"/>
        <w:ind w:left="1043" w:right="1046" w:firstLine="0"/>
        <w:jc w:val="center"/>
        <w:rPr>
          <w:sz w:val="20"/>
        </w:rPr>
      </w:pP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92"/>
        <w:ind w:left="1044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7"/>
        <w:ind w:left="1041" w:right="1046" w:firstLine="0"/>
        <w:jc w:val="center"/>
        <w:rPr>
          <w:b/>
          <w:sz w:val="20"/>
        </w:rPr>
      </w:pPr>
      <w:r>
        <w:rPr>
          <w:b/>
          <w:w w:val="85"/>
          <w:sz w:val="20"/>
        </w:rPr>
        <w:t>Groupe</w:t>
      </w:r>
      <w:r>
        <w:rPr>
          <w:b/>
          <w:spacing w:val="15"/>
          <w:w w:val="85"/>
          <w:sz w:val="20"/>
        </w:rPr>
        <w:t> </w:t>
      </w:r>
      <w:r>
        <w:rPr>
          <w:b/>
          <w:w w:val="85"/>
          <w:sz w:val="20"/>
        </w:rPr>
        <w:t>Casino</w:t>
      </w:r>
      <w:r>
        <w:rPr>
          <w:b/>
          <w:spacing w:val="19"/>
          <w:w w:val="85"/>
          <w:sz w:val="20"/>
        </w:rPr>
        <w:t> </w:t>
      </w:r>
      <w:r>
        <w:rPr>
          <w:b/>
          <w:w w:val="85"/>
          <w:sz w:val="20"/>
        </w:rPr>
        <w:t>–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Direction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Communication</w:t>
      </w:r>
    </w:p>
    <w:p>
      <w:pPr>
        <w:spacing w:before="2"/>
        <w:ind w:left="1044" w:right="1046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4"/>
        <w:ind w:left="1044" w:right="1045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2"/>
        <w:ind w:left="1043" w:right="1046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1"/>
        <w:rPr>
          <w:sz w:val="12"/>
        </w:rPr>
      </w:pPr>
    </w:p>
    <w:p>
      <w:pPr>
        <w:spacing w:before="99"/>
        <w:ind w:left="1044" w:right="1046" w:firstLine="0"/>
        <w:jc w:val="center"/>
        <w:rPr>
          <w:b/>
          <w:sz w:val="20"/>
        </w:rPr>
      </w:pPr>
      <w:r>
        <w:rPr>
          <w:b/>
          <w:w w:val="90"/>
          <w:sz w:val="20"/>
        </w:rPr>
        <w:t>Agence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IMAGE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7</w:t>
      </w:r>
    </w:p>
    <w:p>
      <w:pPr>
        <w:spacing w:before="2"/>
        <w:ind w:left="1044" w:right="1046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044" w:right="1046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100"/>
        <w:ind w:left="144" w:right="0" w:firstLine="0"/>
        <w:jc w:val="left"/>
        <w:rPr>
          <w:b/>
          <w:sz w:val="20"/>
        </w:rPr>
      </w:pPr>
      <w:r>
        <w:rPr>
          <w:w w:val="90"/>
          <w:sz w:val="20"/>
        </w:rPr>
        <w:t>Mardi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14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mars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2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1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41" w:right="1036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44" w:right="1046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2023-12-07T10:14:54Z</dcterms:created>
  <dcterms:modified xsi:type="dcterms:W3CDTF">2023-12-07T10:14:54Z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2023-12-07T00:00:00Z</vt:filetime>
  </property>
</Properties>
</file>