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0</wp:posOffset>
            </wp:positionH>
            <wp:positionV relativeFrom="page">
              <wp:posOffset>222690</wp:posOffset>
            </wp:positionV>
            <wp:extent cx="7441564" cy="1046969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564" cy="1046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68" w:lineRule="exact" w:before="89"/>
        <w:ind w:left="933"/>
      </w:pPr>
      <w:r>
        <w:rPr>
          <w:color w:val="6460A9"/>
        </w:rPr>
        <w:t>Proposition</w:t>
      </w:r>
      <w:r>
        <w:rPr>
          <w:color w:val="6460A9"/>
          <w:spacing w:val="-6"/>
        </w:rPr>
        <w:t> </w:t>
      </w:r>
      <w:r>
        <w:rPr>
          <w:color w:val="6460A9"/>
        </w:rPr>
        <w:t>par</w:t>
      </w:r>
      <w:r>
        <w:rPr>
          <w:color w:val="6460A9"/>
          <w:spacing w:val="-2"/>
        </w:rPr>
        <w:t> </w:t>
      </w:r>
      <w:r>
        <w:rPr>
          <w:color w:val="6460A9"/>
        </w:rPr>
        <w:t>EP</w:t>
      </w:r>
      <w:r>
        <w:rPr>
          <w:color w:val="6460A9"/>
          <w:spacing w:val="-4"/>
        </w:rPr>
        <w:t> </w:t>
      </w:r>
      <w:r>
        <w:rPr>
          <w:color w:val="6460A9"/>
        </w:rPr>
        <w:t>Global</w:t>
      </w:r>
      <w:r>
        <w:rPr>
          <w:color w:val="6460A9"/>
          <w:spacing w:val="-6"/>
        </w:rPr>
        <w:t> </w:t>
      </w:r>
      <w:r>
        <w:rPr>
          <w:color w:val="6460A9"/>
        </w:rPr>
        <w:t>Commerce</w:t>
      </w:r>
      <w:r>
        <w:rPr>
          <w:color w:val="6460A9"/>
          <w:spacing w:val="-5"/>
        </w:rPr>
        <w:t> </w:t>
      </w:r>
      <w:r>
        <w:rPr>
          <w:color w:val="6460A9"/>
        </w:rPr>
        <w:t>a.s.</w:t>
      </w:r>
    </w:p>
    <w:p>
      <w:pPr>
        <w:spacing w:before="0"/>
        <w:ind w:left="938" w:right="259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6460A9"/>
          <w:sz w:val="32"/>
        </w:rPr>
        <w:t>d’un projet d’augmentations de capital d’un montant total de</w:t>
      </w:r>
      <w:r>
        <w:rPr>
          <w:rFonts w:ascii="Arial" w:hAnsi="Arial"/>
          <w:b/>
          <w:color w:val="6460A9"/>
          <w:spacing w:val="-86"/>
          <w:sz w:val="32"/>
        </w:rPr>
        <w:t> </w:t>
      </w:r>
      <w:r>
        <w:rPr>
          <w:rFonts w:ascii="Arial" w:hAnsi="Arial"/>
          <w:b/>
          <w:color w:val="6460A9"/>
          <w:sz w:val="32"/>
        </w:rPr>
        <w:t>1,1</w:t>
      </w:r>
      <w:r>
        <w:rPr>
          <w:rFonts w:ascii="Arial" w:hAnsi="Arial"/>
          <w:b/>
          <w:color w:val="6460A9"/>
          <w:spacing w:val="-2"/>
          <w:sz w:val="32"/>
        </w:rPr>
        <w:t> </w:t>
      </w:r>
      <w:r>
        <w:rPr>
          <w:rFonts w:ascii="Arial" w:hAnsi="Arial"/>
          <w:b/>
          <w:color w:val="6460A9"/>
          <w:sz w:val="32"/>
        </w:rPr>
        <w:t>milliard</w:t>
      </w:r>
      <w:r>
        <w:rPr>
          <w:rFonts w:ascii="Arial" w:hAnsi="Arial"/>
          <w:b/>
          <w:color w:val="6460A9"/>
          <w:spacing w:val="-1"/>
          <w:sz w:val="32"/>
        </w:rPr>
        <w:t> </w:t>
      </w:r>
      <w:r>
        <w:rPr>
          <w:rFonts w:ascii="Arial" w:hAnsi="Arial"/>
          <w:b/>
          <w:color w:val="6460A9"/>
          <w:sz w:val="32"/>
        </w:rPr>
        <w:t>d’euros</w:t>
      </w:r>
    </w:p>
    <w:p>
      <w:pPr>
        <w:pStyle w:val="Heading1"/>
        <w:spacing w:before="241"/>
        <w:ind w:right="231" w:hanging="3"/>
      </w:pPr>
      <w:r>
        <w:rPr>
          <w:color w:val="6460A9"/>
        </w:rPr>
        <w:t>Sollicitation de l’accord de certains créanciers bancaires et</w:t>
      </w:r>
      <w:r>
        <w:rPr>
          <w:color w:val="6460A9"/>
          <w:spacing w:val="1"/>
        </w:rPr>
        <w:t> </w:t>
      </w:r>
      <w:r>
        <w:rPr>
          <w:color w:val="6460A9"/>
        </w:rPr>
        <w:t>porteurs d’emprunts obligataires du groupe Casino</w:t>
      </w:r>
      <w:r>
        <w:rPr>
          <w:color w:val="6460A9"/>
          <w:spacing w:val="1"/>
        </w:rPr>
        <w:t> </w:t>
      </w:r>
      <w:r>
        <w:rPr>
          <w:color w:val="6460A9"/>
        </w:rPr>
        <w:t>concernant la possibilité d’initier une procédure de</w:t>
      </w:r>
      <w:r>
        <w:rPr>
          <w:color w:val="6460A9"/>
          <w:spacing w:val="1"/>
        </w:rPr>
        <w:t> </w:t>
      </w:r>
      <w:r>
        <w:rPr>
          <w:color w:val="6460A9"/>
        </w:rPr>
        <w:t>conciliation pour encadrer des discussions à venir avec les</w:t>
      </w:r>
      <w:r>
        <w:rPr>
          <w:color w:val="6460A9"/>
          <w:spacing w:val="1"/>
        </w:rPr>
        <w:t> </w:t>
      </w:r>
      <w:r>
        <w:rPr>
          <w:color w:val="6460A9"/>
        </w:rPr>
        <w:t>créanciers en lien avec le projet TERACT et la proposition de</w:t>
      </w:r>
      <w:r>
        <w:rPr>
          <w:color w:val="6460A9"/>
          <w:spacing w:val="-86"/>
        </w:rPr>
        <w:t> </w:t>
      </w:r>
      <w:r>
        <w:rPr>
          <w:color w:val="6460A9"/>
        </w:rPr>
        <w:t>EP</w:t>
      </w:r>
      <w:r>
        <w:rPr>
          <w:color w:val="6460A9"/>
          <w:spacing w:val="-1"/>
        </w:rPr>
        <w:t> </w:t>
      </w:r>
      <w:r>
        <w:rPr>
          <w:color w:val="6460A9"/>
        </w:rPr>
        <w:t>Global</w:t>
      </w:r>
      <w:r>
        <w:rPr>
          <w:color w:val="6460A9"/>
          <w:spacing w:val="-1"/>
        </w:rPr>
        <w:t> </w:t>
      </w:r>
      <w:r>
        <w:rPr>
          <w:color w:val="6460A9"/>
        </w:rPr>
        <w:t>Commerce</w:t>
      </w:r>
      <w:r>
        <w:rPr>
          <w:color w:val="6460A9"/>
          <w:spacing w:val="-1"/>
        </w:rPr>
        <w:t> </w:t>
      </w:r>
      <w:r>
        <w:rPr>
          <w:color w:val="6460A9"/>
        </w:rPr>
        <w:t>a.s.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9"/>
        <w:rPr>
          <w:rFonts w:ascii="Arial"/>
          <w:b/>
          <w:sz w:val="40"/>
        </w:rPr>
      </w:pPr>
    </w:p>
    <w:p>
      <w:pPr>
        <w:pStyle w:val="BodyText"/>
        <w:ind w:left="794"/>
        <w:jc w:val="both"/>
      </w:pPr>
      <w:r>
        <w:rPr>
          <w:w w:val="85"/>
        </w:rPr>
        <w:t>Paris,</w:t>
      </w:r>
      <w:r>
        <w:rPr>
          <w:spacing w:val="6"/>
          <w:w w:val="85"/>
        </w:rPr>
        <w:t> </w:t>
      </w:r>
      <w:r>
        <w:rPr>
          <w:w w:val="85"/>
        </w:rPr>
        <w:t>le</w:t>
      </w:r>
      <w:r>
        <w:rPr>
          <w:spacing w:val="9"/>
          <w:w w:val="85"/>
        </w:rPr>
        <w:t> </w:t>
      </w:r>
      <w:r>
        <w:rPr>
          <w:w w:val="85"/>
        </w:rPr>
        <w:t>24</w:t>
      </w:r>
      <w:r>
        <w:rPr>
          <w:spacing w:val="8"/>
          <w:w w:val="85"/>
        </w:rPr>
        <w:t> </w:t>
      </w:r>
      <w:r>
        <w:rPr>
          <w:w w:val="85"/>
        </w:rPr>
        <w:t>avril</w:t>
      </w:r>
      <w:r>
        <w:rPr>
          <w:spacing w:val="11"/>
          <w:w w:val="85"/>
        </w:rPr>
        <w:t> </w:t>
      </w:r>
      <w:r>
        <w:rPr>
          <w:w w:val="85"/>
        </w:rPr>
        <w:t>2023</w:t>
      </w:r>
    </w:p>
    <w:p>
      <w:pPr>
        <w:pStyle w:val="BodyText"/>
        <w:rPr>
          <w:sz w:val="26"/>
        </w:rPr>
      </w:pPr>
    </w:p>
    <w:p>
      <w:pPr>
        <w:pStyle w:val="BodyText"/>
        <w:spacing w:line="278" w:lineRule="auto" w:before="228"/>
        <w:ind w:left="794" w:right="109"/>
        <w:jc w:val="both"/>
      </w:pPr>
      <w:r>
        <w:rPr/>
        <w:t>Dans le prolongement du communiqué publié ce jour par Casino relativement au</w:t>
      </w:r>
      <w:r>
        <w:rPr>
          <w:spacing w:val="1"/>
        </w:rPr>
        <w:t> </w:t>
      </w:r>
      <w:r>
        <w:rPr>
          <w:w w:val="95"/>
        </w:rPr>
        <w:t>rapprochement avec TERACT et aux discussions avec le Groupement Les Mousquetaires,</w:t>
      </w:r>
      <w:r>
        <w:rPr>
          <w:spacing w:val="1"/>
          <w:w w:val="95"/>
        </w:rPr>
        <w:t> </w:t>
      </w:r>
      <w:r>
        <w:rPr/>
        <w:t>le</w:t>
      </w:r>
      <w:r>
        <w:rPr>
          <w:spacing w:val="-15"/>
        </w:rPr>
        <w:t> </w:t>
      </w:r>
      <w:r>
        <w:rPr/>
        <w:t>groupe</w:t>
      </w:r>
      <w:r>
        <w:rPr>
          <w:spacing w:val="-15"/>
        </w:rPr>
        <w:t> </w:t>
      </w:r>
      <w:r>
        <w:rPr/>
        <w:t>Casino</w:t>
      </w:r>
      <w:r>
        <w:rPr>
          <w:spacing w:val="-16"/>
        </w:rPr>
        <w:t> </w:t>
      </w:r>
      <w:r>
        <w:rPr/>
        <w:t>annonce</w:t>
      </w:r>
      <w:r>
        <w:rPr>
          <w:spacing w:val="-14"/>
        </w:rPr>
        <w:t> </w:t>
      </w:r>
      <w:r>
        <w:rPr/>
        <w:t>avoir</w:t>
      </w:r>
      <w:r>
        <w:rPr>
          <w:spacing w:val="-15"/>
        </w:rPr>
        <w:t> </w:t>
      </w:r>
      <w:r>
        <w:rPr/>
        <w:t>reçu</w:t>
      </w:r>
      <w:r>
        <w:rPr>
          <w:spacing w:val="-15"/>
        </w:rPr>
        <w:t> </w:t>
      </w:r>
      <w:r>
        <w:rPr/>
        <w:t>une</w:t>
      </w:r>
      <w:r>
        <w:rPr>
          <w:spacing w:val="-14"/>
        </w:rPr>
        <w:t> </w:t>
      </w:r>
      <w:r>
        <w:rPr/>
        <w:t>lettre</w:t>
      </w:r>
      <w:r>
        <w:rPr>
          <w:spacing w:val="-15"/>
        </w:rPr>
        <w:t> </w:t>
      </w:r>
      <w:r>
        <w:rPr/>
        <w:t>d’intention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EP</w:t>
      </w:r>
      <w:r>
        <w:rPr>
          <w:spacing w:val="-15"/>
        </w:rPr>
        <w:t> </w:t>
      </w:r>
      <w:r>
        <w:rPr/>
        <w:t>Global</w:t>
      </w:r>
      <w:r>
        <w:rPr>
          <w:spacing w:val="-14"/>
        </w:rPr>
        <w:t> </w:t>
      </w:r>
      <w:r>
        <w:rPr/>
        <w:t>Commerce</w:t>
      </w:r>
      <w:r>
        <w:rPr>
          <w:spacing w:val="-15"/>
        </w:rPr>
        <w:t> </w:t>
      </w:r>
      <w:r>
        <w:rPr/>
        <w:t>a.s.</w:t>
      </w:r>
      <w:r>
        <w:rPr>
          <w:spacing w:val="-75"/>
        </w:rPr>
        <w:t> </w:t>
      </w:r>
      <w:r>
        <w:rPr>
          <w:w w:val="95"/>
        </w:rPr>
        <w:t>(une société tchèque contrôlée par M. Daniel Křetínský, affiliée à VESA Equity Investment</w:t>
      </w:r>
      <w:r>
        <w:rPr>
          <w:spacing w:val="-71"/>
          <w:w w:val="95"/>
        </w:rPr>
        <w:t> </w:t>
      </w:r>
      <w:r>
        <w:rPr>
          <w:w w:val="95"/>
        </w:rPr>
        <w:t>S.à r.l., cette dernière étant actionnaire de Casino à hauteur de 10,06% du capital) pour</w:t>
      </w:r>
      <w:r>
        <w:rPr>
          <w:spacing w:val="1"/>
          <w:w w:val="95"/>
        </w:rPr>
        <w:t> </w:t>
      </w:r>
      <w:r>
        <w:rPr/>
        <w:t>souscrire à une augmentation de capital réservée de la société Casino, Guichard-</w:t>
      </w:r>
      <w:r>
        <w:rPr>
          <w:spacing w:val="1"/>
        </w:rPr>
        <w:t> </w:t>
      </w:r>
      <w:r>
        <w:rPr>
          <w:w w:val="95"/>
        </w:rPr>
        <w:t>Perrachon</w:t>
      </w:r>
      <w:r>
        <w:rPr>
          <w:spacing w:val="-11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hauteur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750</w:t>
      </w:r>
      <w:r>
        <w:rPr>
          <w:spacing w:val="-9"/>
          <w:w w:val="95"/>
        </w:rPr>
        <w:t> </w:t>
      </w:r>
      <w:r>
        <w:rPr>
          <w:w w:val="95"/>
        </w:rPr>
        <w:t>millions</w:t>
      </w:r>
      <w:r>
        <w:rPr>
          <w:spacing w:val="-7"/>
          <w:w w:val="95"/>
        </w:rPr>
        <w:t> </w:t>
      </w:r>
      <w:r>
        <w:rPr>
          <w:w w:val="95"/>
        </w:rPr>
        <w:t>d’euros.</w:t>
      </w:r>
      <w:r>
        <w:rPr>
          <w:spacing w:val="-10"/>
          <w:w w:val="95"/>
        </w:rPr>
        <w:t> </w:t>
      </w:r>
      <w:r>
        <w:rPr>
          <w:w w:val="95"/>
        </w:rPr>
        <w:t>EP</w:t>
      </w:r>
      <w:r>
        <w:rPr>
          <w:spacing w:val="-9"/>
          <w:w w:val="95"/>
        </w:rPr>
        <w:t> </w:t>
      </w:r>
      <w:r>
        <w:rPr>
          <w:w w:val="95"/>
        </w:rPr>
        <w:t>Global</w:t>
      </w:r>
      <w:r>
        <w:rPr>
          <w:spacing w:val="-6"/>
          <w:w w:val="95"/>
        </w:rPr>
        <w:t> </w:t>
      </w:r>
      <w:r>
        <w:rPr>
          <w:w w:val="95"/>
        </w:rPr>
        <w:t>Commerce</w:t>
      </w:r>
      <w:r>
        <w:rPr>
          <w:spacing w:val="-11"/>
          <w:w w:val="95"/>
        </w:rPr>
        <w:t> </w:t>
      </w:r>
      <w:r>
        <w:rPr>
          <w:w w:val="95"/>
        </w:rPr>
        <w:t>a.s.</w:t>
      </w:r>
      <w:r>
        <w:rPr>
          <w:spacing w:val="-10"/>
          <w:w w:val="95"/>
        </w:rPr>
        <w:t> </w:t>
      </w:r>
      <w:r>
        <w:rPr>
          <w:w w:val="95"/>
        </w:rPr>
        <w:t>souhaiterait</w:t>
      </w:r>
      <w:r>
        <w:rPr>
          <w:spacing w:val="-8"/>
          <w:w w:val="95"/>
        </w:rPr>
        <w:t> </w:t>
      </w:r>
      <w:r>
        <w:rPr>
          <w:w w:val="95"/>
        </w:rPr>
        <w:t>offrir</w:t>
      </w:r>
      <w:r>
        <w:rPr>
          <w:spacing w:val="-7"/>
          <w:w w:val="95"/>
        </w:rPr>
        <w:t> </w:t>
      </w:r>
      <w:r>
        <w:rPr>
          <w:w w:val="95"/>
        </w:rPr>
        <w:t>à</w:t>
      </w:r>
      <w:r>
        <w:rPr>
          <w:spacing w:val="-72"/>
          <w:w w:val="95"/>
        </w:rPr>
        <w:t> </w:t>
      </w:r>
      <w:r>
        <w:rPr>
          <w:w w:val="95"/>
        </w:rPr>
        <w:t>Fimalac, qui est actionnaire de la société, la possibilité de souscrire à une augmentation</w:t>
      </w:r>
      <w:r>
        <w:rPr>
          <w:spacing w:val="1"/>
          <w:w w:val="95"/>
        </w:rPr>
        <w:t> </w:t>
      </w:r>
      <w:r>
        <w:rPr/>
        <w:t>de capital qui lui serait réservée, à hauteur de 150 millions d’euros. Par ailleurs, une</w:t>
      </w:r>
      <w:r>
        <w:rPr>
          <w:spacing w:val="1"/>
        </w:rPr>
        <w:t> </w:t>
      </w:r>
      <w:r>
        <w:rPr>
          <w:w w:val="95"/>
        </w:rPr>
        <w:t>augmentation de capital avec maintien du droit préférentiel de souscription serait offerte</w:t>
      </w:r>
      <w:r>
        <w:rPr>
          <w:spacing w:val="1"/>
          <w:w w:val="95"/>
        </w:rPr>
        <w:t> </w:t>
      </w:r>
      <w:r>
        <w:rPr>
          <w:w w:val="95"/>
        </w:rPr>
        <w:t>aux</w:t>
      </w:r>
      <w:r>
        <w:rPr>
          <w:spacing w:val="-13"/>
          <w:w w:val="95"/>
        </w:rPr>
        <w:t> </w:t>
      </w:r>
      <w:r>
        <w:rPr>
          <w:w w:val="95"/>
        </w:rPr>
        <w:t>actionnaires</w:t>
      </w:r>
      <w:r>
        <w:rPr>
          <w:spacing w:val="-12"/>
          <w:w w:val="95"/>
        </w:rPr>
        <w:t> </w:t>
      </w:r>
      <w:r>
        <w:rPr>
          <w:w w:val="95"/>
        </w:rPr>
        <w:t>existants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Casino,</w:t>
      </w:r>
      <w:r>
        <w:rPr>
          <w:spacing w:val="-14"/>
          <w:w w:val="95"/>
        </w:rPr>
        <w:t> </w:t>
      </w:r>
      <w:r>
        <w:rPr>
          <w:w w:val="95"/>
        </w:rPr>
        <w:t>à</w:t>
      </w:r>
      <w:r>
        <w:rPr>
          <w:spacing w:val="-12"/>
          <w:w w:val="95"/>
        </w:rPr>
        <w:t> </w:t>
      </w:r>
      <w:r>
        <w:rPr>
          <w:w w:val="95"/>
        </w:rPr>
        <w:t>hauteur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200</w:t>
      </w:r>
      <w:r>
        <w:rPr>
          <w:spacing w:val="-13"/>
          <w:w w:val="95"/>
        </w:rPr>
        <w:t> </w:t>
      </w:r>
      <w:r>
        <w:rPr>
          <w:w w:val="95"/>
        </w:rPr>
        <w:t>millions</w:t>
      </w:r>
      <w:r>
        <w:rPr>
          <w:spacing w:val="-12"/>
          <w:w w:val="95"/>
        </w:rPr>
        <w:t> </w:t>
      </w:r>
      <w:r>
        <w:rPr>
          <w:w w:val="95"/>
        </w:rPr>
        <w:t>d’euros.</w:t>
      </w:r>
    </w:p>
    <w:p>
      <w:pPr>
        <w:pStyle w:val="BodyText"/>
        <w:spacing w:line="278" w:lineRule="auto" w:before="118"/>
        <w:ind w:left="794" w:right="110"/>
        <w:jc w:val="both"/>
      </w:pPr>
      <w:r>
        <w:rPr/>
        <w:t>À</w:t>
      </w:r>
      <w:r>
        <w:rPr>
          <w:spacing w:val="-17"/>
        </w:rPr>
        <w:t> </w:t>
      </w:r>
      <w:r>
        <w:rPr/>
        <w:t>ce</w:t>
      </w:r>
      <w:r>
        <w:rPr>
          <w:spacing w:val="-13"/>
        </w:rPr>
        <w:t> </w:t>
      </w:r>
      <w:r>
        <w:rPr/>
        <w:t>stade,</w:t>
      </w:r>
      <w:r>
        <w:rPr>
          <w:spacing w:val="-17"/>
        </w:rPr>
        <w:t> </w:t>
      </w:r>
      <w:r>
        <w:rPr/>
        <w:t>le</w:t>
      </w:r>
      <w:r>
        <w:rPr>
          <w:spacing w:val="-13"/>
        </w:rPr>
        <w:t> </w:t>
      </w:r>
      <w:r>
        <w:rPr/>
        <w:t>groupe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uniquement</w:t>
      </w:r>
      <w:r>
        <w:rPr>
          <w:spacing w:val="-14"/>
        </w:rPr>
        <w:t> </w:t>
      </w:r>
      <w:r>
        <w:rPr/>
        <w:t>pris</w:t>
      </w:r>
      <w:r>
        <w:rPr>
          <w:spacing w:val="-13"/>
        </w:rPr>
        <w:t> </w:t>
      </w:r>
      <w:r>
        <w:rPr/>
        <w:t>acte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proposition.</w:t>
      </w:r>
      <w:r>
        <w:rPr>
          <w:spacing w:val="-14"/>
        </w:rPr>
        <w:t> </w:t>
      </w:r>
      <w:r>
        <w:rPr/>
        <w:t>S’il</w:t>
      </w:r>
      <w:r>
        <w:rPr>
          <w:spacing w:val="-14"/>
        </w:rPr>
        <w:t> </w:t>
      </w:r>
      <w:r>
        <w:rPr/>
        <w:t>devait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donner</w:t>
      </w:r>
      <w:r>
        <w:rPr>
          <w:spacing w:val="-15"/>
        </w:rPr>
        <w:t> </w:t>
      </w:r>
      <w:r>
        <w:rPr/>
        <w:t>une</w:t>
      </w:r>
      <w:r>
        <w:rPr>
          <w:spacing w:val="-75"/>
        </w:rPr>
        <w:t> </w:t>
      </w:r>
      <w:r>
        <w:rPr/>
        <w:t>suite favorable, la mise en œuvre des opérations proposées par EP Global Commerce</w:t>
      </w:r>
      <w:r>
        <w:rPr>
          <w:spacing w:val="-75"/>
        </w:rPr>
        <w:t> </w:t>
      </w:r>
      <w:r>
        <w:rPr/>
        <w:t>pourrait, en fonction des paramètres financiers arrêtés par les parties, conduire à un</w:t>
      </w:r>
      <w:r>
        <w:rPr>
          <w:spacing w:val="1"/>
        </w:rPr>
        <w:t> </w:t>
      </w:r>
      <w:r>
        <w:rPr/>
        <w:t>changement de contrôle de Casino et à une dilution très significative des actionnaires</w:t>
      </w:r>
      <w:r>
        <w:rPr>
          <w:spacing w:val="-75"/>
        </w:rPr>
        <w:t> </w:t>
      </w:r>
      <w:r>
        <w:rPr/>
        <w:t>existants.</w:t>
      </w:r>
    </w:p>
    <w:p>
      <w:pPr>
        <w:pStyle w:val="BodyText"/>
        <w:spacing w:line="278" w:lineRule="auto" w:before="122"/>
        <w:ind w:left="794" w:right="110"/>
        <w:jc w:val="both"/>
      </w:pPr>
      <w:r>
        <w:rPr/>
        <w:t>L’ensemble des opérations proposées par EP Global Commerce seraient notamment</w:t>
      </w:r>
      <w:r>
        <w:rPr>
          <w:spacing w:val="1"/>
        </w:rPr>
        <w:t> </w:t>
      </w:r>
      <w:r>
        <w:rPr>
          <w:w w:val="95"/>
        </w:rPr>
        <w:t>subordonnées à la réalisation des conditions suspensives suivantes : (i) réduction très</w:t>
      </w:r>
      <w:r>
        <w:rPr>
          <w:spacing w:val="1"/>
          <w:w w:val="95"/>
        </w:rPr>
        <w:t> </w:t>
      </w:r>
      <w:r>
        <w:rPr>
          <w:w w:val="95"/>
        </w:rPr>
        <w:t>substantielle de la dette brute non-sécurisée du Groupe par voie de rachat en numéraire</w:t>
      </w:r>
      <w:r>
        <w:rPr>
          <w:spacing w:val="1"/>
          <w:w w:val="95"/>
        </w:rPr>
        <w:t> </w:t>
      </w:r>
      <w:r>
        <w:rPr/>
        <w:t>et de conversion en capital, (ii) obtention des autorisations au titre du contrôle des</w:t>
      </w:r>
      <w:r>
        <w:rPr>
          <w:spacing w:val="1"/>
        </w:rPr>
        <w:t> </w:t>
      </w:r>
      <w:r>
        <w:rPr>
          <w:w w:val="95"/>
        </w:rPr>
        <w:t>concentrations, (iii) obtention des autorisations au titre du contrôle des investissements</w:t>
      </w:r>
      <w:r>
        <w:rPr>
          <w:spacing w:val="1"/>
          <w:w w:val="95"/>
        </w:rPr>
        <w:t> </w:t>
      </w:r>
      <w:r>
        <w:rPr/>
        <w:t>étrangers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France,</w:t>
      </w:r>
      <w:r>
        <w:rPr>
          <w:spacing w:val="-25"/>
        </w:rPr>
        <w:t> </w:t>
      </w:r>
      <w:r>
        <w:rPr/>
        <w:t>(iv)</w:t>
      </w:r>
      <w:r>
        <w:rPr>
          <w:spacing w:val="-26"/>
        </w:rPr>
        <w:t> </w:t>
      </w:r>
      <w:r>
        <w:rPr/>
        <w:t>obtention</w:t>
      </w:r>
      <w:r>
        <w:rPr>
          <w:spacing w:val="-24"/>
        </w:rPr>
        <w:t> </w:t>
      </w:r>
      <w:r>
        <w:rPr/>
        <w:t>d’une</w:t>
      </w:r>
      <w:r>
        <w:rPr>
          <w:spacing w:val="-25"/>
        </w:rPr>
        <w:t> </w:t>
      </w:r>
      <w:r>
        <w:rPr/>
        <w:t>dérogation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la</w:t>
      </w:r>
      <w:r>
        <w:rPr>
          <w:spacing w:val="-26"/>
        </w:rPr>
        <w:t> </w:t>
      </w:r>
      <w:r>
        <w:rPr/>
        <w:t>part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l’AMF</w:t>
      </w:r>
      <w:r>
        <w:rPr>
          <w:spacing w:val="-23"/>
        </w:rPr>
        <w:t> </w:t>
      </w:r>
      <w:r>
        <w:rPr/>
        <w:t>à</w:t>
      </w:r>
      <w:r>
        <w:rPr>
          <w:spacing w:val="-24"/>
        </w:rPr>
        <w:t> </w:t>
      </w:r>
      <w:r>
        <w:rPr/>
        <w:t>l’obligation</w:t>
      </w:r>
      <w:r>
        <w:rPr>
          <w:spacing w:val="-24"/>
        </w:rPr>
        <w:t> </w:t>
      </w:r>
      <w:r>
        <w:rPr/>
        <w:t>de</w:t>
      </w:r>
      <w:r>
        <w:rPr>
          <w:spacing w:val="-75"/>
        </w:rPr>
        <w:t> </w:t>
      </w:r>
      <w:r>
        <w:rPr>
          <w:w w:val="95"/>
        </w:rPr>
        <w:t>dépôt</w:t>
      </w:r>
      <w:r>
        <w:rPr>
          <w:spacing w:val="-10"/>
          <w:w w:val="95"/>
        </w:rPr>
        <w:t> </w:t>
      </w:r>
      <w:r>
        <w:rPr>
          <w:w w:val="95"/>
        </w:rPr>
        <w:t>d’une</w:t>
      </w:r>
      <w:r>
        <w:rPr>
          <w:spacing w:val="-8"/>
          <w:w w:val="95"/>
        </w:rPr>
        <w:t> </w:t>
      </w:r>
      <w:r>
        <w:rPr>
          <w:w w:val="95"/>
        </w:rPr>
        <w:t>offre</w:t>
      </w:r>
      <w:r>
        <w:rPr>
          <w:spacing w:val="-9"/>
          <w:w w:val="95"/>
        </w:rPr>
        <w:t> </w:t>
      </w:r>
      <w:r>
        <w:rPr>
          <w:w w:val="95"/>
        </w:rPr>
        <w:t>publique</w:t>
      </w:r>
      <w:r>
        <w:rPr>
          <w:spacing w:val="-8"/>
          <w:w w:val="95"/>
        </w:rPr>
        <w:t> </w:t>
      </w:r>
      <w:r>
        <w:rPr>
          <w:w w:val="95"/>
        </w:rPr>
        <w:t>sur</w:t>
      </w:r>
      <w:r>
        <w:rPr>
          <w:spacing w:val="-7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titres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société</w:t>
      </w:r>
      <w:r>
        <w:rPr>
          <w:spacing w:val="-8"/>
          <w:w w:val="95"/>
        </w:rPr>
        <w:t> </w:t>
      </w:r>
      <w:r>
        <w:rPr>
          <w:w w:val="95"/>
        </w:rPr>
        <w:t>sur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8"/>
          <w:w w:val="95"/>
        </w:rPr>
        <w:t> </w:t>
      </w:r>
      <w:r>
        <w:rPr>
          <w:w w:val="95"/>
        </w:rPr>
        <w:t>fondement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l’article</w:t>
      </w:r>
      <w:r>
        <w:rPr>
          <w:spacing w:val="-9"/>
          <w:w w:val="95"/>
        </w:rPr>
        <w:t> </w:t>
      </w:r>
      <w:r>
        <w:rPr>
          <w:w w:val="95"/>
        </w:rPr>
        <w:t>234-9</w:t>
      </w:r>
      <w:r>
        <w:rPr>
          <w:spacing w:val="-11"/>
          <w:w w:val="95"/>
        </w:rPr>
        <w:t> </w:t>
      </w:r>
      <w:r>
        <w:rPr>
          <w:w w:val="95"/>
        </w:rPr>
        <w:t>2°</w:t>
      </w:r>
      <w:r>
        <w:rPr>
          <w:spacing w:val="-71"/>
          <w:w w:val="95"/>
        </w:rPr>
        <w:t> </w:t>
      </w:r>
      <w:r>
        <w:rPr/>
        <w:t>du règlement général de l’AMF(souscription à l’augmentation de capital d’une société</w:t>
      </w:r>
      <w:r>
        <w:rPr>
          <w:spacing w:val="1"/>
        </w:rPr>
        <w:t> </w:t>
      </w:r>
      <w:r>
        <w:rPr>
          <w:w w:val="95"/>
        </w:rPr>
        <w:t>en situation avérée de difficulté financière soumise à l’approbation de ses actionnaires)),</w:t>
      </w:r>
      <w:r>
        <w:rPr>
          <w:spacing w:val="1"/>
          <w:w w:val="95"/>
        </w:rPr>
        <w:t> </w:t>
      </w:r>
      <w:r>
        <w:rPr>
          <w:w w:val="95"/>
        </w:rPr>
        <w:t>et (v) le cas échéant, obtention d’un waiver de la part des créanciers sécurisés relatif au</w:t>
      </w:r>
      <w:r>
        <w:rPr>
          <w:spacing w:val="1"/>
          <w:w w:val="95"/>
        </w:rPr>
        <w:t> </w:t>
      </w:r>
      <w:r>
        <w:rPr/>
        <w:t>changement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contrôle</w:t>
      </w:r>
      <w:r>
        <w:rPr>
          <w:spacing w:val="-14"/>
        </w:rPr>
        <w:t> </w:t>
      </w:r>
      <w:r>
        <w:rPr/>
        <w:t>du</w:t>
      </w:r>
      <w:r>
        <w:rPr>
          <w:spacing w:val="-13"/>
        </w:rPr>
        <w:t> </w:t>
      </w:r>
      <w:r>
        <w:rPr/>
        <w:t>Groupe.</w:t>
      </w:r>
      <w:r>
        <w:rPr>
          <w:spacing w:val="-15"/>
        </w:rPr>
        <w:t> </w:t>
      </w:r>
      <w:r>
        <w:rPr/>
        <w:t>Le</w:t>
      </w:r>
      <w:r>
        <w:rPr>
          <w:spacing w:val="-13"/>
        </w:rPr>
        <w:t> </w:t>
      </w:r>
      <w:r>
        <w:rPr/>
        <w:t>Groupe</w:t>
      </w:r>
      <w:r>
        <w:rPr>
          <w:spacing w:val="-14"/>
        </w:rPr>
        <w:t> </w:t>
      </w:r>
      <w:r>
        <w:rPr/>
        <w:t>Casino</w:t>
      </w:r>
      <w:r>
        <w:rPr>
          <w:spacing w:val="-16"/>
        </w:rPr>
        <w:t> </w:t>
      </w:r>
      <w:r>
        <w:rPr/>
        <w:t>va</w:t>
      </w:r>
      <w:r>
        <w:rPr>
          <w:spacing w:val="-14"/>
        </w:rPr>
        <w:t> </w:t>
      </w:r>
      <w:r>
        <w:rPr/>
        <w:t>analyser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EP</w:t>
      </w:r>
      <w:r>
        <w:rPr>
          <w:spacing w:val="-75"/>
        </w:rPr>
        <w:t> </w:t>
      </w:r>
      <w:r>
        <w:rPr>
          <w:w w:val="95"/>
        </w:rPr>
        <w:t>Global</w:t>
      </w:r>
      <w:r>
        <w:rPr>
          <w:spacing w:val="-1"/>
          <w:w w:val="95"/>
        </w:rPr>
        <w:t> </w:t>
      </w:r>
      <w:r>
        <w:rPr>
          <w:w w:val="95"/>
        </w:rPr>
        <w:t>Commerce a.s.</w:t>
      </w:r>
      <w:r>
        <w:rPr>
          <w:spacing w:val="-5"/>
          <w:w w:val="95"/>
        </w:rPr>
        <w:t> </w:t>
      </w:r>
      <w:r>
        <w:rPr>
          <w:w w:val="95"/>
        </w:rPr>
        <w:t>au cours</w:t>
      </w:r>
      <w:r>
        <w:rPr>
          <w:spacing w:val="1"/>
          <w:w w:val="95"/>
        </w:rPr>
        <w:t> </w:t>
      </w:r>
      <w:r>
        <w:rPr>
          <w:w w:val="95"/>
        </w:rPr>
        <w:t>des prochaines</w:t>
      </w:r>
      <w:r>
        <w:rPr>
          <w:spacing w:val="1"/>
          <w:w w:val="95"/>
        </w:rPr>
        <w:t> </w:t>
      </w:r>
      <w:r>
        <w:rPr>
          <w:w w:val="95"/>
        </w:rPr>
        <w:t>semaines,</w:t>
      </w:r>
      <w:r>
        <w:rPr>
          <w:spacing w:val="-1"/>
          <w:w w:val="95"/>
        </w:rPr>
        <w:t> </w:t>
      </w:r>
      <w:r>
        <w:rPr>
          <w:w w:val="95"/>
        </w:rPr>
        <w:t>et</w:t>
      </w:r>
      <w:r>
        <w:rPr>
          <w:spacing w:val="-1"/>
          <w:w w:val="95"/>
        </w:rPr>
        <w:t> </w:t>
      </w:r>
      <w:r>
        <w:rPr>
          <w:w w:val="95"/>
        </w:rPr>
        <w:t>poursuit</w:t>
      </w:r>
      <w:r>
        <w:rPr>
          <w:spacing w:val="-1"/>
          <w:w w:val="95"/>
        </w:rPr>
        <w:t> </w:t>
      </w:r>
      <w:r>
        <w:rPr>
          <w:w w:val="95"/>
        </w:rPr>
        <w:t>les</w:t>
      </w:r>
      <w:r>
        <w:rPr>
          <w:spacing w:val="-2"/>
          <w:w w:val="95"/>
        </w:rPr>
        <w:t> </w:t>
      </w:r>
      <w:r>
        <w:rPr>
          <w:w w:val="95"/>
        </w:rPr>
        <w:t>discussions avec</w:t>
      </w:r>
    </w:p>
    <w:p>
      <w:pPr>
        <w:pStyle w:val="BodyText"/>
        <w:spacing w:before="11"/>
        <w:rPr>
          <w:sz w:val="16"/>
        </w:rPr>
      </w:pPr>
    </w:p>
    <w:p>
      <w:pPr>
        <w:spacing w:before="10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580" w:bottom="0" w:left="480" w:right="1020"/>
        </w:sectPr>
      </w:pPr>
    </w:p>
    <w:p>
      <w:pPr>
        <w:pStyle w:val="BodyText"/>
        <w:spacing w:line="278" w:lineRule="auto" w:before="87"/>
        <w:ind w:left="794" w:right="110"/>
        <w:jc w:val="both"/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0</wp:posOffset>
            </wp:positionH>
            <wp:positionV relativeFrom="page">
              <wp:posOffset>222690</wp:posOffset>
            </wp:positionV>
            <wp:extent cx="7441564" cy="10469693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564" cy="1046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le groupe TERACT et le Groupement Les Mousquetaires. La réalisation de ces opérations</w:t>
      </w:r>
      <w:r>
        <w:rPr>
          <w:spacing w:val="1"/>
          <w:w w:val="95"/>
        </w:rPr>
        <w:t> </w:t>
      </w:r>
      <w:r>
        <w:rPr>
          <w:spacing w:val="-1"/>
        </w:rPr>
        <w:t>nécessitant</w:t>
      </w:r>
      <w:r>
        <w:rPr>
          <w:spacing w:val="-18"/>
        </w:rPr>
        <w:t> </w:t>
      </w:r>
      <w:r>
        <w:rPr>
          <w:spacing w:val="-1"/>
        </w:rPr>
        <w:t>l’approbation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certains</w:t>
      </w:r>
      <w:r>
        <w:rPr>
          <w:spacing w:val="-16"/>
        </w:rPr>
        <w:t> </w:t>
      </w:r>
      <w:r>
        <w:rPr>
          <w:spacing w:val="-1"/>
        </w:rPr>
        <w:t>créanciers</w:t>
      </w:r>
      <w:r>
        <w:rPr>
          <w:spacing w:val="-17"/>
        </w:rPr>
        <w:t> </w:t>
      </w:r>
      <w:r>
        <w:rPr/>
        <w:t>du</w:t>
      </w:r>
      <w:r>
        <w:rPr>
          <w:spacing w:val="-17"/>
        </w:rPr>
        <w:t> </w:t>
      </w:r>
      <w:r>
        <w:rPr/>
        <w:t>Groupe</w:t>
      </w:r>
      <w:r>
        <w:rPr>
          <w:spacing w:val="-17"/>
        </w:rPr>
        <w:t> </w:t>
      </w:r>
      <w:r>
        <w:rPr/>
        <w:t>Casino,</w:t>
      </w:r>
      <w:r>
        <w:rPr>
          <w:spacing w:val="-17"/>
        </w:rPr>
        <w:t> </w:t>
      </w:r>
      <w:r>
        <w:rPr/>
        <w:t>ce</w:t>
      </w:r>
      <w:r>
        <w:rPr>
          <w:spacing w:val="-17"/>
        </w:rPr>
        <w:t> </w:t>
      </w:r>
      <w:r>
        <w:rPr/>
        <w:t>dernier</w:t>
      </w:r>
      <w:r>
        <w:rPr>
          <w:spacing w:val="-17"/>
        </w:rPr>
        <w:t> </w:t>
      </w:r>
      <w:r>
        <w:rPr/>
        <w:t>souhaite,</w:t>
      </w:r>
      <w:r>
        <w:rPr>
          <w:spacing w:val="-75"/>
        </w:rPr>
        <w:t> </w:t>
      </w:r>
      <w:r>
        <w:rPr>
          <w:spacing w:val="-1"/>
        </w:rPr>
        <w:t>afin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/>
        <w:t>disposer</w:t>
      </w:r>
      <w:r>
        <w:rPr>
          <w:spacing w:val="-18"/>
        </w:rPr>
        <w:t> </w:t>
      </w:r>
      <w:r>
        <w:rPr/>
        <w:t>d’un</w:t>
      </w:r>
      <w:r>
        <w:rPr>
          <w:spacing w:val="-18"/>
        </w:rPr>
        <w:t> </w:t>
      </w:r>
      <w:r>
        <w:rPr/>
        <w:t>cadre</w:t>
      </w:r>
      <w:r>
        <w:rPr>
          <w:spacing w:val="-18"/>
        </w:rPr>
        <w:t> </w:t>
      </w:r>
      <w:r>
        <w:rPr/>
        <w:t>sécurisé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discussion,</w:t>
      </w:r>
      <w:r>
        <w:rPr>
          <w:spacing w:val="-20"/>
        </w:rPr>
        <w:t> </w:t>
      </w:r>
      <w:r>
        <w:rPr/>
        <w:t>étudier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possibilité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demander</w:t>
      </w:r>
      <w:r>
        <w:rPr>
          <w:spacing w:val="-17"/>
        </w:rPr>
        <w:t> </w:t>
      </w:r>
      <w:r>
        <w:rPr/>
        <w:t>la</w:t>
      </w:r>
      <w:r>
        <w:rPr>
          <w:spacing w:val="-75"/>
        </w:rPr>
        <w:t> </w:t>
      </w:r>
      <w:r>
        <w:rPr/>
        <w:t>nomination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conciliateurs,</w:t>
      </w:r>
      <w:r>
        <w:rPr>
          <w:spacing w:val="-6"/>
        </w:rPr>
        <w:t> </w:t>
      </w:r>
      <w:r>
        <w:rPr/>
        <w:t>ce</w:t>
      </w:r>
      <w:r>
        <w:rPr>
          <w:spacing w:val="-4"/>
        </w:rPr>
        <w:t> </w:t>
      </w:r>
      <w:r>
        <w:rPr/>
        <w:t>qui</w:t>
      </w:r>
      <w:r>
        <w:rPr>
          <w:spacing w:val="-3"/>
        </w:rPr>
        <w:t> </w:t>
      </w:r>
      <w:r>
        <w:rPr/>
        <w:t>nécessite</w:t>
      </w:r>
      <w:r>
        <w:rPr>
          <w:spacing w:val="-5"/>
        </w:rPr>
        <w:t> </w:t>
      </w:r>
      <w:r>
        <w:rPr/>
        <w:t>l’accord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certains</w:t>
      </w:r>
      <w:r>
        <w:rPr>
          <w:spacing w:val="-6"/>
        </w:rPr>
        <w:t> </w:t>
      </w:r>
      <w:r>
        <w:rPr/>
        <w:t>créanciers</w:t>
      </w:r>
      <w:r>
        <w:rPr>
          <w:spacing w:val="-4"/>
        </w:rPr>
        <w:t> </w:t>
      </w:r>
      <w:r>
        <w:rPr/>
        <w:t>bancaires</w:t>
      </w:r>
      <w:r>
        <w:rPr>
          <w:spacing w:val="-75"/>
        </w:rPr>
        <w:t> </w:t>
      </w:r>
      <w:r>
        <w:rPr>
          <w:spacing w:val="-5"/>
        </w:rPr>
        <w:t>et</w:t>
      </w:r>
      <w:r>
        <w:rPr>
          <w:spacing w:val="-18"/>
        </w:rPr>
        <w:t> </w:t>
      </w:r>
      <w:r>
        <w:rPr>
          <w:spacing w:val="-5"/>
        </w:rPr>
        <w:t>porteurs</w:t>
      </w:r>
      <w:r>
        <w:rPr>
          <w:spacing w:val="-17"/>
        </w:rPr>
        <w:t> </w:t>
      </w:r>
      <w:r>
        <w:rPr>
          <w:spacing w:val="-5"/>
        </w:rPr>
        <w:t>d’emprunts</w:t>
      </w:r>
      <w:r>
        <w:rPr>
          <w:spacing w:val="-19"/>
        </w:rPr>
        <w:t> </w:t>
      </w:r>
      <w:r>
        <w:rPr>
          <w:spacing w:val="-5"/>
        </w:rPr>
        <w:t>obligataires.</w:t>
      </w:r>
    </w:p>
    <w:p>
      <w:pPr>
        <w:pStyle w:val="BodyText"/>
        <w:spacing w:line="278" w:lineRule="auto" w:before="122"/>
        <w:ind w:left="794" w:right="112"/>
        <w:jc w:val="both"/>
      </w:pPr>
      <w:r>
        <w:rPr>
          <w:w w:val="95"/>
        </w:rPr>
        <w:t>Ainsi, Casino va solliciter l’accord de ses banques, conformément aux termes des crédits</w:t>
      </w:r>
      <w:r>
        <w:rPr>
          <w:spacing w:val="1"/>
          <w:w w:val="95"/>
        </w:rPr>
        <w:t> </w:t>
      </w:r>
      <w:r>
        <w:rPr>
          <w:w w:val="95"/>
        </w:rPr>
        <w:t>concernés (principalement, le crédit syndiqué « RCF », le </w:t>
      </w:r>
      <w:r>
        <w:rPr>
          <w:i/>
          <w:w w:val="95"/>
        </w:rPr>
        <w:t>Term Loan B</w:t>
      </w:r>
      <w:r>
        <w:rPr>
          <w:w w:val="95"/>
        </w:rPr>
        <w:t>, le RCF Monoprix</w:t>
      </w:r>
      <w:r>
        <w:rPr>
          <w:spacing w:val="1"/>
          <w:w w:val="95"/>
        </w:rPr>
        <w:t> </w:t>
      </w:r>
      <w:r>
        <w:rPr>
          <w:w w:val="95"/>
        </w:rPr>
        <w:t>Exploitation</w:t>
      </w:r>
      <w:r>
        <w:rPr>
          <w:spacing w:val="-13"/>
          <w:w w:val="95"/>
        </w:rPr>
        <w:t> </w:t>
      </w:r>
      <w:r>
        <w:rPr>
          <w:w w:val="95"/>
        </w:rPr>
        <w:t>et</w:t>
      </w:r>
      <w:r>
        <w:rPr>
          <w:spacing w:val="-12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prêt</w:t>
      </w:r>
      <w:r>
        <w:rPr>
          <w:spacing w:val="-16"/>
          <w:w w:val="95"/>
        </w:rPr>
        <w:t> </w:t>
      </w:r>
      <w:r>
        <w:rPr>
          <w:w w:val="95"/>
        </w:rPr>
        <w:t>garanti</w:t>
      </w:r>
      <w:r>
        <w:rPr>
          <w:spacing w:val="-10"/>
          <w:w w:val="95"/>
        </w:rPr>
        <w:t> </w:t>
      </w:r>
      <w:r>
        <w:rPr>
          <w:w w:val="95"/>
        </w:rPr>
        <w:t>par</w:t>
      </w:r>
      <w:r>
        <w:rPr>
          <w:spacing w:val="-12"/>
          <w:w w:val="95"/>
        </w:rPr>
        <w:t> </w:t>
      </w:r>
      <w:r>
        <w:rPr>
          <w:w w:val="95"/>
        </w:rPr>
        <w:t>l’État</w:t>
      </w:r>
      <w:r>
        <w:rPr>
          <w:spacing w:val="-12"/>
          <w:w w:val="95"/>
        </w:rPr>
        <w:t> </w:t>
      </w:r>
      <w:r>
        <w:rPr>
          <w:w w:val="95"/>
        </w:rPr>
        <w:t>à</w:t>
      </w:r>
      <w:r>
        <w:rPr>
          <w:spacing w:val="-11"/>
          <w:w w:val="95"/>
        </w:rPr>
        <w:t> </w:t>
      </w:r>
      <w:r>
        <w:rPr>
          <w:w w:val="95"/>
        </w:rPr>
        <w:t>Cdiscount)</w:t>
      </w:r>
    </w:p>
    <w:p>
      <w:pPr>
        <w:pStyle w:val="BodyText"/>
        <w:spacing w:line="278" w:lineRule="auto" w:before="118"/>
        <w:ind w:left="794" w:right="111"/>
        <w:jc w:val="both"/>
      </w:pPr>
      <w:r>
        <w:rPr>
          <w:w w:val="95"/>
        </w:rPr>
        <w:t>Par</w:t>
      </w:r>
      <w:r>
        <w:rPr>
          <w:spacing w:val="-8"/>
          <w:w w:val="95"/>
        </w:rPr>
        <w:t> </w:t>
      </w:r>
      <w:r>
        <w:rPr>
          <w:w w:val="95"/>
        </w:rPr>
        <w:t>ailleurs,</w:t>
      </w:r>
      <w:r>
        <w:rPr>
          <w:spacing w:val="-10"/>
          <w:w w:val="95"/>
        </w:rPr>
        <w:t> </w:t>
      </w:r>
      <w:r>
        <w:rPr>
          <w:w w:val="95"/>
        </w:rPr>
        <w:t>une</w:t>
      </w:r>
      <w:r>
        <w:rPr>
          <w:spacing w:val="-11"/>
          <w:w w:val="95"/>
        </w:rPr>
        <w:t> </w:t>
      </w:r>
      <w:r>
        <w:rPr>
          <w:w w:val="95"/>
        </w:rPr>
        <w:t>consultation</w:t>
      </w:r>
      <w:r>
        <w:rPr>
          <w:spacing w:val="-9"/>
          <w:w w:val="95"/>
        </w:rPr>
        <w:t> </w:t>
      </w:r>
      <w:r>
        <w:rPr>
          <w:w w:val="95"/>
        </w:rPr>
        <w:t>des</w:t>
      </w:r>
      <w:r>
        <w:rPr>
          <w:spacing w:val="-10"/>
          <w:w w:val="95"/>
        </w:rPr>
        <w:t> </w:t>
      </w:r>
      <w:r>
        <w:rPr>
          <w:w w:val="95"/>
        </w:rPr>
        <w:t>porteurs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certains</w:t>
      </w:r>
      <w:r>
        <w:rPr>
          <w:spacing w:val="-10"/>
          <w:w w:val="95"/>
        </w:rPr>
        <w:t> </w:t>
      </w:r>
      <w:r>
        <w:rPr>
          <w:w w:val="95"/>
        </w:rPr>
        <w:t>emprunts</w:t>
      </w:r>
      <w:r>
        <w:rPr>
          <w:spacing w:val="-10"/>
          <w:w w:val="95"/>
        </w:rPr>
        <w:t> </w:t>
      </w:r>
      <w:r>
        <w:rPr>
          <w:w w:val="95"/>
        </w:rPr>
        <w:t>obligataires</w:t>
      </w:r>
      <w:r>
        <w:rPr>
          <w:spacing w:val="-8"/>
          <w:w w:val="95"/>
        </w:rPr>
        <w:t> </w:t>
      </w:r>
      <w:r>
        <w:rPr>
          <w:w w:val="95"/>
        </w:rPr>
        <w:t>sera</w:t>
      </w:r>
      <w:r>
        <w:rPr>
          <w:spacing w:val="-11"/>
          <w:w w:val="95"/>
        </w:rPr>
        <w:t> </w:t>
      </w:r>
      <w:r>
        <w:rPr>
          <w:w w:val="95"/>
        </w:rPr>
        <w:t>lancée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71"/>
          <w:w w:val="95"/>
        </w:rPr>
        <w:t> </w:t>
      </w:r>
      <w:r>
        <w:rPr/>
        <w:t>24</w:t>
      </w:r>
      <w:r>
        <w:rPr>
          <w:spacing w:val="-16"/>
        </w:rPr>
        <w:t> </w:t>
      </w:r>
      <w:r>
        <w:rPr/>
        <w:t>avril</w:t>
      </w:r>
      <w:r>
        <w:rPr>
          <w:spacing w:val="-14"/>
        </w:rPr>
        <w:t> </w:t>
      </w:r>
      <w:r>
        <w:rPr/>
        <w:t>2023,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vue</w:t>
      </w:r>
      <w:r>
        <w:rPr>
          <w:spacing w:val="-15"/>
        </w:rPr>
        <w:t> </w:t>
      </w:r>
      <w:r>
        <w:rPr/>
        <w:t>d’obtenir</w:t>
      </w:r>
      <w:r>
        <w:rPr>
          <w:spacing w:val="-15"/>
        </w:rPr>
        <w:t> </w:t>
      </w:r>
      <w:r>
        <w:rPr/>
        <w:t>l’accord,</w:t>
      </w:r>
      <w:r>
        <w:rPr>
          <w:spacing w:val="-16"/>
        </w:rPr>
        <w:t> </w:t>
      </w:r>
      <w:r>
        <w:rPr/>
        <w:t>à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majorité</w:t>
      </w:r>
      <w:r>
        <w:rPr>
          <w:spacing w:val="-15"/>
        </w:rPr>
        <w:t> </w:t>
      </w:r>
      <w:r>
        <w:rPr/>
        <w:t>requise,</w:t>
      </w:r>
      <w:r>
        <w:rPr>
          <w:spacing w:val="-16"/>
        </w:rPr>
        <w:t> </w:t>
      </w:r>
      <w:r>
        <w:rPr/>
        <w:t>des</w:t>
      </w:r>
      <w:r>
        <w:rPr>
          <w:spacing w:val="-15"/>
        </w:rPr>
        <w:t> </w:t>
      </w:r>
      <w:r>
        <w:rPr/>
        <w:t>porteurs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chacune</w:t>
      </w:r>
      <w:r>
        <w:rPr>
          <w:spacing w:val="-75"/>
        </w:rPr>
        <w:t> </w:t>
      </w:r>
      <w:r>
        <w:rPr>
          <w:w w:val="95"/>
        </w:rPr>
        <w:t>des émissions obligataires concernées, afin que le groupe Casino puisse demander, s’il le</w:t>
      </w:r>
      <w:r>
        <w:rPr>
          <w:spacing w:val="1"/>
          <w:w w:val="95"/>
        </w:rPr>
        <w:t> </w:t>
      </w:r>
      <w:r>
        <w:rPr/>
        <w:t>décide,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nomination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conciliateurs</w:t>
      </w:r>
      <w:r>
        <w:rPr>
          <w:spacing w:val="-11"/>
        </w:rPr>
        <w:t> </w:t>
      </w:r>
      <w:r>
        <w:rPr/>
        <w:t>sans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cette</w:t>
      </w:r>
      <w:r>
        <w:rPr>
          <w:spacing w:val="-12"/>
        </w:rPr>
        <w:t> </w:t>
      </w:r>
      <w:r>
        <w:rPr/>
        <w:t>démarche</w:t>
      </w:r>
      <w:r>
        <w:rPr>
          <w:spacing w:val="-12"/>
        </w:rPr>
        <w:t> </w:t>
      </w:r>
      <w:r>
        <w:rPr/>
        <w:t>ne</w:t>
      </w:r>
      <w:r>
        <w:rPr>
          <w:spacing w:val="-12"/>
        </w:rPr>
        <w:t> </w:t>
      </w:r>
      <w:r>
        <w:rPr/>
        <w:t>constitue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défaut</w:t>
      </w:r>
      <w:r>
        <w:rPr>
          <w:spacing w:val="-75"/>
        </w:rPr>
        <w:t> </w:t>
      </w:r>
      <w:r>
        <w:rPr/>
        <w:t>ou</w:t>
      </w:r>
      <w:r>
        <w:rPr>
          <w:spacing w:val="-18"/>
        </w:rPr>
        <w:t> </w:t>
      </w:r>
      <w:r>
        <w:rPr/>
        <w:t>un</w:t>
      </w:r>
      <w:r>
        <w:rPr>
          <w:spacing w:val="-18"/>
        </w:rPr>
        <w:t> </w:t>
      </w:r>
      <w:r>
        <w:rPr/>
        <w:t>cas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défaut.</w:t>
      </w:r>
    </w:p>
    <w:p>
      <w:pPr>
        <w:pStyle w:val="BodyText"/>
        <w:spacing w:line="278" w:lineRule="auto" w:before="122"/>
        <w:ind w:left="794" w:right="110" w:hanging="1"/>
        <w:jc w:val="both"/>
      </w:pPr>
      <w:r>
        <w:rPr>
          <w:w w:val="95"/>
        </w:rPr>
        <w:t>Les emprunts obligataires concernés sont les suivants : emprunts obligataires émis par</w:t>
      </w:r>
      <w:r>
        <w:rPr>
          <w:spacing w:val="1"/>
          <w:w w:val="95"/>
        </w:rPr>
        <w:t> </w:t>
      </w:r>
      <w:r>
        <w:rPr>
          <w:w w:val="95"/>
        </w:rPr>
        <w:t>Casino et soumis au droit de l’état de New-York venant à maturité en 2026 (code :</w:t>
      </w:r>
      <w:r>
        <w:rPr>
          <w:spacing w:val="1"/>
          <w:w w:val="95"/>
        </w:rPr>
        <w:t> </w:t>
      </w:r>
      <w:r>
        <w:rPr>
          <w:w w:val="90"/>
        </w:rPr>
        <w:t>XS2276596538) et 2027 (code : XS2328426445) ; emprunts obligataires soumis au droit de</w:t>
      </w:r>
      <w:r>
        <w:rPr>
          <w:spacing w:val="1"/>
          <w:w w:val="90"/>
        </w:rPr>
        <w:t> </w:t>
      </w:r>
      <w:r>
        <w:rPr>
          <w:w w:val="95"/>
        </w:rPr>
        <w:t>l’état de New-York émis par Quatrim et venant à maturité en 2024 (code : Reg S</w:t>
      </w:r>
      <w:r>
        <w:rPr>
          <w:spacing w:val="1"/>
          <w:w w:val="95"/>
        </w:rPr>
        <w:t> </w:t>
      </w:r>
      <w:r>
        <w:rPr>
          <w:w w:val="85"/>
        </w:rPr>
        <w:t>XS2010039118</w:t>
      </w:r>
      <w:r>
        <w:rPr>
          <w:spacing w:val="-6"/>
          <w:w w:val="85"/>
        </w:rPr>
        <w:t> </w:t>
      </w:r>
      <w:r>
        <w:rPr>
          <w:w w:val="85"/>
        </w:rPr>
        <w:t>/</w:t>
      </w:r>
      <w:r>
        <w:rPr>
          <w:spacing w:val="-6"/>
          <w:w w:val="85"/>
        </w:rPr>
        <w:t> </w:t>
      </w:r>
      <w:r>
        <w:rPr>
          <w:w w:val="85"/>
        </w:rPr>
        <w:t>144A</w:t>
      </w:r>
      <w:r>
        <w:rPr>
          <w:spacing w:val="-11"/>
          <w:w w:val="85"/>
        </w:rPr>
        <w:t> </w:t>
      </w:r>
      <w:r>
        <w:rPr>
          <w:w w:val="85"/>
        </w:rPr>
        <w:t>XS2010038490).</w:t>
      </w:r>
    </w:p>
    <w:p>
      <w:pPr>
        <w:pStyle w:val="BodyText"/>
        <w:spacing w:line="278" w:lineRule="auto" w:before="119"/>
        <w:ind w:left="794" w:right="110"/>
        <w:jc w:val="both"/>
      </w:pPr>
      <w:r>
        <w:rPr/>
        <w:t>Les consultations des porteurs d’emprunts obligataires et des créanciers bancaires</w:t>
      </w:r>
      <w:r>
        <w:rPr>
          <w:spacing w:val="1"/>
        </w:rPr>
        <w:t> </w:t>
      </w:r>
      <w:r>
        <w:rPr>
          <w:w w:val="95"/>
        </w:rPr>
        <w:t>prendront</w:t>
      </w:r>
      <w:r>
        <w:rPr>
          <w:spacing w:val="-12"/>
          <w:w w:val="95"/>
        </w:rPr>
        <w:t> </w:t>
      </w:r>
      <w:r>
        <w:rPr>
          <w:w w:val="95"/>
        </w:rPr>
        <w:t>fin</w:t>
      </w:r>
      <w:r>
        <w:rPr>
          <w:spacing w:val="-11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19</w:t>
      </w:r>
      <w:r>
        <w:rPr>
          <w:spacing w:val="-10"/>
          <w:w w:val="95"/>
        </w:rPr>
        <w:t> </w:t>
      </w:r>
      <w:r>
        <w:rPr>
          <w:w w:val="95"/>
        </w:rPr>
        <w:t>mai</w:t>
      </w:r>
      <w:r>
        <w:rPr>
          <w:spacing w:val="-9"/>
          <w:w w:val="95"/>
        </w:rPr>
        <w:t> </w:t>
      </w:r>
      <w:r>
        <w:rPr>
          <w:w w:val="95"/>
        </w:rPr>
        <w:t>2023,dans</w:t>
      </w:r>
      <w:r>
        <w:rPr>
          <w:spacing w:val="-10"/>
          <w:w w:val="95"/>
        </w:rPr>
        <w:t> </w:t>
      </w:r>
      <w:r>
        <w:rPr>
          <w:w w:val="95"/>
        </w:rPr>
        <w:t>chaque</w:t>
      </w:r>
      <w:r>
        <w:rPr>
          <w:spacing w:val="-10"/>
          <w:w w:val="95"/>
        </w:rPr>
        <w:t> </w:t>
      </w:r>
      <w:r>
        <w:rPr>
          <w:w w:val="95"/>
        </w:rPr>
        <w:t>cas</w:t>
      </w:r>
      <w:r>
        <w:rPr>
          <w:spacing w:val="-13"/>
          <w:w w:val="95"/>
        </w:rPr>
        <w:t> </w:t>
      </w:r>
      <w:r>
        <w:rPr>
          <w:w w:val="95"/>
        </w:rPr>
        <w:t>sous</w:t>
      </w:r>
      <w:r>
        <w:rPr>
          <w:spacing w:val="-10"/>
          <w:w w:val="95"/>
        </w:rPr>
        <w:t> </w:t>
      </w:r>
      <w:r>
        <w:rPr>
          <w:w w:val="95"/>
        </w:rPr>
        <w:t>réserve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prolongation</w:t>
      </w:r>
      <w:r>
        <w:rPr>
          <w:spacing w:val="-10"/>
          <w:w w:val="95"/>
        </w:rPr>
        <w:t> </w:t>
      </w:r>
      <w:r>
        <w:rPr>
          <w:w w:val="95"/>
        </w:rPr>
        <w:t>à</w:t>
      </w:r>
      <w:r>
        <w:rPr>
          <w:spacing w:val="-11"/>
          <w:w w:val="95"/>
        </w:rPr>
        <w:t> </w:t>
      </w:r>
      <w:r>
        <w:rPr>
          <w:w w:val="95"/>
        </w:rPr>
        <w:t>l’initiative</w:t>
      </w:r>
      <w:r>
        <w:rPr>
          <w:spacing w:val="-10"/>
          <w:w w:val="95"/>
        </w:rPr>
        <w:t> </w:t>
      </w:r>
      <w:r>
        <w:rPr>
          <w:w w:val="95"/>
        </w:rPr>
        <w:t>du</w:t>
      </w:r>
      <w:r>
        <w:rPr>
          <w:spacing w:val="-71"/>
          <w:w w:val="95"/>
        </w:rPr>
        <w:t> </w:t>
      </w:r>
      <w:r>
        <w:rPr/>
        <w:t>groupe Casino. Le groupe Casino a désigné Kroll, en qualité d’agent de tabulation et</w:t>
      </w:r>
      <w:r>
        <w:rPr>
          <w:spacing w:val="1"/>
        </w:rPr>
        <w:t> </w:t>
      </w:r>
      <w:r>
        <w:rPr>
          <w:w w:val="95"/>
        </w:rPr>
        <w:t>d’information pour les besoins de cette consultation des porteurs d’emprunts obligataires</w:t>
      </w:r>
      <w:r>
        <w:rPr>
          <w:spacing w:val="1"/>
          <w:w w:val="95"/>
        </w:rPr>
        <w:t> </w:t>
      </w:r>
      <w:r>
        <w:rPr/>
        <w:t>(</w:t>
      </w:r>
      <w:hyperlink r:id="rId6">
        <w:r>
          <w:rPr>
            <w:color w:val="0000FF"/>
            <w:u w:val="single" w:color="0000FF"/>
          </w:rPr>
          <w:t>casino@is.kroll.com</w:t>
        </w:r>
      </w:hyperlink>
      <w:r>
        <w:rPr/>
        <w:t>).</w:t>
      </w:r>
    </w:p>
    <w:p>
      <w:pPr>
        <w:pStyle w:val="BodyText"/>
        <w:spacing w:line="278" w:lineRule="auto" w:before="120"/>
        <w:ind w:left="794" w:right="111"/>
        <w:jc w:val="both"/>
      </w:pPr>
      <w:r>
        <w:rPr/>
        <w:t>Le</w:t>
      </w:r>
      <w:r>
        <w:rPr>
          <w:spacing w:val="1"/>
        </w:rPr>
        <w:t> </w:t>
      </w:r>
      <w:r>
        <w:rPr/>
        <w:t>groupe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confirme</w:t>
      </w:r>
      <w:r>
        <w:rPr>
          <w:spacing w:val="1"/>
        </w:rPr>
        <w:t> </w:t>
      </w:r>
      <w:r>
        <w:rPr/>
        <w:t>qu’aucune</w:t>
      </w:r>
      <w:r>
        <w:rPr>
          <w:spacing w:val="1"/>
        </w:rPr>
        <w:t> </w:t>
      </w:r>
      <w:r>
        <w:rPr/>
        <w:t>décision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nomination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conciliateurs</w:t>
      </w:r>
      <w:r>
        <w:rPr>
          <w:spacing w:val="-16"/>
        </w:rPr>
        <w:t> </w:t>
      </w:r>
      <w:r>
        <w:rPr>
          <w:spacing w:val="-1"/>
        </w:rPr>
        <w:t>n’est</w:t>
      </w:r>
      <w:r>
        <w:rPr>
          <w:spacing w:val="-17"/>
        </w:rPr>
        <w:t> </w:t>
      </w:r>
      <w:r>
        <w:rPr/>
        <w:t>prise</w:t>
      </w:r>
      <w:r>
        <w:rPr>
          <w:spacing w:val="-16"/>
        </w:rPr>
        <w:t> </w:t>
      </w:r>
      <w:r>
        <w:rPr/>
        <w:t>à</w:t>
      </w:r>
      <w:r>
        <w:rPr>
          <w:spacing w:val="-15"/>
        </w:rPr>
        <w:t> </w:t>
      </w:r>
      <w:r>
        <w:rPr/>
        <w:t>ce</w:t>
      </w:r>
      <w:r>
        <w:rPr>
          <w:spacing w:val="-16"/>
        </w:rPr>
        <w:t> </w:t>
      </w:r>
      <w:r>
        <w:rPr/>
        <w:t>stade</w:t>
      </w:r>
      <w:r>
        <w:rPr>
          <w:spacing w:val="-16"/>
        </w:rPr>
        <w:t> </w:t>
      </w:r>
      <w:r>
        <w:rPr/>
        <w:t>et</w:t>
      </w:r>
      <w:r>
        <w:rPr>
          <w:spacing w:val="-19"/>
        </w:rPr>
        <w:t> </w:t>
      </w:r>
      <w:r>
        <w:rPr/>
        <w:t>qu’il</w:t>
      </w:r>
      <w:r>
        <w:rPr>
          <w:spacing w:val="-15"/>
        </w:rPr>
        <w:t> </w:t>
      </w:r>
      <w:r>
        <w:rPr/>
        <w:t>continue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respecter</w:t>
      </w:r>
      <w:r>
        <w:rPr>
          <w:spacing w:val="-16"/>
        </w:rPr>
        <w:t> </w:t>
      </w:r>
      <w:r>
        <w:rPr/>
        <w:t>ses</w:t>
      </w:r>
      <w:r>
        <w:rPr>
          <w:spacing w:val="-16"/>
        </w:rPr>
        <w:t> </w:t>
      </w:r>
      <w:r>
        <w:rPr/>
        <w:t>obligations</w:t>
      </w:r>
      <w:r>
        <w:rPr>
          <w:spacing w:val="-16"/>
        </w:rPr>
        <w:t> </w:t>
      </w:r>
      <w:r>
        <w:rPr/>
        <w:t>au</w:t>
      </w:r>
      <w:r>
        <w:rPr>
          <w:spacing w:val="-16"/>
        </w:rPr>
        <w:t> </w:t>
      </w:r>
      <w:r>
        <w:rPr/>
        <w:t>titre</w:t>
      </w:r>
      <w:r>
        <w:rPr>
          <w:spacing w:val="-75"/>
        </w:rPr>
        <w:t> </w:t>
      </w:r>
      <w:r>
        <w:rPr/>
        <w:t>de</w:t>
      </w:r>
      <w:r>
        <w:rPr>
          <w:spacing w:val="-18"/>
        </w:rPr>
        <w:t> </w:t>
      </w:r>
      <w:r>
        <w:rPr/>
        <w:t>ses</w:t>
      </w:r>
      <w:r>
        <w:rPr>
          <w:spacing w:val="-20"/>
        </w:rPr>
        <w:t> </w:t>
      </w:r>
      <w:r>
        <w:rPr/>
        <w:t>engagements</w:t>
      </w:r>
      <w:r>
        <w:rPr>
          <w:spacing w:val="-18"/>
        </w:rPr>
        <w:t> </w:t>
      </w:r>
      <w:r>
        <w:rPr/>
        <w:t>financiers.</w:t>
      </w:r>
    </w:p>
    <w:p>
      <w:pPr>
        <w:pStyle w:val="BodyText"/>
        <w:spacing w:line="278" w:lineRule="auto" w:before="121"/>
        <w:ind w:left="794" w:right="112"/>
        <w:jc w:val="both"/>
      </w:pPr>
      <w:r>
        <w:rPr>
          <w:w w:val="95"/>
        </w:rPr>
        <w:t>Le groupe Casino tiendra informé le marché en temps utile de l’évolution des discussions</w:t>
      </w:r>
      <w:r>
        <w:rPr>
          <w:spacing w:val="1"/>
          <w:w w:val="95"/>
        </w:rPr>
        <w:t> </w:t>
      </w:r>
      <w:r>
        <w:rPr/>
        <w:t>en lien avec TERACT, le Groupement Les Mousquetaires ainsi que, le cas échéant, la</w:t>
      </w:r>
      <w:r>
        <w:rPr>
          <w:spacing w:val="1"/>
        </w:rPr>
        <w:t> </w:t>
      </w:r>
      <w:r>
        <w:rPr/>
        <w:t>proposition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EP</w:t>
      </w:r>
      <w:r>
        <w:rPr>
          <w:spacing w:val="-19"/>
        </w:rPr>
        <w:t> </w:t>
      </w:r>
      <w:r>
        <w:rPr/>
        <w:t>Global</w:t>
      </w:r>
      <w:r>
        <w:rPr>
          <w:spacing w:val="-17"/>
        </w:rPr>
        <w:t> </w:t>
      </w:r>
      <w:r>
        <w:rPr/>
        <w:t>Commerce</w:t>
      </w:r>
      <w:r>
        <w:rPr>
          <w:spacing w:val="-17"/>
        </w:rPr>
        <w:t> </w:t>
      </w:r>
      <w:r>
        <w:rPr/>
        <w:t>a.s.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2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40"/>
          <w:pgMar w:top="1200" w:bottom="0" w:left="480" w:right="1020"/>
        </w:sectPr>
      </w:pPr>
    </w:p>
    <w:p>
      <w:pPr>
        <w:spacing w:line="278" w:lineRule="auto" w:before="87"/>
        <w:ind w:left="794" w:right="112" w:firstLine="0"/>
        <w:jc w:val="both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25888">
            <wp:simplePos x="0" y="0"/>
            <wp:positionH relativeFrom="page">
              <wp:posOffset>0</wp:posOffset>
            </wp:positionH>
            <wp:positionV relativeFrom="page">
              <wp:posOffset>222690</wp:posOffset>
            </wp:positionV>
            <wp:extent cx="7441564" cy="1046969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564" cy="1046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Ce communiqué de presse constitue, de la part de Casino, Guichard-Perrachon S.A., une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divulgation publique d'informations privilégiées au titre du règlement (UE) n° 596/2014 du 16 avril</w:t>
      </w:r>
      <w:r>
        <w:rPr>
          <w:i/>
          <w:spacing w:val="-64"/>
          <w:w w:val="95"/>
          <w:sz w:val="20"/>
        </w:rPr>
        <w:t> </w:t>
      </w:r>
      <w:r>
        <w:rPr>
          <w:i/>
          <w:w w:val="90"/>
          <w:sz w:val="20"/>
        </w:rPr>
        <w:t>2014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et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du</w:t>
      </w:r>
      <w:r>
        <w:rPr>
          <w:i/>
          <w:spacing w:val="-9"/>
          <w:w w:val="90"/>
          <w:sz w:val="20"/>
        </w:rPr>
        <w:t> </w:t>
      </w:r>
      <w:r>
        <w:rPr>
          <w:i/>
          <w:w w:val="90"/>
          <w:sz w:val="20"/>
        </w:rPr>
        <w:t>règlement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d'exécution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(UE)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n°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2016/1055</w:t>
      </w:r>
      <w:r>
        <w:rPr>
          <w:i/>
          <w:spacing w:val="-7"/>
          <w:w w:val="90"/>
          <w:sz w:val="20"/>
        </w:rPr>
        <w:t> </w:t>
      </w:r>
      <w:r>
        <w:rPr>
          <w:i/>
          <w:w w:val="90"/>
          <w:sz w:val="20"/>
        </w:rPr>
        <w:t>du</w:t>
      </w:r>
      <w:r>
        <w:rPr>
          <w:i/>
          <w:spacing w:val="-8"/>
          <w:w w:val="90"/>
          <w:sz w:val="20"/>
        </w:rPr>
        <w:t> </w:t>
      </w:r>
      <w:r>
        <w:rPr>
          <w:i/>
          <w:w w:val="90"/>
          <w:sz w:val="20"/>
        </w:rPr>
        <w:t>10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juin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2016.</w:t>
      </w:r>
    </w:p>
    <w:p>
      <w:pPr>
        <w:pStyle w:val="BodyText"/>
        <w:spacing w:before="1"/>
        <w:rPr>
          <w:i/>
          <w:sz w:val="23"/>
        </w:rPr>
      </w:pPr>
    </w:p>
    <w:p>
      <w:pPr>
        <w:spacing w:before="0"/>
        <w:ind w:left="794" w:right="0" w:firstLine="0"/>
        <w:jc w:val="both"/>
        <w:rPr>
          <w:b/>
          <w:i/>
          <w:sz w:val="20"/>
        </w:rPr>
      </w:pPr>
      <w:r>
        <w:rPr>
          <w:b/>
          <w:i/>
          <w:w w:val="85"/>
          <w:sz w:val="20"/>
        </w:rPr>
        <w:t>Déclarations</w:t>
      </w:r>
      <w:r>
        <w:rPr>
          <w:b/>
          <w:i/>
          <w:spacing w:val="10"/>
          <w:w w:val="85"/>
          <w:sz w:val="20"/>
        </w:rPr>
        <w:t> </w:t>
      </w:r>
      <w:r>
        <w:rPr>
          <w:b/>
          <w:i/>
          <w:w w:val="85"/>
          <w:sz w:val="20"/>
        </w:rPr>
        <w:t>prospectives</w:t>
      </w:r>
    </w:p>
    <w:p>
      <w:pPr>
        <w:spacing w:line="278" w:lineRule="auto" w:before="42"/>
        <w:ind w:left="794" w:right="110" w:firstLine="0"/>
        <w:jc w:val="both"/>
        <w:rPr>
          <w:sz w:val="20"/>
        </w:rPr>
      </w:pPr>
      <w:r>
        <w:rPr>
          <w:sz w:val="20"/>
        </w:rPr>
        <w:t>Ce communiqué de presse peut contenir des déclarations prospectives. Ces déclarations</w:t>
      </w:r>
      <w:r>
        <w:rPr>
          <w:spacing w:val="1"/>
          <w:sz w:val="20"/>
        </w:rPr>
        <w:t> </w:t>
      </w:r>
      <w:r>
        <w:rPr>
          <w:sz w:val="20"/>
        </w:rPr>
        <w:t>prospectives peuvent être identifiées à l’aide de la terminologie prospective, notamment les</w:t>
      </w:r>
      <w:r>
        <w:rPr>
          <w:spacing w:val="1"/>
          <w:sz w:val="20"/>
        </w:rPr>
        <w:t> </w:t>
      </w:r>
      <w:r>
        <w:rPr>
          <w:w w:val="90"/>
          <w:sz w:val="20"/>
        </w:rPr>
        <w:t>termes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«croire»,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«s’attendre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à»,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«anticiper»,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«peut»,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«présumer»,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«planifier»,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«avoir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l’intention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de»,</w:t>
      </w:r>
    </w:p>
    <w:p>
      <w:pPr>
        <w:spacing w:line="278" w:lineRule="auto" w:before="0"/>
        <w:ind w:left="794" w:right="109" w:firstLine="0"/>
        <w:jc w:val="both"/>
        <w:rPr>
          <w:sz w:val="20"/>
        </w:rPr>
      </w:pPr>
      <w:r>
        <w:rPr>
          <w:w w:val="90"/>
          <w:sz w:val="20"/>
        </w:rPr>
        <w:t>«sera», «devrait», «estimation», «risque» et/ou, dans chaque cas, leur contraire, ou d’autres variantes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ou terminologie comparable. Ces déclarations prospectives comprennent tout sujet qui ne porte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sur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faits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historiques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incluent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déclarations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relatives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aux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intentions,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aux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convictions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ou</w:t>
      </w:r>
      <w:r>
        <w:rPr>
          <w:spacing w:val="-64"/>
          <w:w w:val="95"/>
          <w:sz w:val="20"/>
        </w:rPr>
        <w:t> </w:t>
      </w:r>
      <w:r>
        <w:rPr>
          <w:sz w:val="20"/>
        </w:rPr>
        <w:t>aux attentes actuelles du Groupe, notamment en ce qui concerne les plans, les objectifs, les</w:t>
      </w:r>
      <w:r>
        <w:rPr>
          <w:spacing w:val="1"/>
          <w:sz w:val="20"/>
        </w:rPr>
        <w:t> </w:t>
      </w:r>
      <w:r>
        <w:rPr>
          <w:w w:val="95"/>
          <w:sz w:val="20"/>
        </w:rPr>
        <w:t>hypothèses, les attentes, les perspectives et prévisions du Groupe, et des déclarations concernant</w:t>
      </w:r>
      <w:r>
        <w:rPr>
          <w:spacing w:val="1"/>
          <w:w w:val="95"/>
          <w:sz w:val="20"/>
        </w:rPr>
        <w:t> </w:t>
      </w:r>
      <w:r>
        <w:rPr>
          <w:sz w:val="20"/>
        </w:rPr>
        <w:t>d’autres événements ou perspectives futurs. De par leur nature, les déclarations prospectives</w:t>
      </w:r>
      <w:r>
        <w:rPr>
          <w:spacing w:val="-68"/>
          <w:sz w:val="20"/>
        </w:rPr>
        <w:t> </w:t>
      </w:r>
      <w:r>
        <w:rPr>
          <w:w w:val="95"/>
          <w:sz w:val="20"/>
        </w:rPr>
        <w:t>impliquent des risques et des incertitudes car elles concernent des événements et dépendent 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circonstances susceptibles de survenir ou non à l'avenir. Les déclarations prospectives reflètent les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attentes, intentions ou prévisions actuelles du Group concernant des événements futurs, fondées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sur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informations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actuellement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disponibles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et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hypothèses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formulées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par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Groupe.</w:t>
      </w:r>
    </w:p>
    <w:p>
      <w:pPr>
        <w:pStyle w:val="BodyText"/>
        <w:spacing w:before="4"/>
        <w:rPr>
          <w:sz w:val="23"/>
        </w:rPr>
      </w:pPr>
    </w:p>
    <w:p>
      <w:pPr>
        <w:spacing w:line="278" w:lineRule="auto" w:before="0"/>
        <w:ind w:left="794" w:right="109" w:firstLine="0"/>
        <w:jc w:val="both"/>
        <w:rPr>
          <w:sz w:val="20"/>
        </w:rPr>
      </w:pP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déclarations</w:t>
      </w:r>
      <w:r>
        <w:rPr>
          <w:spacing w:val="-9"/>
          <w:sz w:val="20"/>
        </w:rPr>
        <w:t> </w:t>
      </w:r>
      <w:r>
        <w:rPr>
          <w:sz w:val="20"/>
        </w:rPr>
        <w:t>prospectives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8"/>
          <w:sz w:val="20"/>
        </w:rPr>
        <w:t> </w:t>
      </w:r>
      <w:r>
        <w:rPr>
          <w:sz w:val="20"/>
        </w:rPr>
        <w:t>les</w:t>
      </w:r>
      <w:r>
        <w:rPr>
          <w:spacing w:val="-8"/>
          <w:sz w:val="20"/>
        </w:rPr>
        <w:t> </w:t>
      </w:r>
      <w:r>
        <w:rPr>
          <w:sz w:val="20"/>
        </w:rPr>
        <w:t>informations</w:t>
      </w:r>
      <w:r>
        <w:rPr>
          <w:spacing w:val="-11"/>
          <w:sz w:val="20"/>
        </w:rPr>
        <w:t> </w:t>
      </w:r>
      <w:r>
        <w:rPr>
          <w:sz w:val="20"/>
        </w:rPr>
        <w:t>contenues</w:t>
      </w:r>
      <w:r>
        <w:rPr>
          <w:spacing w:val="-8"/>
          <w:sz w:val="20"/>
        </w:rPr>
        <w:t> </w:t>
      </w:r>
      <w:r>
        <w:rPr>
          <w:sz w:val="20"/>
        </w:rPr>
        <w:t>dans</w:t>
      </w:r>
      <w:r>
        <w:rPr>
          <w:spacing w:val="-9"/>
          <w:sz w:val="20"/>
        </w:rPr>
        <w:t> </w:t>
      </w:r>
      <w:r>
        <w:rPr>
          <w:sz w:val="20"/>
        </w:rPr>
        <w:t>cette</w:t>
      </w:r>
      <w:r>
        <w:rPr>
          <w:spacing w:val="-12"/>
          <w:sz w:val="20"/>
        </w:rPr>
        <w:t> </w:t>
      </w:r>
      <w:r>
        <w:rPr>
          <w:sz w:val="20"/>
        </w:rPr>
        <w:t>annonce</w:t>
      </w:r>
      <w:r>
        <w:rPr>
          <w:spacing w:val="-8"/>
          <w:sz w:val="20"/>
        </w:rPr>
        <w:t> </w:t>
      </w:r>
      <w:r>
        <w:rPr>
          <w:sz w:val="20"/>
        </w:rPr>
        <w:t>sont</w:t>
      </w:r>
      <w:r>
        <w:rPr>
          <w:spacing w:val="-6"/>
          <w:sz w:val="20"/>
        </w:rPr>
        <w:t> </w:t>
      </w:r>
      <w:r>
        <w:rPr>
          <w:sz w:val="20"/>
        </w:rPr>
        <w:t>faites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8"/>
          <w:sz w:val="20"/>
        </w:rPr>
        <w:t> </w:t>
      </w:r>
      <w:r>
        <w:rPr>
          <w:sz w:val="20"/>
        </w:rPr>
        <w:t>date</w:t>
      </w:r>
      <w:r>
        <w:rPr>
          <w:spacing w:val="-9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présentes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7"/>
          <w:sz w:val="20"/>
        </w:rPr>
        <w:t> </w:t>
      </w:r>
      <w:r>
        <w:rPr>
          <w:sz w:val="20"/>
        </w:rPr>
        <w:t>le</w:t>
      </w:r>
      <w:r>
        <w:rPr>
          <w:spacing w:val="-8"/>
          <w:sz w:val="20"/>
        </w:rPr>
        <w:t> </w:t>
      </w:r>
      <w:r>
        <w:rPr>
          <w:sz w:val="20"/>
        </w:rPr>
        <w:t>Groupe</w:t>
      </w:r>
      <w:r>
        <w:rPr>
          <w:spacing w:val="-8"/>
          <w:sz w:val="20"/>
        </w:rPr>
        <w:t> </w:t>
      </w:r>
      <w:r>
        <w:rPr>
          <w:sz w:val="20"/>
        </w:rPr>
        <w:t>n’assume</w:t>
      </w:r>
      <w:r>
        <w:rPr>
          <w:spacing w:val="-8"/>
          <w:sz w:val="20"/>
        </w:rPr>
        <w:t> </w:t>
      </w:r>
      <w:r>
        <w:rPr>
          <w:sz w:val="20"/>
        </w:rPr>
        <w:t>aucune</w:t>
      </w:r>
      <w:r>
        <w:rPr>
          <w:spacing w:val="-8"/>
          <w:sz w:val="20"/>
        </w:rPr>
        <w:t> </w:t>
      </w:r>
      <w:r>
        <w:rPr>
          <w:sz w:val="20"/>
        </w:rPr>
        <w:t>obligation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mettre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8"/>
          <w:sz w:val="20"/>
        </w:rPr>
        <w:t> </w:t>
      </w:r>
      <w:r>
        <w:rPr>
          <w:sz w:val="20"/>
        </w:rPr>
        <w:t>jour</w:t>
      </w:r>
      <w:r>
        <w:rPr>
          <w:spacing w:val="-9"/>
          <w:sz w:val="20"/>
        </w:rPr>
        <w:t> </w:t>
      </w:r>
      <w:r>
        <w:rPr>
          <w:sz w:val="20"/>
        </w:rPr>
        <w:t>publiquement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8"/>
          <w:sz w:val="20"/>
        </w:rPr>
        <w:t> </w:t>
      </w:r>
      <w:r>
        <w:rPr>
          <w:sz w:val="20"/>
        </w:rPr>
        <w:t>de réviser toute déclaration ou information prospective, que ce soit à la suite de nouvelles</w:t>
      </w:r>
      <w:r>
        <w:rPr>
          <w:spacing w:val="1"/>
          <w:sz w:val="20"/>
        </w:rPr>
        <w:t> </w:t>
      </w:r>
      <w:r>
        <w:rPr>
          <w:w w:val="95"/>
          <w:sz w:val="20"/>
        </w:rPr>
        <w:t>informations, d'événements futurs ou de toute autre manière, sauf si requis par la loi. Toutes les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déclarations prospectives ultérieures, écrites ou orales, attribuables au Groupe ou à des personnes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agissant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au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nom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du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Groupe,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compris,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mais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sans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s'y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limiter,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communiqués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presse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(y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compris</w:t>
      </w:r>
      <w:r>
        <w:rPr>
          <w:spacing w:val="-64"/>
          <w:w w:val="95"/>
          <w:sz w:val="20"/>
        </w:rPr>
        <w:t> </w:t>
      </w:r>
      <w:r>
        <w:rPr>
          <w:sz w:val="20"/>
        </w:rPr>
        <w:t>sur le site web du Groupe), les rapports et autres communications, sont expressément et</w:t>
      </w:r>
      <w:r>
        <w:rPr>
          <w:spacing w:val="1"/>
          <w:sz w:val="20"/>
        </w:rPr>
        <w:t> </w:t>
      </w:r>
      <w:r>
        <w:rPr>
          <w:w w:val="95"/>
          <w:sz w:val="20"/>
        </w:rPr>
        <w:t>intégralement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couvertes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par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mises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garde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contenues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dans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présent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communiqué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presse.</w:t>
      </w:r>
    </w:p>
    <w:p>
      <w:pPr>
        <w:pStyle w:val="BodyText"/>
        <w:spacing w:before="10"/>
      </w:pPr>
    </w:p>
    <w:p>
      <w:pPr>
        <w:spacing w:line="242" w:lineRule="auto" w:before="0"/>
        <w:ind w:left="794" w:right="110" w:firstLine="0"/>
        <w:jc w:val="both"/>
        <w:rPr>
          <w:i/>
          <w:sz w:val="16"/>
        </w:rPr>
      </w:pPr>
      <w:r>
        <w:rPr>
          <w:i/>
          <w:w w:val="95"/>
          <w:sz w:val="16"/>
        </w:rPr>
        <w:t>En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application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du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règlement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d'exécution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(UE)</w:t>
      </w:r>
      <w:r>
        <w:rPr>
          <w:i/>
          <w:spacing w:val="-15"/>
          <w:w w:val="95"/>
          <w:sz w:val="16"/>
        </w:rPr>
        <w:t> </w:t>
      </w:r>
      <w:r>
        <w:rPr>
          <w:i/>
          <w:w w:val="95"/>
          <w:sz w:val="16"/>
        </w:rPr>
        <w:t>2016/1055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la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Commission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Européenne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du</w:t>
      </w:r>
      <w:r>
        <w:rPr>
          <w:i/>
          <w:spacing w:val="-8"/>
          <w:w w:val="95"/>
          <w:sz w:val="16"/>
        </w:rPr>
        <w:t> </w:t>
      </w:r>
      <w:r>
        <w:rPr>
          <w:i/>
          <w:w w:val="95"/>
          <w:sz w:val="16"/>
        </w:rPr>
        <w:t>29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juin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2016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relatif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aux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modalités</w:t>
      </w:r>
      <w:r>
        <w:rPr>
          <w:i/>
          <w:spacing w:val="1"/>
          <w:w w:val="95"/>
          <w:sz w:val="16"/>
        </w:rPr>
        <w:t> </w:t>
      </w:r>
      <w:r>
        <w:rPr>
          <w:i/>
          <w:w w:val="95"/>
          <w:sz w:val="16"/>
        </w:rPr>
        <w:t>techniques de publication et de report des informations privilégiées, le présent communiqué de presse a été communiqué</w:t>
      </w:r>
      <w:r>
        <w:rPr>
          <w:i/>
          <w:spacing w:val="1"/>
          <w:w w:val="95"/>
          <w:sz w:val="16"/>
        </w:rPr>
        <w:t> </w:t>
      </w:r>
      <w:r>
        <w:rPr>
          <w:i/>
          <w:w w:val="95"/>
          <w:sz w:val="16"/>
        </w:rPr>
        <w:t>au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diffuseur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agréé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Casino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pour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diffusion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le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24</w:t>
      </w:r>
      <w:r>
        <w:rPr>
          <w:i/>
          <w:spacing w:val="-12"/>
          <w:w w:val="95"/>
          <w:sz w:val="16"/>
        </w:rPr>
        <w:t> </w:t>
      </w:r>
      <w:r>
        <w:rPr>
          <w:i/>
          <w:w w:val="95"/>
          <w:sz w:val="16"/>
        </w:rPr>
        <w:t>avril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2023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à</w:t>
      </w:r>
      <w:r>
        <w:rPr>
          <w:i/>
          <w:spacing w:val="-8"/>
          <w:w w:val="95"/>
          <w:sz w:val="16"/>
        </w:rPr>
        <w:t> </w:t>
      </w:r>
      <w:r>
        <w:rPr>
          <w:i/>
          <w:w w:val="95"/>
          <w:sz w:val="16"/>
        </w:rPr>
        <w:t>7h45,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heure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Paris.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2"/>
        <w:spacing w:before="148"/>
      </w:pPr>
      <w:r>
        <w:rPr>
          <w:color w:val="6460A9"/>
        </w:rPr>
        <w:t>CONTACTS ANALYSTES</w:t>
      </w:r>
      <w:r>
        <w:rPr>
          <w:color w:val="6460A9"/>
          <w:spacing w:val="-4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6"/>
        <w:ind w:left="2966" w:right="2996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pacing w:val="15"/>
          <w:w w:val="85"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pacing w:val="13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Tél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64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-57"/>
          <w:w w:val="85"/>
          <w:sz w:val="20"/>
        </w:rPr>
        <w:t> </w:t>
      </w:r>
      <w:hyperlink r:id="rId7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4"/>
        <w:ind w:left="229" w:right="25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41"/>
        <w:ind w:left="230" w:right="259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228" w:right="259" w:firstLine="0"/>
        <w:jc w:val="center"/>
        <w:rPr>
          <w:sz w:val="20"/>
        </w:rPr>
      </w:pPr>
      <w:hyperlink r:id="rId8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  <w:u w:val="single"/>
          </w:rPr>
          <w:t>R</w:t>
        </w:r>
        <w:r>
          <w:rPr>
            <w:spacing w:val="1"/>
            <w:w w:val="78"/>
            <w:sz w:val="20"/>
            <w:u w:val="single"/>
          </w:rPr>
          <w:t>_</w:t>
        </w:r>
        <w:r>
          <w:rPr>
            <w:spacing w:val="-2"/>
            <w:w w:val="115"/>
            <w:sz w:val="20"/>
            <w:u w:val="single"/>
          </w:rPr>
          <w:t>C</w:t>
        </w:r>
        <w:r>
          <w:rPr>
            <w:w w:val="113"/>
            <w:sz w:val="20"/>
            <w:u w:val="single"/>
          </w:rPr>
          <w:t>a</w:t>
        </w:r>
        <w:r>
          <w:rPr>
            <w:spacing w:val="-1"/>
            <w:w w:val="74"/>
            <w:sz w:val="20"/>
            <w:u w:val="single"/>
          </w:rPr>
          <w:t>s</w:t>
        </w:r>
        <w:r>
          <w:rPr>
            <w:w w:val="88"/>
            <w:sz w:val="20"/>
            <w:u w:val="single"/>
          </w:rPr>
          <w:t>in</w:t>
        </w:r>
        <w:r>
          <w:rPr>
            <w:spacing w:val="-1"/>
            <w:w w:val="107"/>
            <w:sz w:val="20"/>
            <w:u w:val="single"/>
          </w:rPr>
          <w:t>o</w:t>
        </w:r>
        <w:r>
          <w:rPr>
            <w:w w:val="86"/>
            <w:sz w:val="20"/>
            <w:u w:val="single"/>
          </w:rPr>
          <w:t>@</w:t>
        </w:r>
        <w:r>
          <w:rPr>
            <w:w w:val="107"/>
            <w:sz w:val="20"/>
            <w:u w:val="single"/>
          </w:rPr>
          <w:t>g</w:t>
        </w:r>
        <w:r>
          <w:rPr>
            <w:w w:val="70"/>
            <w:sz w:val="20"/>
            <w:u w:val="single"/>
          </w:rPr>
          <w:t>r</w:t>
        </w:r>
        <w:r>
          <w:rPr>
            <w:spacing w:val="1"/>
            <w:w w:val="107"/>
            <w:sz w:val="20"/>
            <w:u w:val="single"/>
          </w:rPr>
          <w:t>o</w:t>
        </w:r>
        <w:r>
          <w:rPr>
            <w:spacing w:val="-2"/>
            <w:w w:val="95"/>
            <w:sz w:val="20"/>
            <w:u w:val="single"/>
          </w:rPr>
          <w:t>u</w:t>
        </w:r>
        <w:r>
          <w:rPr>
            <w:w w:val="108"/>
            <w:sz w:val="20"/>
            <w:u w:val="single"/>
          </w:rPr>
          <w:t>pe</w:t>
        </w:r>
        <w:r>
          <w:rPr>
            <w:w w:val="72"/>
            <w:sz w:val="20"/>
            <w:u w:val="single"/>
          </w:rPr>
          <w:t>-</w:t>
        </w:r>
        <w:r>
          <w:rPr>
            <w:w w:val="104"/>
            <w:sz w:val="20"/>
            <w:u w:val="single"/>
          </w:rPr>
          <w:t>ca</w:t>
        </w:r>
        <w:r>
          <w:rPr>
            <w:spacing w:val="-1"/>
            <w:w w:val="104"/>
            <w:sz w:val="20"/>
            <w:u w:val="single"/>
          </w:rPr>
          <w:t>s</w:t>
        </w:r>
        <w:r>
          <w:rPr>
            <w:w w:val="72"/>
            <w:sz w:val="20"/>
            <w:u w:val="single"/>
          </w:rPr>
          <w:t>i</w:t>
        </w:r>
        <w:r>
          <w:rPr>
            <w:w w:val="101"/>
            <w:sz w:val="20"/>
            <w:u w:val="single"/>
          </w:rPr>
          <w:t>n</w:t>
        </w:r>
        <w:r>
          <w:rPr>
            <w:spacing w:val="1"/>
            <w:w w:val="101"/>
            <w:sz w:val="20"/>
            <w:u w:val="single"/>
          </w:rPr>
          <w:t>o</w:t>
        </w:r>
        <w:r>
          <w:rPr>
            <w:spacing w:val="-3"/>
            <w:w w:val="75"/>
            <w:sz w:val="20"/>
            <w:u w:val="single"/>
          </w:rPr>
          <w:t>.</w:t>
        </w:r>
        <w:r>
          <w:rPr>
            <w:spacing w:val="-1"/>
            <w:w w:val="88"/>
            <w:sz w:val="20"/>
            <w:u w:val="single"/>
          </w:rPr>
          <w:t>f</w:t>
        </w:r>
        <w:r>
          <w:rPr>
            <w:w w:val="70"/>
            <w:sz w:val="20"/>
            <w:u w:val="single"/>
          </w:rPr>
          <w:t>r</w:t>
        </w:r>
      </w:hyperlink>
    </w:p>
    <w:p>
      <w:pPr>
        <w:pStyle w:val="BodyText"/>
        <w:spacing w:before="9"/>
        <w:rPr>
          <w:sz w:val="17"/>
        </w:rPr>
      </w:pPr>
    </w:p>
    <w:p>
      <w:pPr>
        <w:pStyle w:val="Heading2"/>
        <w:ind w:left="241"/>
      </w:pPr>
      <w:r>
        <w:rPr>
          <w:color w:val="6460A9"/>
          <w:spacing w:val="-9"/>
        </w:rPr>
        <w:t>CONTACTS</w:t>
      </w:r>
      <w:r>
        <w:rPr>
          <w:color w:val="6460A9"/>
          <w:spacing w:val="-18"/>
        </w:rPr>
        <w:t> </w:t>
      </w:r>
      <w:r>
        <w:rPr>
          <w:color w:val="6460A9"/>
          <w:spacing w:val="-9"/>
        </w:rPr>
        <w:t>PRESSE</w:t>
      </w:r>
    </w:p>
    <w:p>
      <w:pPr>
        <w:spacing w:before="8"/>
        <w:ind w:left="228" w:right="259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Groupe</w:t>
      </w:r>
      <w:r>
        <w:rPr>
          <w:rFonts w:ascii="Tahoma" w:hAnsi="Tahoma"/>
          <w:b/>
          <w:spacing w:val="18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Casino</w:t>
      </w:r>
      <w:r>
        <w:rPr>
          <w:rFonts w:ascii="Tahoma" w:hAnsi="Tahoma"/>
          <w:b/>
          <w:spacing w:val="1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–</w:t>
      </w:r>
      <w:r>
        <w:rPr>
          <w:rFonts w:ascii="Tahoma" w:hAnsi="Tahoma"/>
          <w:b/>
          <w:spacing w:val="21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Direction</w:t>
      </w:r>
      <w:r>
        <w:rPr>
          <w:rFonts w:ascii="Tahoma" w:hAnsi="Tahoma"/>
          <w:b/>
          <w:spacing w:val="2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de</w:t>
      </w:r>
      <w:r>
        <w:rPr>
          <w:rFonts w:ascii="Tahoma" w:hAnsi="Tahoma"/>
          <w:b/>
          <w:spacing w:val="1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la</w:t>
      </w:r>
      <w:r>
        <w:rPr>
          <w:rFonts w:ascii="Tahoma" w:hAnsi="Tahoma"/>
          <w:b/>
          <w:spacing w:val="20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Communication</w:t>
      </w:r>
    </w:p>
    <w:p>
      <w:pPr>
        <w:spacing w:before="2"/>
        <w:ind w:left="229" w:right="259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hyperlink r:id="rId9">
        <w:r>
          <w:rPr>
            <w:w w:val="90"/>
            <w:sz w:val="20"/>
          </w:rPr>
          <w:t>sabadie@groupe-casino.fr</w:t>
        </w:r>
        <w:r>
          <w:rPr>
            <w:spacing w:val="12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3"/>
        <w:ind w:left="230" w:right="25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3"/>
        <w:ind w:left="228" w:right="25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0"/>
          <w:w w:val="95"/>
          <w:sz w:val="20"/>
        </w:rPr>
        <w:t> </w:t>
      </w:r>
      <w:hyperlink r:id="rId10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3"/>
        <w:rPr>
          <w:sz w:val="12"/>
        </w:rPr>
      </w:pPr>
    </w:p>
    <w:p>
      <w:pPr>
        <w:spacing w:before="101"/>
        <w:ind w:left="229" w:right="25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2"/>
        <w:ind w:left="229" w:right="259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230" w:right="259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9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5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10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3</w:t>
      </w:r>
    </w:p>
    <w:sectPr>
      <w:pgSz w:w="11910" w:h="16840"/>
      <w:pgMar w:top="1200" w:bottom="0" w:left="4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909" w:right="259"/>
      <w:jc w:val="center"/>
      <w:outlineLvl w:val="1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229" w:right="259"/>
      <w:jc w:val="center"/>
      <w:outlineLvl w:val="2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sino@is.kroll.com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Rosquet, Loïc</dc:creator>
  <dcterms:created xsi:type="dcterms:W3CDTF">2023-12-07T10:11:36Z</dcterms:created>
  <dcterms:modified xsi:type="dcterms:W3CDTF">2023-12-07T10:11:36Z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</Properties>
</file>