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9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721359</wp:posOffset>
            </wp:positionH>
            <wp:positionV relativeFrom="page">
              <wp:posOffset>214912</wp:posOffset>
            </wp:positionV>
            <wp:extent cx="6837045" cy="1047747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047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475615</wp:posOffset>
                </wp:positionH>
                <wp:positionV relativeFrom="page">
                  <wp:posOffset>828674</wp:posOffset>
                </wp:positionV>
                <wp:extent cx="6581775" cy="90462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904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9046210">
                              <a:moveTo>
                                <a:pt x="0" y="9046210"/>
                              </a:moveTo>
                              <a:lnTo>
                                <a:pt x="6581775" y="9046210"/>
                              </a:lnTo>
                              <a:lnTo>
                                <a:pt x="6581775" y="0"/>
                              </a:lnTo>
                              <a:lnTo>
                                <a:pt x="0" y="0"/>
                              </a:lnTo>
                              <a:lnTo>
                                <a:pt x="0" y="904621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50001pt;margin-top:65.249985pt;width:518.25pt;height:712.3pt;mso-position-horizontal-relative:page;mso-position-vertical-relative:page;z-index:-15776768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</w:p>
    <w:p>
      <w:pPr>
        <w:pStyle w:val="Title"/>
      </w:pPr>
      <w:r>
        <w:rPr>
          <w:color w:val="6460A9"/>
        </w:rPr>
        <w:t>Point</w:t>
      </w:r>
      <w:r>
        <w:rPr>
          <w:color w:val="6460A9"/>
          <w:spacing w:val="-3"/>
        </w:rPr>
        <w:t> </w:t>
      </w:r>
      <w:r>
        <w:rPr>
          <w:color w:val="6460A9"/>
        </w:rPr>
        <w:t>sur</w:t>
      </w:r>
      <w:r>
        <w:rPr>
          <w:color w:val="6460A9"/>
          <w:spacing w:val="-5"/>
        </w:rPr>
        <w:t> </w:t>
      </w:r>
      <w:r>
        <w:rPr>
          <w:color w:val="6460A9"/>
        </w:rPr>
        <w:t>les</w:t>
      </w:r>
      <w:r>
        <w:rPr>
          <w:color w:val="6460A9"/>
          <w:spacing w:val="-2"/>
        </w:rPr>
        <w:t> </w:t>
      </w:r>
      <w:r>
        <w:rPr>
          <w:color w:val="6460A9"/>
        </w:rPr>
        <w:t>demandes</w:t>
      </w:r>
      <w:r>
        <w:rPr>
          <w:color w:val="6460A9"/>
          <w:spacing w:val="-3"/>
        </w:rPr>
        <w:t> </w:t>
      </w:r>
      <w:r>
        <w:rPr>
          <w:color w:val="6460A9"/>
        </w:rPr>
        <w:t>des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conciliateurs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73"/>
        <w:rPr>
          <w:rFonts w:ascii="Arial"/>
          <w:b/>
          <w:sz w:val="28"/>
        </w:rPr>
      </w:pPr>
    </w:p>
    <w:p>
      <w:pPr>
        <w:pStyle w:val="BodyText"/>
        <w:ind w:left="432"/>
        <w:jc w:val="both"/>
      </w:pPr>
      <w:r>
        <w:rPr>
          <w:w w:val="85"/>
        </w:rPr>
        <w:t>Paris,</w:t>
      </w:r>
      <w:r>
        <w:rPr>
          <w:spacing w:val="-9"/>
        </w:rPr>
        <w:t> </w:t>
      </w:r>
      <w:r>
        <w:rPr>
          <w:w w:val="85"/>
        </w:rPr>
        <w:t>le</w:t>
      </w:r>
      <w:r>
        <w:rPr>
          <w:spacing w:val="-4"/>
        </w:rPr>
        <w:t> </w:t>
      </w:r>
      <w:r>
        <w:rPr>
          <w:w w:val="85"/>
        </w:rPr>
        <w:t>3</w:t>
      </w:r>
      <w:r>
        <w:rPr>
          <w:spacing w:val="-7"/>
        </w:rPr>
        <w:t> </w:t>
      </w:r>
      <w:r>
        <w:rPr>
          <w:w w:val="85"/>
        </w:rPr>
        <w:t>juillet</w:t>
      </w:r>
      <w:r>
        <w:rPr>
          <w:spacing w:val="-7"/>
        </w:rPr>
        <w:t> </w:t>
      </w:r>
      <w:r>
        <w:rPr>
          <w:spacing w:val="-4"/>
          <w:w w:val="85"/>
        </w:rPr>
        <w:t>2023</w:t>
      </w:r>
    </w:p>
    <w:p>
      <w:pPr>
        <w:pStyle w:val="BodyText"/>
        <w:spacing w:before="120"/>
      </w:pPr>
    </w:p>
    <w:p>
      <w:pPr>
        <w:pStyle w:val="BodyText"/>
        <w:spacing w:line="266" w:lineRule="auto"/>
        <w:ind w:left="432" w:right="509"/>
        <w:jc w:val="both"/>
      </w:pPr>
      <w:r>
        <w:rPr/>
        <w:t>Comme annoncé le 21 juin, les conciliateurs</w:t>
      </w:r>
      <w:r>
        <w:rPr>
          <w:spacing w:val="-1"/>
        </w:rPr>
        <w:t> </w:t>
      </w:r>
      <w:r>
        <w:rPr/>
        <w:t>ont sollicité pour le bénéfice du Groupe la </w:t>
      </w:r>
      <w:r>
        <w:rPr>
          <w:spacing w:val="-2"/>
        </w:rPr>
        <w:t>suspension,</w:t>
      </w:r>
      <w:r>
        <w:rPr>
          <w:spacing w:val="-14"/>
        </w:rPr>
        <w:t> </w:t>
      </w:r>
      <w:r>
        <w:rPr>
          <w:spacing w:val="-2"/>
        </w:rPr>
        <w:t>pendant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durée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période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conciliation</w:t>
      </w:r>
      <w:r>
        <w:rPr>
          <w:spacing w:val="-14"/>
        </w:rPr>
        <w:t> </w:t>
      </w:r>
      <w:r>
        <w:rPr>
          <w:spacing w:val="-2"/>
        </w:rPr>
        <w:t>(soit</w:t>
      </w:r>
      <w:r>
        <w:rPr>
          <w:spacing w:val="-13"/>
        </w:rPr>
        <w:t> </w:t>
      </w:r>
      <w:r>
        <w:rPr>
          <w:spacing w:val="-2"/>
        </w:rPr>
        <w:t>jusqu’au</w:t>
      </w:r>
      <w:r>
        <w:rPr>
          <w:spacing w:val="-12"/>
        </w:rPr>
        <w:t> </w:t>
      </w:r>
      <w:r>
        <w:rPr>
          <w:spacing w:val="-2"/>
        </w:rPr>
        <w:t>25</w:t>
      </w:r>
      <w:r>
        <w:rPr>
          <w:spacing w:val="-13"/>
        </w:rPr>
        <w:t> </w:t>
      </w:r>
      <w:r>
        <w:rPr>
          <w:spacing w:val="-2"/>
        </w:rPr>
        <w:t>octobre</w:t>
      </w:r>
      <w:r>
        <w:rPr>
          <w:spacing w:val="-12"/>
        </w:rPr>
        <w:t> </w:t>
      </w:r>
      <w:r>
        <w:rPr>
          <w:spacing w:val="-2"/>
        </w:rPr>
        <w:t>2023 </w:t>
      </w:r>
      <w:r>
        <w:rPr/>
        <w:t>au</w:t>
      </w:r>
      <w:r>
        <w:rPr>
          <w:spacing w:val="-8"/>
        </w:rPr>
        <w:t> </w:t>
      </w:r>
      <w:r>
        <w:rPr/>
        <w:t>plus</w:t>
      </w:r>
      <w:r>
        <w:rPr>
          <w:spacing w:val="-8"/>
        </w:rPr>
        <w:t> </w:t>
      </w:r>
      <w:r>
        <w:rPr/>
        <w:t>tard),</w:t>
      </w:r>
      <w:r>
        <w:rPr>
          <w:spacing w:val="-9"/>
        </w:rPr>
        <w:t> </w:t>
      </w:r>
      <w:r>
        <w:rPr/>
        <w:t>du</w:t>
      </w:r>
      <w:r>
        <w:rPr>
          <w:spacing w:val="-8"/>
        </w:rPr>
        <w:t> </w:t>
      </w:r>
      <w:r>
        <w:rPr/>
        <w:t>paiement</w:t>
      </w:r>
      <w:r>
        <w:rPr>
          <w:spacing w:val="-8"/>
        </w:rPr>
        <w:t> </w:t>
      </w:r>
      <w:r>
        <w:rPr/>
        <w:t>des</w:t>
      </w:r>
      <w:r>
        <w:rPr>
          <w:spacing w:val="-9"/>
        </w:rPr>
        <w:t> </w:t>
      </w:r>
      <w:r>
        <w:rPr/>
        <w:t>intérêts</w:t>
      </w:r>
      <w:r>
        <w:rPr>
          <w:spacing w:val="-8"/>
        </w:rPr>
        <w:t> </w:t>
      </w:r>
      <w:r>
        <w:rPr/>
        <w:t>(et</w:t>
      </w:r>
      <w:r>
        <w:rPr>
          <w:spacing w:val="-6"/>
        </w:rPr>
        <w:t> </w:t>
      </w:r>
      <w:r>
        <w:rPr/>
        <w:t>autres</w:t>
      </w:r>
      <w:r>
        <w:rPr>
          <w:spacing w:val="-8"/>
        </w:rPr>
        <w:t> </w:t>
      </w:r>
      <w:r>
        <w:rPr/>
        <w:t>commissions)</w:t>
      </w:r>
      <w:r>
        <w:rPr>
          <w:spacing w:val="-10"/>
        </w:rPr>
        <w:t> </w:t>
      </w:r>
      <w:r>
        <w:rPr/>
        <w:t>dus</w:t>
      </w:r>
      <w:r>
        <w:rPr>
          <w:spacing w:val="-8"/>
        </w:rPr>
        <w:t> </w:t>
      </w:r>
      <w:r>
        <w:rPr/>
        <w:t>par</w:t>
      </w:r>
      <w:r>
        <w:rPr>
          <w:spacing w:val="-8"/>
        </w:rPr>
        <w:t> </w:t>
      </w:r>
      <w:r>
        <w:rPr/>
        <w:t>les</w:t>
      </w:r>
      <w:r>
        <w:rPr>
          <w:spacing w:val="-9"/>
        </w:rPr>
        <w:t> </w:t>
      </w:r>
      <w:r>
        <w:rPr/>
        <w:t>sociétés</w:t>
      </w:r>
      <w:r>
        <w:rPr>
          <w:spacing w:val="-8"/>
        </w:rPr>
        <w:t> </w:t>
      </w:r>
      <w:r>
        <w:rPr/>
        <w:t>en </w:t>
      </w:r>
      <w:r>
        <w:rPr>
          <w:spacing w:val="-6"/>
        </w:rPr>
        <w:t>conciliation</w:t>
      </w:r>
      <w:r>
        <w:rPr>
          <w:spacing w:val="-14"/>
        </w:rPr>
        <w:t> </w:t>
      </w:r>
      <w:r>
        <w:rPr>
          <w:spacing w:val="-6"/>
        </w:rPr>
        <w:t>(soit</w:t>
      </w:r>
      <w:r>
        <w:rPr>
          <w:spacing w:val="-13"/>
        </w:rPr>
        <w:t> </w:t>
      </w:r>
      <w:r>
        <w:rPr>
          <w:spacing w:val="-6"/>
        </w:rPr>
        <w:t>environ</w:t>
      </w:r>
      <w:r>
        <w:rPr>
          <w:spacing w:val="-13"/>
        </w:rPr>
        <w:t> </w:t>
      </w:r>
      <w:r>
        <w:rPr>
          <w:spacing w:val="-6"/>
        </w:rPr>
        <w:t>130</w:t>
      </w:r>
      <w:r>
        <w:rPr>
          <w:spacing w:val="-14"/>
        </w:rPr>
        <w:t> </w:t>
      </w:r>
      <w:r>
        <w:rPr>
          <w:spacing w:val="-6"/>
        </w:rPr>
        <w:t>millions</w:t>
      </w:r>
      <w:r>
        <w:rPr>
          <w:spacing w:val="-13"/>
        </w:rPr>
        <w:t> </w:t>
      </w:r>
      <w:r>
        <w:rPr>
          <w:spacing w:val="-6"/>
        </w:rPr>
        <w:t>d’euros),</w:t>
      </w:r>
      <w:r>
        <w:rPr>
          <w:spacing w:val="-14"/>
        </w:rPr>
        <w:t> </w:t>
      </w:r>
      <w:r>
        <w:rPr>
          <w:spacing w:val="-6"/>
        </w:rPr>
        <w:t>ainsi</w:t>
      </w:r>
      <w:r>
        <w:rPr>
          <w:spacing w:val="-13"/>
        </w:rPr>
        <w:t> </w:t>
      </w:r>
      <w:r>
        <w:rPr>
          <w:spacing w:val="-6"/>
        </w:rPr>
        <w:t>que</w:t>
      </w:r>
      <w:r>
        <w:rPr>
          <w:spacing w:val="-13"/>
        </w:rPr>
        <w:t> </w:t>
      </w:r>
      <w:r>
        <w:rPr>
          <w:spacing w:val="-6"/>
        </w:rPr>
        <w:t>des</w:t>
      </w:r>
      <w:r>
        <w:rPr>
          <w:spacing w:val="-14"/>
        </w:rPr>
        <w:t> </w:t>
      </w:r>
      <w:r>
        <w:rPr>
          <w:spacing w:val="-6"/>
        </w:rPr>
        <w:t>échéances</w:t>
      </w:r>
      <w:r>
        <w:rPr>
          <w:spacing w:val="-13"/>
        </w:rPr>
        <w:t> </w:t>
      </w:r>
      <w:r>
        <w:rPr>
          <w:spacing w:val="-6"/>
        </w:rPr>
        <w:t>en</w:t>
      </w:r>
      <w:r>
        <w:rPr>
          <w:spacing w:val="-13"/>
        </w:rPr>
        <w:t> </w:t>
      </w:r>
      <w:r>
        <w:rPr>
          <w:spacing w:val="-6"/>
        </w:rPr>
        <w:t>principal</w:t>
      </w:r>
      <w:r>
        <w:rPr>
          <w:spacing w:val="-14"/>
        </w:rPr>
        <w:t> </w:t>
      </w:r>
      <w:r>
        <w:rPr>
          <w:spacing w:val="-6"/>
        </w:rPr>
        <w:t>qui</w:t>
      </w:r>
      <w:r>
        <w:rPr>
          <w:spacing w:val="-13"/>
        </w:rPr>
        <w:t> </w:t>
      </w:r>
      <w:r>
        <w:rPr>
          <w:spacing w:val="-6"/>
        </w:rPr>
        <w:t>sont </w:t>
      </w:r>
      <w:r>
        <w:rPr/>
        <w:t>dues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cours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cette</w:t>
      </w:r>
      <w:r>
        <w:rPr>
          <w:spacing w:val="-1"/>
        </w:rPr>
        <w:t> </w:t>
      </w:r>
      <w:r>
        <w:rPr/>
        <w:t>période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sociétés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conciliation (soit</w:t>
      </w:r>
      <w:r>
        <w:rPr>
          <w:spacing w:val="-2"/>
        </w:rPr>
        <w:t> </w:t>
      </w:r>
      <w:r>
        <w:rPr/>
        <w:t>environ</w:t>
      </w:r>
      <w:r>
        <w:rPr>
          <w:spacing w:val="-2"/>
        </w:rPr>
        <w:t> </w:t>
      </w:r>
      <w:r>
        <w:rPr/>
        <w:t>70</w:t>
      </w:r>
      <w:r>
        <w:rPr>
          <w:spacing w:val="-1"/>
        </w:rPr>
        <w:t> </w:t>
      </w:r>
      <w:r>
        <w:rPr/>
        <w:t>millions d’euros). Les conciliateurs ont également sollicité des créanciers concernés qu’ils </w:t>
      </w:r>
      <w:r>
        <w:rPr>
          <w:spacing w:val="-2"/>
        </w:rPr>
        <w:t>renoncent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0"/>
        </w:rPr>
        <w:t> </w:t>
      </w:r>
      <w:r>
        <w:rPr>
          <w:spacing w:val="-2"/>
        </w:rPr>
        <w:t>déclarer</w:t>
      </w:r>
      <w:r>
        <w:rPr>
          <w:spacing w:val="-9"/>
        </w:rPr>
        <w:t> </w:t>
      </w:r>
      <w:r>
        <w:rPr>
          <w:spacing w:val="-2"/>
        </w:rPr>
        <w:t>toute</w:t>
      </w:r>
      <w:r>
        <w:rPr>
          <w:spacing w:val="-10"/>
        </w:rPr>
        <w:t> </w:t>
      </w:r>
      <w:r>
        <w:rPr>
          <w:spacing w:val="-2"/>
        </w:rPr>
        <w:t>exigibilité</w:t>
      </w:r>
      <w:r>
        <w:rPr>
          <w:spacing w:val="-10"/>
        </w:rPr>
        <w:t> </w:t>
      </w:r>
      <w:r>
        <w:rPr>
          <w:spacing w:val="-2"/>
        </w:rPr>
        <w:t>anticipé</w:t>
      </w:r>
      <w:r>
        <w:rPr>
          <w:spacing w:val="-10"/>
        </w:rPr>
        <w:t> </w:t>
      </w:r>
      <w:r>
        <w:rPr>
          <w:spacing w:val="-2"/>
        </w:rPr>
        <w:t>sur</w:t>
      </w:r>
      <w:r>
        <w:rPr>
          <w:spacing w:val="-9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-2"/>
        </w:rPr>
        <w:t>fondement</w:t>
      </w:r>
      <w:r>
        <w:rPr>
          <w:spacing w:val="-11"/>
        </w:rPr>
        <w:t> </w:t>
      </w:r>
      <w:r>
        <w:rPr>
          <w:spacing w:val="-2"/>
        </w:rPr>
        <w:t>d’éventuels</w:t>
      </w:r>
      <w:r>
        <w:rPr>
          <w:spacing w:val="-10"/>
        </w:rPr>
        <w:t> </w:t>
      </w:r>
      <w:r>
        <w:rPr>
          <w:spacing w:val="-2"/>
        </w:rPr>
        <w:t>cas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défaut </w:t>
      </w:r>
      <w:r>
        <w:rPr/>
        <w:t>au</w:t>
      </w:r>
      <w:r>
        <w:rPr>
          <w:spacing w:val="-4"/>
        </w:rPr>
        <w:t> </w:t>
      </w:r>
      <w:r>
        <w:rPr/>
        <w:t>titre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financiers</w:t>
      </w:r>
      <w:r>
        <w:rPr>
          <w:spacing w:val="-6"/>
        </w:rPr>
        <w:t> </w:t>
      </w:r>
      <w:r>
        <w:rPr/>
        <w:t>au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juin</w:t>
      </w:r>
      <w:r>
        <w:rPr>
          <w:spacing w:val="-6"/>
        </w:rPr>
        <w:t> </w:t>
      </w:r>
      <w:r>
        <w:rPr/>
        <w:t>2023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septembre</w:t>
      </w:r>
      <w:r>
        <w:rPr>
          <w:spacing w:val="-4"/>
        </w:rPr>
        <w:t> </w:t>
      </w:r>
      <w:r>
        <w:rPr/>
        <w:t>2023,</w:t>
      </w:r>
      <w:r>
        <w:rPr>
          <w:spacing w:val="-4"/>
        </w:rPr>
        <w:t> </w:t>
      </w:r>
      <w:r>
        <w:rPr/>
        <w:t>ainsi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plus globalement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tout</w:t>
      </w:r>
      <w:r>
        <w:rPr>
          <w:spacing w:val="-11"/>
        </w:rPr>
        <w:t> </w:t>
      </w:r>
      <w:r>
        <w:rPr/>
        <w:t>cas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défaut</w:t>
      </w:r>
      <w:r>
        <w:rPr>
          <w:spacing w:val="-10"/>
        </w:rPr>
        <w:t> </w:t>
      </w:r>
      <w:r>
        <w:rPr/>
        <w:t>ou</w:t>
      </w:r>
      <w:r>
        <w:rPr>
          <w:spacing w:val="-11"/>
        </w:rPr>
        <w:t> </w:t>
      </w:r>
      <w:r>
        <w:rPr/>
        <w:t>défaut</w:t>
      </w:r>
      <w:r>
        <w:rPr>
          <w:spacing w:val="-11"/>
        </w:rPr>
        <w:t> </w:t>
      </w:r>
      <w:r>
        <w:rPr/>
        <w:t>croisé</w:t>
      </w:r>
      <w:r>
        <w:rPr>
          <w:spacing w:val="-10"/>
        </w:rPr>
        <w:t> </w:t>
      </w:r>
      <w:r>
        <w:rPr/>
        <w:t>qui</w:t>
      </w:r>
      <w:r>
        <w:rPr>
          <w:spacing w:val="-9"/>
        </w:rPr>
        <w:t> </w:t>
      </w:r>
      <w:r>
        <w:rPr/>
        <w:t>pourrait</w:t>
      </w:r>
      <w:r>
        <w:rPr>
          <w:spacing w:val="-11"/>
        </w:rPr>
        <w:t> </w:t>
      </w:r>
      <w:r>
        <w:rPr/>
        <w:t>survenir</w:t>
      </w:r>
      <w:r>
        <w:rPr>
          <w:spacing w:val="-10"/>
        </w:rPr>
        <w:t> </w:t>
      </w:r>
      <w:r>
        <w:rPr/>
        <w:t>au</w:t>
      </w:r>
      <w:r>
        <w:rPr>
          <w:spacing w:val="-10"/>
        </w:rPr>
        <w:t> </w:t>
      </w:r>
      <w:r>
        <w:rPr/>
        <w:t>résultat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 </w:t>
      </w:r>
      <w:r>
        <w:rPr>
          <w:spacing w:val="-4"/>
        </w:rPr>
        <w:t>suspension</w:t>
      </w:r>
      <w:r>
        <w:rPr>
          <w:spacing w:val="-14"/>
        </w:rPr>
        <w:t> </w:t>
      </w:r>
      <w:r>
        <w:rPr>
          <w:spacing w:val="-4"/>
        </w:rPr>
        <w:t>des</w:t>
      </w:r>
      <w:r>
        <w:rPr>
          <w:spacing w:val="-12"/>
        </w:rPr>
        <w:t> </w:t>
      </w:r>
      <w:r>
        <w:rPr>
          <w:spacing w:val="-4"/>
        </w:rPr>
        <w:t>paiements</w:t>
      </w:r>
      <w:r>
        <w:rPr>
          <w:spacing w:val="-12"/>
        </w:rPr>
        <w:t> </w:t>
      </w:r>
      <w:r>
        <w:rPr>
          <w:spacing w:val="-4"/>
        </w:rPr>
        <w:t>susvisés.</w:t>
      </w:r>
    </w:p>
    <w:p>
      <w:pPr>
        <w:pStyle w:val="BodyText"/>
        <w:spacing w:line="266" w:lineRule="auto" w:before="239"/>
        <w:ind w:left="432" w:right="510"/>
        <w:jc w:val="both"/>
      </w:pP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titulaires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obligations</w:t>
      </w:r>
      <w:r>
        <w:rPr>
          <w:spacing w:val="-13"/>
        </w:rPr>
        <w:t> </w:t>
      </w:r>
      <w:r>
        <w:rPr>
          <w:spacing w:val="-2"/>
        </w:rPr>
        <w:t>high</w:t>
      </w:r>
      <w:r>
        <w:rPr>
          <w:spacing w:val="-14"/>
        </w:rPr>
        <w:t> </w:t>
      </w:r>
      <w:r>
        <w:rPr>
          <w:spacing w:val="-2"/>
        </w:rPr>
        <w:t>yield</w:t>
      </w:r>
      <w:r>
        <w:rPr>
          <w:spacing w:val="-14"/>
        </w:rPr>
        <w:t> </w:t>
      </w:r>
      <w:r>
        <w:rPr>
          <w:spacing w:val="-2"/>
        </w:rPr>
        <w:t>émises</w:t>
      </w:r>
      <w:r>
        <w:rPr>
          <w:spacing w:val="-13"/>
        </w:rPr>
        <w:t> </w:t>
      </w:r>
      <w:r>
        <w:rPr>
          <w:spacing w:val="-2"/>
        </w:rPr>
        <w:t>par</w:t>
      </w:r>
      <w:r>
        <w:rPr>
          <w:spacing w:val="-13"/>
        </w:rPr>
        <w:t> </w:t>
      </w:r>
      <w:r>
        <w:rPr>
          <w:spacing w:val="-2"/>
        </w:rPr>
        <w:t>Quatrim</w:t>
      </w:r>
      <w:r>
        <w:rPr>
          <w:spacing w:val="-14"/>
        </w:rPr>
        <w:t> </w:t>
      </w:r>
      <w:r>
        <w:rPr>
          <w:spacing w:val="-2"/>
        </w:rPr>
        <w:t>ont</w:t>
      </w:r>
      <w:r>
        <w:rPr>
          <w:spacing w:val="-14"/>
        </w:rPr>
        <w:t> </w:t>
      </w:r>
      <w:r>
        <w:rPr>
          <w:spacing w:val="-2"/>
        </w:rPr>
        <w:t>octroyé,</w:t>
      </w:r>
      <w:r>
        <w:rPr>
          <w:spacing w:val="-15"/>
        </w:rPr>
        <w:t> </w:t>
      </w:r>
      <w:r>
        <w:rPr>
          <w:spacing w:val="-2"/>
        </w:rPr>
        <w:t>pendant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durée 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période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conciliation,</w:t>
      </w:r>
      <w:r>
        <w:rPr>
          <w:spacing w:val="-14"/>
        </w:rPr>
        <w:t> </w:t>
      </w: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waiver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4"/>
        </w:rPr>
        <w:t> </w:t>
      </w:r>
      <w:r>
        <w:rPr>
          <w:spacing w:val="-2"/>
        </w:rPr>
        <w:t>cas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défaut</w:t>
      </w:r>
      <w:r>
        <w:rPr>
          <w:spacing w:val="-15"/>
        </w:rPr>
        <w:t> </w:t>
      </w:r>
      <w:r>
        <w:rPr>
          <w:spacing w:val="-2"/>
        </w:rPr>
        <w:t>pouvant</w:t>
      </w:r>
      <w:r>
        <w:rPr>
          <w:spacing w:val="-13"/>
        </w:rPr>
        <w:t> </w:t>
      </w:r>
      <w:r>
        <w:rPr>
          <w:spacing w:val="-2"/>
        </w:rPr>
        <w:t>résulter</w:t>
      </w:r>
      <w:r>
        <w:rPr>
          <w:spacing w:val="-12"/>
        </w:rPr>
        <w:t> </w:t>
      </w:r>
      <w:r>
        <w:rPr>
          <w:spacing w:val="-2"/>
        </w:rPr>
        <w:t>directement</w:t>
      </w:r>
      <w:r>
        <w:rPr>
          <w:spacing w:val="-13"/>
        </w:rPr>
        <w:t> </w:t>
      </w:r>
      <w:r>
        <w:rPr>
          <w:spacing w:val="-2"/>
        </w:rPr>
        <w:t>ou </w:t>
      </w:r>
      <w:r>
        <w:rPr/>
        <w:t>indirectement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paiements.</w:t>
      </w:r>
    </w:p>
    <w:p>
      <w:pPr>
        <w:pStyle w:val="BodyText"/>
        <w:spacing w:line="266" w:lineRule="auto" w:before="240"/>
        <w:ind w:left="432" w:right="508"/>
        <w:jc w:val="both"/>
      </w:pPr>
      <w:r>
        <w:rPr/>
        <w:t>Les titulaires des obligations high yield non sécurisées émises par Casino Guichard- Perrachon</w:t>
      </w:r>
      <w:r>
        <w:rPr>
          <w:spacing w:val="-13"/>
        </w:rPr>
        <w:t> </w:t>
      </w:r>
      <w:r>
        <w:rPr/>
        <w:t>ont</w:t>
      </w:r>
      <w:r>
        <w:rPr>
          <w:spacing w:val="-16"/>
        </w:rPr>
        <w:t> </w:t>
      </w:r>
      <w:r>
        <w:rPr/>
        <w:t>en</w:t>
      </w:r>
      <w:r>
        <w:rPr>
          <w:spacing w:val="-13"/>
        </w:rPr>
        <w:t> </w:t>
      </w:r>
      <w:r>
        <w:rPr/>
        <w:t>revanche</w:t>
      </w:r>
      <w:r>
        <w:rPr>
          <w:spacing w:val="-15"/>
        </w:rPr>
        <w:t> </w:t>
      </w:r>
      <w:r>
        <w:rPr/>
        <w:t>refusé</w:t>
      </w:r>
      <w:r>
        <w:rPr>
          <w:spacing w:val="-12"/>
        </w:rPr>
        <w:t> </w:t>
      </w:r>
      <w:r>
        <w:rPr/>
        <w:t>d’octroyer</w:t>
      </w:r>
      <w:r>
        <w:rPr>
          <w:spacing w:val="-14"/>
        </w:rPr>
        <w:t> </w:t>
      </w:r>
      <w:r>
        <w:rPr/>
        <w:t>les</w:t>
      </w:r>
      <w:r>
        <w:rPr>
          <w:spacing w:val="-13"/>
        </w:rPr>
        <w:t> </w:t>
      </w:r>
      <w:r>
        <w:rPr/>
        <w:t>waivers</w:t>
      </w:r>
      <w:r>
        <w:rPr>
          <w:spacing w:val="-13"/>
        </w:rPr>
        <w:t> </w:t>
      </w:r>
      <w:r>
        <w:rPr/>
        <w:t>demandés</w:t>
      </w:r>
      <w:r>
        <w:rPr>
          <w:spacing w:val="-8"/>
        </w:rPr>
        <w:t> </w:t>
      </w:r>
      <w:r>
        <w:rPr/>
        <w:t>pendant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durée</w:t>
      </w:r>
      <w:r>
        <w:rPr>
          <w:spacing w:val="-12"/>
        </w:rPr>
        <w:t> </w:t>
      </w:r>
      <w:r>
        <w:rPr/>
        <w:t>de la période de conciliation. Ce refus pourrait entraîner l’exigibilité automatique desdites obligations (</w:t>
      </w:r>
      <w:r>
        <w:rPr>
          <w:i/>
        </w:rPr>
        <w:t>cross-acceleration</w:t>
      </w:r>
      <w:r>
        <w:rPr/>
        <w:t>) en cas de non-paiement au titre d’une autre dette financière</w:t>
      </w:r>
      <w:r>
        <w:rPr>
          <w:spacing w:val="-15"/>
        </w:rPr>
        <w:t> </w:t>
      </w:r>
      <w:r>
        <w:rPr/>
        <w:t>significative</w:t>
      </w:r>
      <w:r>
        <w:rPr>
          <w:spacing w:val="-15"/>
        </w:rPr>
        <w:t> </w:t>
      </w:r>
      <w:r>
        <w:rPr/>
        <w:t>(plus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40m€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principal)</w:t>
      </w:r>
      <w:r>
        <w:rPr>
          <w:spacing w:val="-16"/>
        </w:rPr>
        <w:t> </w:t>
      </w:r>
      <w:r>
        <w:rPr/>
        <w:t>du</w:t>
      </w:r>
      <w:r>
        <w:rPr>
          <w:spacing w:val="-15"/>
        </w:rPr>
        <w:t> </w:t>
      </w:r>
      <w:r>
        <w:rPr/>
        <w:t>Groupe.</w:t>
      </w:r>
      <w:r>
        <w:rPr>
          <w:spacing w:val="-16"/>
        </w:rPr>
        <w:t> </w:t>
      </w:r>
      <w:r>
        <w:rPr/>
        <w:t>Par</w:t>
      </w:r>
      <w:r>
        <w:rPr>
          <w:spacing w:val="-15"/>
        </w:rPr>
        <w:t> </w:t>
      </w:r>
      <w:r>
        <w:rPr/>
        <w:t>ailleurs,</w:t>
      </w:r>
      <w:r>
        <w:rPr>
          <w:spacing w:val="-16"/>
        </w:rPr>
        <w:t> </w:t>
      </w:r>
      <w:r>
        <w:rPr/>
        <w:t>ces</w:t>
      </w:r>
      <w:r>
        <w:rPr>
          <w:spacing w:val="-15"/>
        </w:rPr>
        <w:t> </w:t>
      </w:r>
      <w:r>
        <w:rPr/>
        <w:t>titulaires </w:t>
      </w:r>
      <w:r>
        <w:rPr>
          <w:spacing w:val="-2"/>
        </w:rPr>
        <w:t>n’ont</w:t>
      </w:r>
      <w:r>
        <w:rPr>
          <w:spacing w:val="-10"/>
        </w:rPr>
        <w:t> </w:t>
      </w:r>
      <w:r>
        <w:rPr>
          <w:spacing w:val="-2"/>
        </w:rPr>
        <w:t>pas</w:t>
      </w:r>
      <w:r>
        <w:rPr>
          <w:spacing w:val="-9"/>
        </w:rPr>
        <w:t> </w:t>
      </w:r>
      <w:r>
        <w:rPr>
          <w:spacing w:val="-2"/>
        </w:rPr>
        <w:t>accepté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suspension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i/>
          <w:spacing w:val="-2"/>
        </w:rPr>
        <w:t>forbearance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intérêts</w:t>
      </w:r>
      <w:r>
        <w:rPr>
          <w:spacing w:val="-5"/>
        </w:rPr>
        <w:t> </w:t>
      </w:r>
      <w:r>
        <w:rPr>
          <w:spacing w:val="-2"/>
        </w:rPr>
        <w:t>(pour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montants</w:t>
      </w:r>
      <w:r>
        <w:rPr>
          <w:spacing w:val="-9"/>
        </w:rPr>
        <w:t> </w:t>
      </w:r>
      <w:r>
        <w:rPr>
          <w:spacing w:val="-2"/>
        </w:rPr>
        <w:t>d’environ </w:t>
      </w:r>
      <w:r>
        <w:rPr>
          <w:spacing w:val="-4"/>
        </w:rPr>
        <w:t>12m€</w:t>
      </w:r>
      <w:r>
        <w:rPr>
          <w:spacing w:val="-16"/>
        </w:rPr>
        <w:t> </w:t>
      </w:r>
      <w:r>
        <w:rPr>
          <w:spacing w:val="-4"/>
        </w:rPr>
        <w:t>et</w:t>
      </w:r>
      <w:r>
        <w:rPr>
          <w:spacing w:val="-15"/>
        </w:rPr>
        <w:t> </w:t>
      </w:r>
      <w:r>
        <w:rPr>
          <w:spacing w:val="-4"/>
        </w:rPr>
        <w:t>14m€</w:t>
      </w:r>
      <w:r>
        <w:rPr>
          <w:spacing w:val="-15"/>
        </w:rPr>
        <w:t> </w:t>
      </w:r>
      <w:r>
        <w:rPr>
          <w:spacing w:val="-4"/>
        </w:rPr>
        <w:t>arrivant</w:t>
      </w:r>
      <w:r>
        <w:rPr>
          <w:spacing w:val="-16"/>
        </w:rPr>
        <w:t> </w:t>
      </w:r>
      <w:r>
        <w:rPr>
          <w:spacing w:val="-4"/>
        </w:rPr>
        <w:t>respectivement</w:t>
      </w:r>
      <w:r>
        <w:rPr>
          <w:spacing w:val="-15"/>
        </w:rPr>
        <w:t> </w:t>
      </w:r>
      <w:r>
        <w:rPr>
          <w:spacing w:val="-4"/>
        </w:rPr>
        <w:t>à</w:t>
      </w:r>
      <w:r>
        <w:rPr>
          <w:spacing w:val="-16"/>
        </w:rPr>
        <w:t> </w:t>
      </w:r>
      <w:r>
        <w:rPr>
          <w:spacing w:val="-4"/>
        </w:rPr>
        <w:t>échéance</w:t>
      </w:r>
      <w:r>
        <w:rPr>
          <w:spacing w:val="-15"/>
        </w:rPr>
        <w:t> </w:t>
      </w:r>
      <w:r>
        <w:rPr>
          <w:spacing w:val="-4"/>
        </w:rPr>
        <w:t>le</w:t>
      </w:r>
      <w:r>
        <w:rPr>
          <w:spacing w:val="-15"/>
        </w:rPr>
        <w:t> </w:t>
      </w:r>
      <w:r>
        <w:rPr>
          <w:spacing w:val="-4"/>
        </w:rPr>
        <w:t>15</w:t>
      </w:r>
      <w:r>
        <w:rPr>
          <w:spacing w:val="-16"/>
        </w:rPr>
        <w:t> </w:t>
      </w:r>
      <w:r>
        <w:rPr>
          <w:spacing w:val="-4"/>
        </w:rPr>
        <w:t>juillet</w:t>
      </w:r>
      <w:r>
        <w:rPr>
          <w:spacing w:val="-15"/>
        </w:rPr>
        <w:t> </w:t>
      </w:r>
      <w:r>
        <w:rPr>
          <w:spacing w:val="-4"/>
        </w:rPr>
        <w:t>et</w:t>
      </w:r>
      <w:r>
        <w:rPr>
          <w:spacing w:val="-15"/>
        </w:rPr>
        <w:t> </w:t>
      </w:r>
      <w:r>
        <w:rPr>
          <w:spacing w:val="-4"/>
        </w:rPr>
        <w:t>le</w:t>
      </w:r>
      <w:r>
        <w:rPr>
          <w:spacing w:val="-16"/>
        </w:rPr>
        <w:t> </w:t>
      </w:r>
      <w:r>
        <w:rPr>
          <w:spacing w:val="-4"/>
        </w:rPr>
        <w:t>15</w:t>
      </w:r>
      <w:r>
        <w:rPr>
          <w:spacing w:val="-15"/>
        </w:rPr>
        <w:t> </w:t>
      </w:r>
      <w:r>
        <w:rPr>
          <w:spacing w:val="-4"/>
        </w:rPr>
        <w:t>octobre</w:t>
      </w:r>
      <w:r>
        <w:rPr>
          <w:spacing w:val="-15"/>
        </w:rPr>
        <w:t> </w:t>
      </w:r>
      <w:r>
        <w:rPr>
          <w:spacing w:val="-4"/>
        </w:rPr>
        <w:t>prochains). </w:t>
      </w:r>
      <w:r>
        <w:rPr/>
        <w:t>De même, le porteur des obligations émises par Monoprix Exploitation a répondu défavorablement aux demandes des conciliateurs.</w:t>
      </w:r>
    </w:p>
    <w:p>
      <w:pPr>
        <w:pStyle w:val="BodyText"/>
        <w:spacing w:line="278" w:lineRule="auto" w:before="241"/>
        <w:ind w:left="432" w:right="509"/>
        <w:jc w:val="both"/>
      </w:pPr>
      <w:r>
        <w:rPr/>
        <w:t>Le</w:t>
      </w:r>
      <w:r>
        <w:rPr>
          <w:spacing w:val="-2"/>
        </w:rPr>
        <w:t> </w:t>
      </w:r>
      <w:r>
        <w:rPr/>
        <w:t>Groupe</w:t>
      </w:r>
      <w:r>
        <w:rPr>
          <w:spacing w:val="-4"/>
        </w:rPr>
        <w:t> </w:t>
      </w:r>
      <w:r>
        <w:rPr/>
        <w:t>va</w:t>
      </w:r>
      <w:r>
        <w:rPr>
          <w:spacing w:val="-1"/>
        </w:rPr>
        <w:t> </w:t>
      </w:r>
      <w:r>
        <w:rPr/>
        <w:t>donc</w:t>
      </w:r>
      <w:r>
        <w:rPr>
          <w:spacing w:val="-2"/>
        </w:rPr>
        <w:t> </w:t>
      </w:r>
      <w:r>
        <w:rPr/>
        <w:t>solliciter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Président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Tribunal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commerce,</w:t>
      </w:r>
      <w:r>
        <w:rPr>
          <w:spacing w:val="-3"/>
        </w:rPr>
        <w:t> </w:t>
      </w:r>
      <w:r>
        <w:rPr/>
        <w:t>dans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prochains jours, l’application de délais de grâce en application de l’article L.</w:t>
      </w:r>
      <w:r>
        <w:rPr>
          <w:spacing w:val="-12"/>
        </w:rPr>
        <w:t> </w:t>
      </w:r>
      <w:r>
        <w:rPr/>
        <w:t>611-7 du Code de </w:t>
      </w:r>
      <w:r>
        <w:rPr>
          <w:spacing w:val="-2"/>
        </w:rPr>
        <w:t>commerce.</w:t>
      </w:r>
    </w:p>
    <w:p>
      <w:pPr>
        <w:pStyle w:val="BodyText"/>
        <w:spacing w:line="278" w:lineRule="auto" w:before="241"/>
        <w:ind w:left="432" w:right="509"/>
        <w:jc w:val="both"/>
      </w:pPr>
      <w:r>
        <w:rPr/>
        <w:t>Pour les autres groupes de créanciers, la réponse aux demandes des conciliateurs est </w:t>
      </w:r>
      <w:r>
        <w:rPr>
          <w:spacing w:val="-4"/>
        </w:rPr>
        <w:t>attendue</w:t>
      </w:r>
      <w:r>
        <w:rPr>
          <w:spacing w:val="-12"/>
        </w:rPr>
        <w:t> </w:t>
      </w:r>
      <w:r>
        <w:rPr>
          <w:spacing w:val="-4"/>
        </w:rPr>
        <w:t>dans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2"/>
        </w:rPr>
        <w:t> </w:t>
      </w:r>
      <w:r>
        <w:rPr>
          <w:spacing w:val="-4"/>
        </w:rPr>
        <w:t>jours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5"/>
        </w:rPr>
        <w:t> </w:t>
      </w:r>
      <w:r>
        <w:rPr>
          <w:spacing w:val="-4"/>
        </w:rPr>
        <w:t>venir.</w:t>
      </w:r>
      <w:r>
        <w:rPr>
          <w:spacing w:val="-10"/>
        </w:rPr>
        <w:t> </w:t>
      </w:r>
      <w:r>
        <w:rPr>
          <w:spacing w:val="-4"/>
        </w:rPr>
        <w:t>Le</w:t>
      </w:r>
      <w:r>
        <w:rPr>
          <w:spacing w:val="-12"/>
        </w:rPr>
        <w:t> </w:t>
      </w:r>
      <w:r>
        <w:rPr>
          <w:spacing w:val="-4"/>
        </w:rPr>
        <w:t>Groupe</w:t>
      </w:r>
      <w:r>
        <w:rPr>
          <w:spacing w:val="-15"/>
        </w:rPr>
        <w:t> </w:t>
      </w:r>
      <w:r>
        <w:rPr>
          <w:spacing w:val="-4"/>
        </w:rPr>
        <w:t>précise</w:t>
      </w:r>
      <w:r>
        <w:rPr>
          <w:spacing w:val="-12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2"/>
        </w:rPr>
        <w:t> </w:t>
      </w:r>
      <w:r>
        <w:rPr>
          <w:spacing w:val="-4"/>
        </w:rPr>
        <w:t>réponses</w:t>
      </w:r>
      <w:r>
        <w:rPr>
          <w:spacing w:val="-15"/>
        </w:rPr>
        <w:t> </w:t>
      </w:r>
      <w:r>
        <w:rPr>
          <w:spacing w:val="-4"/>
        </w:rPr>
        <w:t>des</w:t>
      </w:r>
      <w:r>
        <w:rPr>
          <w:spacing w:val="-12"/>
        </w:rPr>
        <w:t> </w:t>
      </w:r>
      <w:r>
        <w:rPr>
          <w:spacing w:val="-4"/>
        </w:rPr>
        <w:t>créanciers,</w:t>
      </w:r>
      <w:r>
        <w:rPr>
          <w:spacing w:val="-9"/>
        </w:rPr>
        <w:t> </w:t>
      </w:r>
      <w:r>
        <w:rPr>
          <w:spacing w:val="-4"/>
        </w:rPr>
        <w:t>reçues </w:t>
      </w:r>
      <w:r>
        <w:rPr/>
        <w:t>ou</w:t>
      </w:r>
      <w:r>
        <w:rPr>
          <w:spacing w:val="-17"/>
        </w:rPr>
        <w:t> </w:t>
      </w:r>
      <w:r>
        <w:rPr/>
        <w:t>à</w:t>
      </w:r>
      <w:r>
        <w:rPr>
          <w:spacing w:val="-16"/>
        </w:rPr>
        <w:t> </w:t>
      </w:r>
      <w:r>
        <w:rPr/>
        <w:t>recevoir,</w:t>
      </w:r>
      <w:r>
        <w:rPr>
          <w:spacing w:val="-18"/>
        </w:rPr>
        <w:t> </w:t>
      </w:r>
      <w:r>
        <w:rPr/>
        <w:t>sont</w:t>
      </w:r>
      <w:r>
        <w:rPr>
          <w:spacing w:val="-17"/>
        </w:rPr>
        <w:t> </w:t>
      </w:r>
      <w:r>
        <w:rPr/>
        <w:t>sans</w:t>
      </w:r>
      <w:r>
        <w:rPr>
          <w:spacing w:val="-16"/>
        </w:rPr>
        <w:t> </w:t>
      </w:r>
      <w:r>
        <w:rPr/>
        <w:t>impact</w:t>
      </w:r>
      <w:r>
        <w:rPr>
          <w:spacing w:val="-17"/>
        </w:rPr>
        <w:t> </w:t>
      </w:r>
      <w:r>
        <w:rPr/>
        <w:t>sur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poursuite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période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conciliation.</w:t>
      </w:r>
    </w:p>
    <w:p>
      <w:pPr>
        <w:pStyle w:val="BodyText"/>
        <w:spacing w:line="266" w:lineRule="auto" w:before="239"/>
        <w:ind w:left="432" w:right="509"/>
        <w:jc w:val="both"/>
      </w:pPr>
      <w:r>
        <w:rPr>
          <w:spacing w:val="-8"/>
        </w:rPr>
        <w:t>Enfin,</w:t>
      </w:r>
      <w:r>
        <w:rPr>
          <w:spacing w:val="-12"/>
        </w:rPr>
        <w:t> </w:t>
      </w:r>
      <w:r>
        <w:rPr>
          <w:spacing w:val="-8"/>
        </w:rPr>
        <w:t>dans</w:t>
      </w:r>
      <w:r>
        <w:rPr>
          <w:spacing w:val="-11"/>
        </w:rPr>
        <w:t> </w:t>
      </w:r>
      <w:r>
        <w:rPr>
          <w:spacing w:val="-8"/>
        </w:rPr>
        <w:t>la</w:t>
      </w:r>
      <w:r>
        <w:rPr>
          <w:spacing w:val="-11"/>
        </w:rPr>
        <w:t> </w:t>
      </w:r>
      <w:r>
        <w:rPr>
          <w:spacing w:val="-8"/>
        </w:rPr>
        <w:t>mesure</w:t>
      </w:r>
      <w:r>
        <w:rPr>
          <w:spacing w:val="-12"/>
        </w:rPr>
        <w:t> </w:t>
      </w:r>
      <w:r>
        <w:rPr>
          <w:spacing w:val="-8"/>
        </w:rPr>
        <w:t>où</w:t>
      </w:r>
      <w:r>
        <w:rPr>
          <w:spacing w:val="-11"/>
        </w:rPr>
        <w:t> </w:t>
      </w:r>
      <w:r>
        <w:rPr>
          <w:spacing w:val="-8"/>
        </w:rPr>
        <w:t>le</w:t>
      </w:r>
      <w:r>
        <w:rPr>
          <w:spacing w:val="-12"/>
        </w:rPr>
        <w:t> </w:t>
      </w:r>
      <w:r>
        <w:rPr>
          <w:spacing w:val="-8"/>
        </w:rPr>
        <w:t>RCF</w:t>
      </w:r>
      <w:r>
        <w:rPr>
          <w:spacing w:val="-11"/>
        </w:rPr>
        <w:t> </w:t>
      </w:r>
      <w:r>
        <w:rPr>
          <w:spacing w:val="-8"/>
        </w:rPr>
        <w:t>est</w:t>
      </w:r>
      <w:r>
        <w:rPr>
          <w:spacing w:val="-11"/>
        </w:rPr>
        <w:t> </w:t>
      </w:r>
      <w:r>
        <w:rPr>
          <w:spacing w:val="-8"/>
        </w:rPr>
        <w:t>intégralement</w:t>
      </w:r>
      <w:r>
        <w:rPr>
          <w:spacing w:val="-12"/>
        </w:rPr>
        <w:t> </w:t>
      </w:r>
      <w:r>
        <w:rPr>
          <w:spacing w:val="-8"/>
        </w:rPr>
        <w:t>tiré</w:t>
      </w:r>
      <w:r>
        <w:rPr>
          <w:spacing w:val="-11"/>
        </w:rPr>
        <w:t> </w:t>
      </w:r>
      <w:r>
        <w:rPr>
          <w:spacing w:val="-8"/>
        </w:rPr>
        <w:t>par</w:t>
      </w:r>
      <w:r>
        <w:rPr>
          <w:spacing w:val="-11"/>
        </w:rPr>
        <w:t> </w:t>
      </w:r>
      <w:r>
        <w:rPr>
          <w:spacing w:val="-8"/>
        </w:rPr>
        <w:t>le</w:t>
      </w:r>
      <w:r>
        <w:rPr>
          <w:spacing w:val="-11"/>
        </w:rPr>
        <w:t> </w:t>
      </w:r>
      <w:r>
        <w:rPr>
          <w:spacing w:val="-8"/>
        </w:rPr>
        <w:t>Groupe</w:t>
      </w:r>
      <w:r>
        <w:rPr>
          <w:spacing w:val="-11"/>
        </w:rPr>
        <w:t> </w:t>
      </w:r>
      <w:r>
        <w:rPr>
          <w:spacing w:val="-8"/>
        </w:rPr>
        <w:t>au</w:t>
      </w:r>
      <w:r>
        <w:rPr>
          <w:spacing w:val="-11"/>
        </w:rPr>
        <w:t> </w:t>
      </w:r>
      <w:r>
        <w:rPr>
          <w:spacing w:val="-8"/>
        </w:rPr>
        <w:t>30</w:t>
      </w:r>
      <w:r>
        <w:rPr>
          <w:spacing w:val="-10"/>
        </w:rPr>
        <w:t> </w:t>
      </w:r>
      <w:r>
        <w:rPr>
          <w:spacing w:val="-8"/>
        </w:rPr>
        <w:t>juin</w:t>
      </w:r>
      <w:r>
        <w:rPr>
          <w:spacing w:val="-11"/>
        </w:rPr>
        <w:t> </w:t>
      </w:r>
      <w:r>
        <w:rPr>
          <w:spacing w:val="-8"/>
        </w:rPr>
        <w:t>2023</w:t>
      </w:r>
      <w:r>
        <w:rPr>
          <w:spacing w:val="-11"/>
        </w:rPr>
        <w:t> </w:t>
      </w:r>
      <w:r>
        <w:rPr>
          <w:spacing w:val="-8"/>
        </w:rPr>
        <w:t>(dernier </w:t>
      </w:r>
      <w:r>
        <w:rPr>
          <w:spacing w:val="-6"/>
        </w:rPr>
        <w:t>jour</w:t>
      </w:r>
      <w:r>
        <w:rPr>
          <w:spacing w:val="-12"/>
        </w:rPr>
        <w:t> </w:t>
      </w:r>
      <w:r>
        <w:rPr>
          <w:spacing w:val="-6"/>
        </w:rPr>
        <w:t>du</w:t>
      </w:r>
      <w:r>
        <w:rPr>
          <w:spacing w:val="-10"/>
        </w:rPr>
        <w:t> </w:t>
      </w:r>
      <w:r>
        <w:rPr>
          <w:spacing w:val="-6"/>
        </w:rPr>
        <w:t>trimestre),</w:t>
      </w:r>
      <w:r>
        <w:rPr>
          <w:spacing w:val="-10"/>
        </w:rPr>
        <w:t> </w:t>
      </w:r>
      <w:r>
        <w:rPr>
          <w:spacing w:val="-6"/>
        </w:rPr>
        <w:t>il</w:t>
      </w:r>
      <w:r>
        <w:rPr>
          <w:spacing w:val="-9"/>
        </w:rPr>
        <w:t> </w:t>
      </w:r>
      <w:r>
        <w:rPr>
          <w:spacing w:val="-6"/>
        </w:rPr>
        <w:t>est</w:t>
      </w:r>
      <w:r>
        <w:rPr>
          <w:spacing w:val="-13"/>
        </w:rPr>
        <w:t> </w:t>
      </w:r>
      <w:r>
        <w:rPr>
          <w:spacing w:val="-6"/>
        </w:rPr>
        <w:t>anticipé</w:t>
      </w:r>
      <w:r>
        <w:rPr>
          <w:spacing w:val="-10"/>
        </w:rPr>
        <w:t> </w:t>
      </w:r>
      <w:r>
        <w:rPr>
          <w:spacing w:val="-6"/>
        </w:rPr>
        <w:t>que</w:t>
      </w:r>
      <w:r>
        <w:rPr>
          <w:spacing w:val="-7"/>
        </w:rPr>
        <w:t> </w:t>
      </w:r>
      <w:r>
        <w:rPr>
          <w:spacing w:val="-6"/>
        </w:rPr>
        <w:t>le</w:t>
      </w:r>
      <w:r>
        <w:rPr>
          <w:spacing w:val="-10"/>
        </w:rPr>
        <w:t> </w:t>
      </w:r>
      <w:r>
        <w:rPr>
          <w:spacing w:val="-6"/>
        </w:rPr>
        <w:t>ratio</w:t>
      </w:r>
      <w:r>
        <w:rPr>
          <w:spacing w:val="-11"/>
        </w:rPr>
        <w:t> </w:t>
      </w:r>
      <w:r>
        <w:rPr>
          <w:spacing w:val="-6"/>
        </w:rPr>
        <w:t>dette</w:t>
      </w:r>
      <w:r>
        <w:rPr>
          <w:spacing w:val="-10"/>
        </w:rPr>
        <w:t> </w:t>
      </w:r>
      <w:r>
        <w:rPr>
          <w:spacing w:val="-6"/>
        </w:rPr>
        <w:t>brute</w:t>
      </w:r>
      <w:r>
        <w:rPr>
          <w:spacing w:val="-10"/>
        </w:rPr>
        <w:t> </w:t>
      </w:r>
      <w:r>
        <w:rPr>
          <w:spacing w:val="-6"/>
        </w:rPr>
        <w:t>sécurisée</w:t>
      </w:r>
      <w:r>
        <w:rPr>
          <w:spacing w:val="-10"/>
        </w:rPr>
        <w:t> </w:t>
      </w:r>
      <w:r>
        <w:rPr>
          <w:spacing w:val="-6"/>
        </w:rPr>
        <w:t>/</w:t>
      </w:r>
      <w:r>
        <w:rPr>
          <w:spacing w:val="-13"/>
        </w:rPr>
        <w:t> </w:t>
      </w:r>
      <w:r>
        <w:rPr>
          <w:spacing w:val="-6"/>
        </w:rPr>
        <w:t>EBITDA</w:t>
      </w:r>
      <w:r>
        <w:rPr>
          <w:spacing w:val="-14"/>
        </w:rPr>
        <w:t> </w:t>
      </w:r>
      <w:r>
        <w:rPr>
          <w:spacing w:val="-6"/>
        </w:rPr>
        <w:t>après</w:t>
      </w:r>
      <w:r>
        <w:rPr>
          <w:spacing w:val="-9"/>
        </w:rPr>
        <w:t> </w:t>
      </w:r>
      <w:r>
        <w:rPr>
          <w:spacing w:val="-6"/>
        </w:rPr>
        <w:t>loyers au </w:t>
      </w:r>
      <w:r>
        <w:rPr>
          <w:spacing w:val="-2"/>
        </w:rPr>
        <w:t>30</w:t>
      </w:r>
      <w:r>
        <w:rPr>
          <w:spacing w:val="-18"/>
        </w:rPr>
        <w:t> </w:t>
      </w:r>
      <w:r>
        <w:rPr>
          <w:spacing w:val="-2"/>
        </w:rPr>
        <w:t>juin</w:t>
      </w:r>
      <w:r>
        <w:rPr>
          <w:spacing w:val="-17"/>
        </w:rPr>
        <w:t> </w:t>
      </w:r>
      <w:r>
        <w:rPr>
          <w:spacing w:val="-2"/>
        </w:rPr>
        <w:t>2023</w:t>
      </w:r>
      <w:r>
        <w:rPr>
          <w:spacing w:val="-17"/>
        </w:rPr>
        <w:t> </w:t>
      </w:r>
      <w:r>
        <w:rPr>
          <w:spacing w:val="-2"/>
        </w:rPr>
        <w:t>dépassera</w:t>
      </w:r>
      <w:r>
        <w:rPr>
          <w:spacing w:val="-18"/>
        </w:rPr>
        <w:t> </w:t>
      </w:r>
      <w:r>
        <w:rPr>
          <w:spacing w:val="-2"/>
        </w:rPr>
        <w:t>le</w:t>
      </w:r>
      <w:r>
        <w:rPr>
          <w:spacing w:val="-17"/>
        </w:rPr>
        <w:t> </w:t>
      </w:r>
      <w:r>
        <w:rPr>
          <w:spacing w:val="-2"/>
        </w:rPr>
        <w:t>plafond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3,5x</w:t>
      </w:r>
      <w:r>
        <w:rPr>
          <w:spacing w:val="-17"/>
        </w:rPr>
        <w:t> </w:t>
      </w:r>
      <w:r>
        <w:rPr>
          <w:spacing w:val="-2"/>
        </w:rPr>
        <w:t>qui</w:t>
      </w:r>
      <w:r>
        <w:rPr>
          <w:spacing w:val="-17"/>
        </w:rPr>
        <w:t> </w:t>
      </w:r>
      <w:r>
        <w:rPr>
          <w:spacing w:val="-2"/>
        </w:rPr>
        <w:t>est</w:t>
      </w:r>
      <w:r>
        <w:rPr>
          <w:spacing w:val="-17"/>
        </w:rPr>
        <w:t> </w:t>
      </w:r>
      <w:r>
        <w:rPr>
          <w:spacing w:val="-2"/>
        </w:rPr>
        <w:t>l’un</w:t>
      </w:r>
      <w:r>
        <w:rPr>
          <w:spacing w:val="-17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covenants</w:t>
      </w:r>
      <w:r>
        <w:rPr>
          <w:spacing w:val="-17"/>
        </w:rPr>
        <w:t> </w:t>
      </w:r>
      <w:r>
        <w:rPr>
          <w:spacing w:val="-2"/>
        </w:rPr>
        <w:t>financiers</w:t>
      </w:r>
      <w:r>
        <w:rPr>
          <w:spacing w:val="-17"/>
        </w:rPr>
        <w:t> </w:t>
      </w:r>
      <w:r>
        <w:rPr>
          <w:spacing w:val="-2"/>
        </w:rPr>
        <w:t>au</w:t>
      </w:r>
      <w:r>
        <w:rPr>
          <w:spacing w:val="-17"/>
        </w:rPr>
        <w:t> </w:t>
      </w:r>
      <w:r>
        <w:rPr>
          <w:spacing w:val="-2"/>
        </w:rPr>
        <w:t>titre</w:t>
      </w:r>
      <w:r>
        <w:rPr>
          <w:spacing w:val="-17"/>
        </w:rPr>
        <w:t> </w:t>
      </w:r>
      <w:r>
        <w:rPr>
          <w:spacing w:val="-2"/>
        </w:rPr>
        <w:t>du </w:t>
      </w:r>
      <w:r>
        <w:rPr/>
        <w:t>RCF devant</w:t>
      </w:r>
      <w:r>
        <w:rPr>
          <w:spacing w:val="-2"/>
        </w:rPr>
        <w:t> </w:t>
      </w:r>
      <w:r>
        <w:rPr/>
        <w:t>être respecté à</w:t>
      </w:r>
      <w:r>
        <w:rPr>
          <w:spacing w:val="-4"/>
        </w:rPr>
        <w:t> </w:t>
      </w:r>
      <w:r>
        <w:rPr/>
        <w:t>chaque date de test.</w:t>
      </w:r>
      <w:r>
        <w:rPr>
          <w:spacing w:val="-3"/>
        </w:rPr>
        <w:t> </w:t>
      </w:r>
      <w:r>
        <w:rPr/>
        <w:t>Le Groupe pourrait donc,</w:t>
      </w:r>
      <w:r>
        <w:rPr>
          <w:spacing w:val="-2"/>
        </w:rPr>
        <w:t> </w:t>
      </w:r>
      <w:r>
        <w:rPr/>
        <w:t>à la date de remise</w:t>
      </w:r>
      <w:r>
        <w:rPr>
          <w:spacing w:val="-20"/>
        </w:rPr>
        <w:t> </w:t>
      </w:r>
      <w:r>
        <w:rPr/>
        <w:t>du</w:t>
      </w:r>
      <w:r>
        <w:rPr>
          <w:spacing w:val="-19"/>
        </w:rPr>
        <w:t> </w:t>
      </w:r>
      <w:r>
        <w:rPr/>
        <w:t>certificat</w:t>
      </w:r>
      <w:r>
        <w:rPr>
          <w:spacing w:val="-19"/>
        </w:rPr>
        <w:t> </w:t>
      </w:r>
      <w:r>
        <w:rPr/>
        <w:t>concerné</w:t>
      </w:r>
      <w:r>
        <w:rPr>
          <w:spacing w:val="-20"/>
        </w:rPr>
        <w:t> </w:t>
      </w:r>
      <w:r>
        <w:rPr/>
        <w:t>(c’est-à-dire</w:t>
      </w:r>
      <w:r>
        <w:rPr>
          <w:spacing w:val="-19"/>
        </w:rPr>
        <w:t> </w:t>
      </w:r>
      <w:r>
        <w:rPr/>
        <w:t>au</w:t>
      </w:r>
      <w:r>
        <w:rPr>
          <w:spacing w:val="-20"/>
        </w:rPr>
        <w:t> </w:t>
      </w:r>
      <w:r>
        <w:rPr/>
        <w:t>plus</w:t>
      </w:r>
      <w:r>
        <w:rPr>
          <w:spacing w:val="-19"/>
        </w:rPr>
        <w:t> </w:t>
      </w:r>
      <w:r>
        <w:rPr/>
        <w:t>tard</w:t>
      </w:r>
      <w:r>
        <w:rPr>
          <w:spacing w:val="-18"/>
        </w:rPr>
        <w:t> </w:t>
      </w:r>
      <w:r>
        <w:rPr/>
        <w:t>à</w:t>
      </w:r>
      <w:r>
        <w:rPr>
          <w:spacing w:val="-20"/>
        </w:rPr>
        <w:t> </w:t>
      </w:r>
      <w:r>
        <w:rPr/>
        <w:t>fin</w:t>
      </w:r>
      <w:r>
        <w:rPr>
          <w:spacing w:val="-19"/>
        </w:rPr>
        <w:t> </w:t>
      </w:r>
      <w:r>
        <w:rPr/>
        <w:t>août),</w:t>
      </w:r>
      <w:r>
        <w:rPr>
          <w:spacing w:val="-18"/>
        </w:rPr>
        <w:t> </w:t>
      </w:r>
      <w:r>
        <w:rPr/>
        <w:t>être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défaut</w:t>
      </w:r>
      <w:r>
        <w:rPr>
          <w:spacing w:val="-20"/>
        </w:rPr>
        <w:t> </w:t>
      </w:r>
      <w:r>
        <w:rPr/>
        <w:t>au</w:t>
      </w:r>
      <w:r>
        <w:rPr>
          <w:spacing w:val="-19"/>
        </w:rPr>
        <w:t> </w:t>
      </w:r>
      <w:r>
        <w:rPr/>
        <w:t>titre de</w:t>
      </w:r>
      <w:r>
        <w:rPr>
          <w:spacing w:val="-18"/>
        </w:rPr>
        <w:t> </w:t>
      </w:r>
      <w:r>
        <w:rPr/>
        <w:t>son</w:t>
      </w:r>
      <w:r>
        <w:rPr>
          <w:spacing w:val="-17"/>
        </w:rPr>
        <w:t> </w:t>
      </w:r>
      <w:r>
        <w:rPr/>
        <w:t>RCF,</w:t>
      </w:r>
      <w:r>
        <w:rPr>
          <w:spacing w:val="-19"/>
        </w:rPr>
        <w:t> </w:t>
      </w:r>
      <w:r>
        <w:rPr/>
        <w:t>ce</w:t>
      </w:r>
      <w:r>
        <w:rPr>
          <w:spacing w:val="-20"/>
        </w:rPr>
        <w:t> </w:t>
      </w:r>
      <w:r>
        <w:rPr/>
        <w:t>qui</w:t>
      </w:r>
      <w:r>
        <w:rPr>
          <w:spacing w:val="-17"/>
        </w:rPr>
        <w:t> </w:t>
      </w:r>
      <w:r>
        <w:rPr/>
        <w:t>entrainerait</w:t>
      </w:r>
      <w:r>
        <w:rPr>
          <w:spacing w:val="-18"/>
        </w:rPr>
        <w:t> </w:t>
      </w:r>
      <w:r>
        <w:rPr/>
        <w:t>un</w:t>
      </w:r>
      <w:r>
        <w:rPr>
          <w:spacing w:val="-18"/>
        </w:rPr>
        <w:t> </w:t>
      </w:r>
      <w:r>
        <w:rPr/>
        <w:t>défaut</w:t>
      </w:r>
      <w:r>
        <w:rPr>
          <w:spacing w:val="-18"/>
        </w:rPr>
        <w:t> </w:t>
      </w:r>
      <w:r>
        <w:rPr/>
        <w:t>croisé</w:t>
      </w:r>
      <w:r>
        <w:rPr>
          <w:spacing w:val="-20"/>
        </w:rPr>
        <w:t> </w:t>
      </w:r>
      <w:r>
        <w:rPr/>
        <w:t>au</w:t>
      </w:r>
      <w:r>
        <w:rPr>
          <w:spacing w:val="-18"/>
        </w:rPr>
        <w:t> </w:t>
      </w:r>
      <w:r>
        <w:rPr/>
        <w:t>titre</w:t>
      </w:r>
      <w:r>
        <w:rPr>
          <w:spacing w:val="-16"/>
        </w:rPr>
        <w:t> </w:t>
      </w:r>
      <w:r>
        <w:rPr/>
        <w:t>d’une</w:t>
      </w:r>
      <w:r>
        <w:rPr>
          <w:spacing w:val="-17"/>
        </w:rPr>
        <w:t> </w:t>
      </w:r>
      <w:r>
        <w:rPr/>
        <w:t>partie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son</w:t>
      </w:r>
      <w:r>
        <w:rPr>
          <w:spacing w:val="-19"/>
        </w:rPr>
        <w:t> </w:t>
      </w:r>
      <w:r>
        <w:rPr/>
        <w:t>endettement financier</w:t>
      </w:r>
      <w:r>
        <w:rPr>
          <w:spacing w:val="-20"/>
        </w:rPr>
        <w:t> </w:t>
      </w:r>
      <w:r>
        <w:rPr/>
        <w:t>au</w:t>
      </w:r>
      <w:r>
        <w:rPr>
          <w:spacing w:val="-19"/>
        </w:rPr>
        <w:t> </w:t>
      </w:r>
      <w:r>
        <w:rPr/>
        <w:t>niveau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ses</w:t>
      </w:r>
      <w:r>
        <w:rPr>
          <w:spacing w:val="-20"/>
        </w:rPr>
        <w:t> </w:t>
      </w:r>
      <w:r>
        <w:rPr/>
        <w:t>filiales</w:t>
      </w:r>
      <w:r>
        <w:rPr>
          <w:spacing w:val="-19"/>
        </w:rPr>
        <w:t> </w:t>
      </w:r>
      <w:r>
        <w:rPr/>
        <w:t>opérationnelles.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</w:p>
    <w:p>
      <w:pPr>
        <w:spacing w:before="0"/>
        <w:ind w:left="46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-2"/>
          <w:sz w:val="20"/>
        </w:rPr>
        <w:t> </w:t>
      </w:r>
      <w:r>
        <w:rPr>
          <w:w w:val="85"/>
          <w:sz w:val="20"/>
        </w:rPr>
        <w:t>3</w:t>
      </w:r>
      <w:r>
        <w:rPr>
          <w:spacing w:val="-5"/>
          <w:sz w:val="20"/>
        </w:rPr>
        <w:t> </w:t>
      </w:r>
      <w:r>
        <w:rPr>
          <w:w w:val="85"/>
          <w:sz w:val="20"/>
        </w:rPr>
        <w:t>juillet</w:t>
      </w:r>
      <w:r>
        <w:rPr>
          <w:sz w:val="20"/>
        </w:rPr>
        <w:t> </w:t>
      </w:r>
      <w:r>
        <w:rPr>
          <w:w w:val="85"/>
          <w:sz w:val="20"/>
        </w:rPr>
        <w:t>2023</w:t>
      </w:r>
      <w:r>
        <w:rPr>
          <w:spacing w:val="-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▪</w:t>
      </w:r>
      <w:r>
        <w:rPr>
          <w:rFonts w:ascii="Tahoma" w:hAnsi="Tahoma"/>
          <w:b/>
          <w:color w:val="3CA05A"/>
          <w:spacing w:val="10"/>
          <w:sz w:val="20"/>
        </w:rPr>
        <w:t> </w:t>
      </w:r>
      <w:r>
        <w:rPr>
          <w:rFonts w:ascii="Tahoma" w:hAnsi="Tahoma"/>
          <w:b/>
          <w:color w:val="3CA05A"/>
          <w:spacing w:val="-10"/>
          <w:w w:val="8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60" w:bottom="280" w:left="700" w:right="620"/>
        </w:sectPr>
      </w:pPr>
    </w:p>
    <w:p>
      <w:pPr>
        <w:pStyle w:val="BodyText"/>
        <w:ind w:left="87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721359</wp:posOffset>
            </wp:positionH>
            <wp:positionV relativeFrom="page">
              <wp:posOffset>214912</wp:posOffset>
            </wp:positionV>
            <wp:extent cx="6837045" cy="1047747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047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6581775" cy="2157730"/>
                <wp:effectExtent l="19050" t="9525" r="9525" b="13969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581775" cy="215773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5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6" w:lineRule="auto"/>
                              <w:ind w:left="305" w:right="374"/>
                              <w:jc w:val="both"/>
                            </w:pPr>
                            <w:r>
                              <w:rPr/>
                              <w:t>En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anticipation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cette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date,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les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conciliateurs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ont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d’ores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et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déjà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sollicité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des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prêteurs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au titre du RCF qu’ils renoncent à déclarer toute exigibilité anticipée sur le fondement </w:t>
                            </w:r>
                            <w:r>
                              <w:rPr>
                                <w:spacing w:val="-6"/>
                              </w:rPr>
                              <w:t>d’éventuels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cas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défaut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au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titre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des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covenants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financiers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au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30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juin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2023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et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30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septembre </w:t>
                            </w:r>
                            <w:r>
                              <w:rPr/>
                              <w:t>2023 (cf. communiqué du 26 juin 2023). A date, ces prêteurs n’ont pas répondu à la </w:t>
                            </w:r>
                            <w:r>
                              <w:rPr>
                                <w:spacing w:val="-2"/>
                              </w:rPr>
                              <w:t>demande.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40"/>
                              <w:ind w:left="305" w:right="378"/>
                              <w:jc w:val="both"/>
                            </w:pPr>
                            <w:r>
                              <w:rPr>
                                <w:spacing w:val="-6"/>
                              </w:rPr>
                              <w:t>Pour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les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créanciers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ayant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déjà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refusé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ou refusant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les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demandes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des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conciliateurs,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le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Groupe </w:t>
                            </w:r>
                            <w:r>
                              <w:rPr>
                                <w:spacing w:val="-4"/>
                              </w:rPr>
                              <w:t>prendra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toutes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les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mesures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pour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assurer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un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traitement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identique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des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créanciers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concernés </w:t>
                            </w:r>
                            <w:r>
                              <w:rPr/>
                              <w:t>et préserver sa liquidité le temps de la procédure de conciliation.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18.25pt;height:169.9pt;mso-position-horizontal-relative:char;mso-position-vertical-relative:line" type="#_x0000_t202" id="docshape2" filled="false" stroked="true" strokeweight="2pt" strokecolor="#6460a9">
                <w10:anchorlock/>
                <v:textbox inset="0,0,0,0">
                  <w:txbxContent>
                    <w:p>
                      <w:pPr>
                        <w:pStyle w:val="BodyText"/>
                        <w:spacing w:before="55"/>
                        <w:rPr>
                          <w:rFonts w:ascii="Tahoma"/>
                          <w:b/>
                        </w:rPr>
                      </w:pPr>
                    </w:p>
                    <w:p>
                      <w:pPr>
                        <w:pStyle w:val="BodyText"/>
                        <w:spacing w:line="266" w:lineRule="auto"/>
                        <w:ind w:left="305" w:right="374"/>
                        <w:jc w:val="both"/>
                      </w:pPr>
                      <w:r>
                        <w:rPr/>
                        <w:t>En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anticipation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cette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date,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les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conciliateurs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ont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d’ores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et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déjà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sollicité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des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prêteurs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au titre du RCF qu’ils renoncent à déclarer toute exigibilité anticipée sur le fondement </w:t>
                      </w:r>
                      <w:r>
                        <w:rPr>
                          <w:spacing w:val="-6"/>
                        </w:rPr>
                        <w:t>d’éventuels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6"/>
                        </w:rPr>
                        <w:t>cas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de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défaut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6"/>
                        </w:rPr>
                        <w:t>au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6"/>
                        </w:rPr>
                        <w:t>titre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des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covenants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financiers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au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30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juin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2023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et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30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6"/>
                        </w:rPr>
                        <w:t>septembre </w:t>
                      </w:r>
                      <w:r>
                        <w:rPr/>
                        <w:t>2023 (cf. communiqué du 26 juin 2023). A date, ces prêteurs n’ont pas répondu à la </w:t>
                      </w:r>
                      <w:r>
                        <w:rPr>
                          <w:spacing w:val="-2"/>
                        </w:rPr>
                        <w:t>demande.</w:t>
                      </w:r>
                    </w:p>
                    <w:p>
                      <w:pPr>
                        <w:pStyle w:val="BodyText"/>
                        <w:spacing w:line="266" w:lineRule="auto" w:before="240"/>
                        <w:ind w:left="305" w:right="378"/>
                        <w:jc w:val="both"/>
                      </w:pPr>
                      <w:r>
                        <w:rPr>
                          <w:spacing w:val="-6"/>
                        </w:rPr>
                        <w:t>Pour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6"/>
                        </w:rPr>
                        <w:t>les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6"/>
                        </w:rPr>
                        <w:t>créanciers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6"/>
                        </w:rPr>
                        <w:t>ayant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6"/>
                        </w:rPr>
                        <w:t>déjà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6"/>
                        </w:rPr>
                        <w:t>refusé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6"/>
                        </w:rPr>
                        <w:t>ou refusant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6"/>
                        </w:rPr>
                        <w:t>les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6"/>
                        </w:rPr>
                        <w:t>demandes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6"/>
                        </w:rPr>
                        <w:t>des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6"/>
                        </w:rPr>
                        <w:t>conciliateurs,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6"/>
                        </w:rPr>
                        <w:t>le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6"/>
                        </w:rPr>
                        <w:t>Groupe </w:t>
                      </w:r>
                      <w:r>
                        <w:rPr>
                          <w:spacing w:val="-4"/>
                        </w:rPr>
                        <w:t>prendra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4"/>
                        </w:rPr>
                        <w:t>toutes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4"/>
                        </w:rPr>
                        <w:t>les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mesures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pour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assurer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un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traitement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4"/>
                        </w:rPr>
                        <w:t>identique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des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créanciers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4"/>
                        </w:rPr>
                        <w:t>concernés </w:t>
                      </w:r>
                      <w:r>
                        <w:rPr/>
                        <w:t>et préserver sa liquidité le temps de la procédure de conciliation.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2"/>
        <w:rPr>
          <w:rFonts w:ascii="Tahoma"/>
          <w:b/>
        </w:rPr>
      </w:pPr>
    </w:p>
    <w:p>
      <w:pPr>
        <w:spacing w:line="278" w:lineRule="auto" w:before="1"/>
        <w:ind w:left="432" w:right="512" w:firstLine="0"/>
        <w:jc w:val="both"/>
        <w:rPr>
          <w:i/>
          <w:sz w:val="22"/>
        </w:rPr>
      </w:pPr>
      <w:r>
        <w:rPr>
          <w:i/>
          <w:spacing w:val="-2"/>
          <w:sz w:val="22"/>
        </w:rPr>
        <w:t>Ce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communiqué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a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été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préparé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uniquement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à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titre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informatif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et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ne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doit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pas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être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interprété </w:t>
      </w:r>
      <w:r>
        <w:rPr>
          <w:i/>
          <w:sz w:val="22"/>
        </w:rPr>
        <w:t>comme une sollicitation ou une offre d'achat ou de vente de valeurs mobilières ou </w:t>
      </w:r>
      <w:r>
        <w:rPr>
          <w:i/>
          <w:spacing w:val="-8"/>
          <w:sz w:val="22"/>
        </w:rPr>
        <w:t>instruments financiers connexes. De même,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il ne donne pas et ne doit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pas être traité comme </w:t>
      </w:r>
      <w:r>
        <w:rPr>
          <w:i/>
          <w:sz w:val="22"/>
        </w:rPr>
        <w:t>un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conseil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d'investissement.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n'a aucun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égard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aux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objectifs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placement,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situation financière ou des besoins particuliers de tout récepteur. Aucune représentation ou </w:t>
      </w:r>
      <w:r>
        <w:rPr>
          <w:i/>
          <w:spacing w:val="-4"/>
          <w:sz w:val="22"/>
        </w:rPr>
        <w:t>garantie,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expresse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ou</w:t>
      </w:r>
      <w:r>
        <w:rPr>
          <w:i/>
          <w:spacing w:val="-14"/>
          <w:sz w:val="22"/>
        </w:rPr>
        <w:t> </w:t>
      </w:r>
      <w:r>
        <w:rPr>
          <w:i/>
          <w:spacing w:val="-4"/>
          <w:sz w:val="22"/>
        </w:rPr>
        <w:t>implicite,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n'est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fournie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par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rapport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à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l'exactitude,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l'exhaustivité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ou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la fiabilité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des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informations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contenues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dans</w:t>
      </w:r>
      <w:r>
        <w:rPr>
          <w:i/>
          <w:spacing w:val="-16"/>
          <w:sz w:val="22"/>
        </w:rPr>
        <w:t> </w:t>
      </w:r>
      <w:r>
        <w:rPr>
          <w:i/>
          <w:spacing w:val="-4"/>
          <w:sz w:val="22"/>
        </w:rPr>
        <w:t>ce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document.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Il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ne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devrait</w:t>
      </w:r>
      <w:r>
        <w:rPr>
          <w:i/>
          <w:spacing w:val="-14"/>
          <w:sz w:val="22"/>
        </w:rPr>
        <w:t> </w:t>
      </w:r>
      <w:r>
        <w:rPr>
          <w:i/>
          <w:spacing w:val="-4"/>
          <w:sz w:val="22"/>
        </w:rPr>
        <w:t>pas</w:t>
      </w:r>
      <w:r>
        <w:rPr>
          <w:i/>
          <w:spacing w:val="-16"/>
          <w:sz w:val="22"/>
        </w:rPr>
        <w:t> </w:t>
      </w:r>
      <w:r>
        <w:rPr>
          <w:i/>
          <w:spacing w:val="-4"/>
          <w:sz w:val="22"/>
        </w:rPr>
        <w:t>être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considéré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par </w:t>
      </w:r>
      <w:r>
        <w:rPr>
          <w:i/>
          <w:sz w:val="22"/>
        </w:rPr>
        <w:t>les bénéficiaires comme un substitut à l'exercice de leur propre jugement. Toutes les </w:t>
      </w:r>
      <w:r>
        <w:rPr>
          <w:i/>
          <w:spacing w:val="-2"/>
          <w:sz w:val="22"/>
        </w:rPr>
        <w:t>opinions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exprimées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dans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ce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document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sont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sujettes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à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changement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sans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préavis.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0"/>
        <w:rPr>
          <w:i/>
        </w:rPr>
      </w:pPr>
    </w:p>
    <w:p>
      <w:pPr>
        <w:spacing w:before="1"/>
        <w:ind w:left="4" w:right="8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pacing w:val="-5"/>
          <w:sz w:val="22"/>
        </w:rPr>
        <w:t>***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3"/>
        <w:rPr>
          <w:rFonts w:ascii="Arial"/>
          <w:b/>
        </w:rPr>
      </w:pPr>
    </w:p>
    <w:p>
      <w:pPr>
        <w:pStyle w:val="Heading1"/>
        <w:ind w:left="3"/>
        <w:rPr>
          <w:rFonts w:ascii="Arial"/>
        </w:rPr>
      </w:pPr>
      <w:r>
        <w:rPr>
          <w:rFonts w:ascii="Arial"/>
          <w:color w:val="6460A9"/>
        </w:rPr>
        <w:t>CONTACTS</w:t>
      </w:r>
      <w:r>
        <w:rPr>
          <w:rFonts w:ascii="Arial"/>
          <w:color w:val="6460A9"/>
          <w:spacing w:val="-4"/>
        </w:rPr>
        <w:t> </w:t>
      </w:r>
      <w:r>
        <w:rPr>
          <w:rFonts w:ascii="Arial"/>
          <w:color w:val="6460A9"/>
        </w:rPr>
        <w:t>ANALYSTES</w:t>
      </w:r>
      <w:r>
        <w:rPr>
          <w:rFonts w:ascii="Arial"/>
          <w:color w:val="6460A9"/>
          <w:spacing w:val="-6"/>
        </w:rPr>
        <w:t> </w:t>
      </w:r>
      <w:r>
        <w:rPr>
          <w:rFonts w:ascii="Arial"/>
          <w:color w:val="6460A9"/>
        </w:rPr>
        <w:t>ET</w:t>
      </w:r>
      <w:r>
        <w:rPr>
          <w:rFonts w:ascii="Arial"/>
          <w:color w:val="6460A9"/>
          <w:spacing w:val="-8"/>
        </w:rPr>
        <w:t> </w:t>
      </w:r>
      <w:r>
        <w:rPr>
          <w:rFonts w:ascii="Arial"/>
          <w:color w:val="6460A9"/>
          <w:spacing w:val="-2"/>
        </w:rPr>
        <w:t>INVESTISSEURS</w:t>
      </w:r>
    </w:p>
    <w:p>
      <w:pPr>
        <w:spacing w:before="44"/>
        <w:ind w:left="2806" w:right="2888" w:firstLine="0"/>
        <w:jc w:val="center"/>
        <w:rPr>
          <w:sz w:val="22"/>
        </w:rPr>
      </w:pPr>
      <w:r>
        <w:rPr>
          <w:rFonts w:ascii="Tahoma" w:hAnsi="Tahoma"/>
          <w:b/>
          <w:w w:val="85"/>
          <w:sz w:val="22"/>
        </w:rPr>
        <w:t>Christopher WELTON</w:t>
      </w:r>
      <w:r>
        <w:rPr>
          <w:rFonts w:ascii="Tahoma" w:hAnsi="Tahoma"/>
          <w:b/>
          <w:sz w:val="22"/>
        </w:rPr>
        <w:t> </w:t>
      </w:r>
      <w:r>
        <w:rPr>
          <w:w w:val="85"/>
          <w:sz w:val="22"/>
        </w:rPr>
        <w:t>– Tél : +33 (0)1 53 65 64 17 </w:t>
      </w:r>
      <w:hyperlink r:id="rId6">
        <w:r>
          <w:rPr>
            <w:spacing w:val="-2"/>
            <w:sz w:val="22"/>
            <w:u w:val="single"/>
          </w:rPr>
          <w:t>cwelton.exterieur@groupe-casino.fr</w:t>
        </w:r>
      </w:hyperlink>
    </w:p>
    <w:p>
      <w:pPr>
        <w:pStyle w:val="Heading1"/>
        <w:spacing w:before="7"/>
      </w:pPr>
      <w:r>
        <w:rPr>
          <w:spacing w:val="-5"/>
        </w:rPr>
        <w:t>ou</w:t>
      </w:r>
    </w:p>
    <w:p>
      <w:pPr>
        <w:pStyle w:val="BodyText"/>
        <w:spacing w:before="43"/>
        <w:ind w:left="1" w:right="82"/>
        <w:jc w:val="center"/>
      </w:pPr>
      <w:r>
        <w:rPr>
          <w:spacing w:val="-2"/>
          <w:w w:val="85"/>
        </w:rPr>
        <w:t>+33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(0)1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53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65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24</w:t>
      </w:r>
      <w:r>
        <w:rPr>
          <w:spacing w:val="-3"/>
          <w:w w:val="85"/>
        </w:rPr>
        <w:t> </w:t>
      </w:r>
      <w:r>
        <w:rPr>
          <w:spacing w:val="-5"/>
          <w:w w:val="85"/>
        </w:rPr>
        <w:t>17</w:t>
      </w:r>
    </w:p>
    <w:p>
      <w:pPr>
        <w:pStyle w:val="BodyText"/>
        <w:spacing w:before="42"/>
        <w:ind w:left="6" w:right="82"/>
        <w:jc w:val="center"/>
      </w:pPr>
      <w:hyperlink r:id="rId7">
        <w:r>
          <w:rPr>
            <w:w w:val="90"/>
            <w:u w:val="single"/>
          </w:rPr>
          <w:t>IR_Casino@groupe-</w:t>
        </w:r>
        <w:r>
          <w:rPr>
            <w:spacing w:val="-2"/>
            <w:u w:val="single"/>
          </w:rPr>
          <w:t>casino.fr</w:t>
        </w:r>
      </w:hyperlink>
    </w:p>
    <w:p>
      <w:pPr>
        <w:pStyle w:val="BodyText"/>
      </w:pPr>
    </w:p>
    <w:p>
      <w:pPr>
        <w:pStyle w:val="BodyText"/>
        <w:spacing w:before="144"/>
      </w:pPr>
    </w:p>
    <w:p>
      <w:pPr>
        <w:pStyle w:val="Heading1"/>
        <w:ind w:left="15"/>
        <w:rPr>
          <w:rFonts w:ascii="Arial"/>
        </w:rPr>
      </w:pPr>
      <w:r>
        <w:rPr>
          <w:rFonts w:ascii="Arial"/>
          <w:color w:val="6460A9"/>
          <w:spacing w:val="-10"/>
        </w:rPr>
        <w:t>CONTACTS</w:t>
      </w:r>
      <w:r>
        <w:rPr>
          <w:rFonts w:ascii="Arial"/>
          <w:color w:val="6460A9"/>
          <w:spacing w:val="-19"/>
        </w:rPr>
        <w:t> </w:t>
      </w:r>
      <w:r>
        <w:rPr>
          <w:rFonts w:ascii="Arial"/>
          <w:color w:val="6460A9"/>
          <w:spacing w:val="-2"/>
        </w:rPr>
        <w:t>PRESSE</w:t>
      </w:r>
    </w:p>
    <w:p>
      <w:pPr>
        <w:spacing w:before="10"/>
        <w:ind w:left="4" w:right="82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pacing w:val="-2"/>
          <w:sz w:val="22"/>
        </w:rPr>
        <w:t>Groupe</w:t>
      </w:r>
      <w:r>
        <w:rPr>
          <w:rFonts w:ascii="Tahoma" w:hAnsi="Tahoma"/>
          <w:b/>
          <w:spacing w:val="-10"/>
          <w:sz w:val="22"/>
        </w:rPr>
        <w:t> </w:t>
      </w:r>
      <w:r>
        <w:rPr>
          <w:rFonts w:ascii="Tahoma" w:hAnsi="Tahoma"/>
          <w:b/>
          <w:spacing w:val="-2"/>
          <w:sz w:val="22"/>
        </w:rPr>
        <w:t>Casino</w:t>
      </w:r>
      <w:r>
        <w:rPr>
          <w:rFonts w:ascii="Tahoma" w:hAnsi="Tahoma"/>
          <w:b/>
          <w:spacing w:val="-9"/>
          <w:sz w:val="22"/>
        </w:rPr>
        <w:t> </w:t>
      </w:r>
      <w:r>
        <w:rPr>
          <w:rFonts w:ascii="Tahoma" w:hAnsi="Tahoma"/>
          <w:b/>
          <w:spacing w:val="-2"/>
          <w:sz w:val="22"/>
        </w:rPr>
        <w:t>–</w:t>
      </w:r>
      <w:r>
        <w:rPr>
          <w:rFonts w:ascii="Tahoma" w:hAnsi="Tahoma"/>
          <w:b/>
          <w:spacing w:val="-8"/>
          <w:sz w:val="22"/>
        </w:rPr>
        <w:t> </w:t>
      </w:r>
      <w:r>
        <w:rPr>
          <w:rFonts w:ascii="Tahoma" w:hAnsi="Tahoma"/>
          <w:b/>
          <w:spacing w:val="-2"/>
          <w:sz w:val="22"/>
        </w:rPr>
        <w:t>Direction</w:t>
      </w:r>
      <w:r>
        <w:rPr>
          <w:rFonts w:ascii="Tahoma" w:hAnsi="Tahoma"/>
          <w:b/>
          <w:spacing w:val="-10"/>
          <w:sz w:val="22"/>
        </w:rPr>
        <w:t> </w:t>
      </w:r>
      <w:r>
        <w:rPr>
          <w:rFonts w:ascii="Tahoma" w:hAnsi="Tahoma"/>
          <w:b/>
          <w:spacing w:val="-2"/>
          <w:sz w:val="22"/>
        </w:rPr>
        <w:t>de</w:t>
      </w:r>
      <w:r>
        <w:rPr>
          <w:rFonts w:ascii="Tahoma" w:hAnsi="Tahoma"/>
          <w:b/>
          <w:spacing w:val="-8"/>
          <w:sz w:val="22"/>
        </w:rPr>
        <w:t> </w:t>
      </w:r>
      <w:r>
        <w:rPr>
          <w:rFonts w:ascii="Tahoma" w:hAnsi="Tahoma"/>
          <w:b/>
          <w:spacing w:val="-2"/>
          <w:sz w:val="22"/>
        </w:rPr>
        <w:t>la</w:t>
      </w:r>
      <w:r>
        <w:rPr>
          <w:rFonts w:ascii="Tahoma" w:hAnsi="Tahoma"/>
          <w:b/>
          <w:spacing w:val="-8"/>
          <w:sz w:val="22"/>
        </w:rPr>
        <w:t> </w:t>
      </w:r>
      <w:r>
        <w:rPr>
          <w:rFonts w:ascii="Tahoma" w:hAnsi="Tahoma"/>
          <w:b/>
          <w:spacing w:val="-2"/>
          <w:sz w:val="22"/>
        </w:rPr>
        <w:t>Communication</w:t>
      </w:r>
    </w:p>
    <w:p>
      <w:pPr>
        <w:pStyle w:val="BodyText"/>
        <w:spacing w:before="2"/>
        <w:ind w:left="1" w:right="82"/>
        <w:jc w:val="center"/>
      </w:pPr>
      <w:r>
        <w:rPr>
          <w:w w:val="90"/>
        </w:rPr>
        <w:t>Stéphanie</w:t>
      </w:r>
      <w:r>
        <w:rPr>
          <w:spacing w:val="9"/>
        </w:rPr>
        <w:t> </w:t>
      </w:r>
      <w:r>
        <w:rPr>
          <w:w w:val="90"/>
        </w:rPr>
        <w:t>Abadie</w:t>
      </w:r>
      <w:r>
        <w:rPr>
          <w:spacing w:val="11"/>
        </w:rPr>
        <w:t> </w:t>
      </w:r>
      <w:r>
        <w:rPr>
          <w:w w:val="90"/>
        </w:rPr>
        <w:t>-</w:t>
      </w:r>
      <w:r>
        <w:rPr>
          <w:spacing w:val="9"/>
        </w:rPr>
        <w:t> </w:t>
      </w:r>
      <w:hyperlink r:id="rId8">
        <w:r>
          <w:rPr>
            <w:w w:val="90"/>
          </w:rPr>
          <w:t>sabadie@groupe-casino.fr</w:t>
        </w:r>
      </w:hyperlink>
      <w:r>
        <w:rPr>
          <w:spacing w:val="11"/>
        </w:rPr>
        <w:t> </w:t>
      </w:r>
      <w:r>
        <w:rPr>
          <w:w w:val="90"/>
        </w:rPr>
        <w:t>-</w:t>
      </w:r>
      <w:r>
        <w:rPr>
          <w:spacing w:val="7"/>
        </w:rPr>
        <w:t> </w:t>
      </w:r>
      <w:r>
        <w:rPr>
          <w:w w:val="90"/>
        </w:rPr>
        <w:t>+33</w:t>
      </w:r>
      <w:r>
        <w:rPr>
          <w:spacing w:val="8"/>
        </w:rPr>
        <w:t> </w:t>
      </w:r>
      <w:r>
        <w:rPr>
          <w:w w:val="90"/>
        </w:rPr>
        <w:t>(0)6</w:t>
      </w:r>
      <w:r>
        <w:rPr>
          <w:spacing w:val="8"/>
        </w:rPr>
        <w:t> </w:t>
      </w:r>
      <w:r>
        <w:rPr>
          <w:w w:val="90"/>
        </w:rPr>
        <w:t>26</w:t>
      </w:r>
      <w:r>
        <w:rPr>
          <w:spacing w:val="8"/>
        </w:rPr>
        <w:t> </w:t>
      </w:r>
      <w:r>
        <w:rPr>
          <w:w w:val="90"/>
        </w:rPr>
        <w:t>27</w:t>
      </w:r>
      <w:r>
        <w:rPr>
          <w:spacing w:val="8"/>
        </w:rPr>
        <w:t> </w:t>
      </w:r>
      <w:r>
        <w:rPr>
          <w:w w:val="90"/>
        </w:rPr>
        <w:t>37</w:t>
      </w:r>
      <w:r>
        <w:rPr>
          <w:spacing w:val="8"/>
        </w:rPr>
        <w:t> </w:t>
      </w:r>
      <w:r>
        <w:rPr>
          <w:spacing w:val="-5"/>
          <w:w w:val="90"/>
        </w:rPr>
        <w:t>05</w:t>
      </w:r>
    </w:p>
    <w:p>
      <w:pPr>
        <w:pStyle w:val="Heading1"/>
        <w:spacing w:before="2"/>
      </w:pPr>
      <w:r>
        <w:rPr>
          <w:spacing w:val="-5"/>
        </w:rPr>
        <w:t>ou</w:t>
      </w:r>
    </w:p>
    <w:p>
      <w:pPr>
        <w:pStyle w:val="BodyText"/>
        <w:spacing w:before="5"/>
        <w:ind w:left="3" w:right="82"/>
        <w:jc w:val="center"/>
      </w:pPr>
      <w:r>
        <w:rPr>
          <w:w w:val="90"/>
        </w:rPr>
        <w:t>+33(0)1</w:t>
      </w:r>
      <w:r>
        <w:rPr>
          <w:spacing w:val="23"/>
        </w:rPr>
        <w:t> </w:t>
      </w:r>
      <w:r>
        <w:rPr>
          <w:w w:val="90"/>
        </w:rPr>
        <w:t>53</w:t>
      </w:r>
      <w:r>
        <w:rPr>
          <w:spacing w:val="23"/>
        </w:rPr>
        <w:t> </w:t>
      </w:r>
      <w:r>
        <w:rPr>
          <w:w w:val="90"/>
        </w:rPr>
        <w:t>65</w:t>
      </w:r>
      <w:r>
        <w:rPr>
          <w:spacing w:val="23"/>
        </w:rPr>
        <w:t> </w:t>
      </w:r>
      <w:r>
        <w:rPr>
          <w:w w:val="90"/>
        </w:rPr>
        <w:t>24</w:t>
      </w:r>
      <w:r>
        <w:rPr>
          <w:spacing w:val="24"/>
        </w:rPr>
        <w:t> </w:t>
      </w:r>
      <w:r>
        <w:rPr>
          <w:w w:val="90"/>
        </w:rPr>
        <w:t>78</w:t>
      </w:r>
      <w:r>
        <w:rPr>
          <w:spacing w:val="26"/>
        </w:rPr>
        <w:t> </w:t>
      </w:r>
      <w:r>
        <w:rPr>
          <w:w w:val="90"/>
        </w:rPr>
        <w:t>-</w:t>
      </w:r>
      <w:r>
        <w:rPr>
          <w:spacing w:val="25"/>
        </w:rPr>
        <w:t> </w:t>
      </w:r>
      <w:hyperlink r:id="rId9">
        <w:r>
          <w:rPr>
            <w:w w:val="90"/>
            <w:u w:val="single"/>
          </w:rPr>
          <w:t>directiondelacommunication@groupe-</w:t>
        </w:r>
        <w:r>
          <w:rPr>
            <w:spacing w:val="-2"/>
            <w:w w:val="90"/>
            <w:u w:val="single"/>
          </w:rPr>
          <w:t>casino.fr</w:t>
        </w:r>
      </w:hyperlink>
    </w:p>
    <w:p>
      <w:pPr>
        <w:pStyle w:val="BodyText"/>
        <w:spacing w:before="6"/>
      </w:pPr>
    </w:p>
    <w:p>
      <w:pPr>
        <w:pStyle w:val="Heading1"/>
        <w:ind w:left="2"/>
      </w:pPr>
      <w:r>
        <w:rPr/>
        <w:t>Agence</w:t>
      </w:r>
      <w:r>
        <w:rPr>
          <w:spacing w:val="6"/>
        </w:rPr>
        <w:t> </w:t>
      </w:r>
      <w:r>
        <w:rPr/>
        <w:t>IMAGE</w:t>
      </w:r>
      <w:r>
        <w:rPr>
          <w:spacing w:val="1"/>
        </w:rPr>
        <w:t> </w:t>
      </w:r>
      <w:r>
        <w:rPr>
          <w:spacing w:val="-10"/>
        </w:rPr>
        <w:t>7</w:t>
      </w:r>
    </w:p>
    <w:p>
      <w:pPr>
        <w:pStyle w:val="BodyText"/>
        <w:spacing w:before="2"/>
        <w:ind w:left="3" w:right="82"/>
        <w:jc w:val="center"/>
      </w:pPr>
      <w:r>
        <w:rPr>
          <w:w w:val="85"/>
        </w:rPr>
        <w:t>Karine</w:t>
      </w:r>
      <w:r>
        <w:rPr>
          <w:spacing w:val="-12"/>
        </w:rPr>
        <w:t> </w:t>
      </w:r>
      <w:r>
        <w:rPr>
          <w:w w:val="85"/>
        </w:rPr>
        <w:t>Allouis</w:t>
      </w:r>
      <w:r>
        <w:rPr>
          <w:spacing w:val="-11"/>
        </w:rPr>
        <w:t> </w:t>
      </w:r>
      <w:r>
        <w:rPr>
          <w:w w:val="85"/>
        </w:rPr>
        <w:t>–</w:t>
      </w:r>
      <w:r>
        <w:rPr>
          <w:spacing w:val="-1"/>
          <w:w w:val="85"/>
        </w:rPr>
        <w:t> </w:t>
      </w:r>
      <w:r>
        <w:rPr>
          <w:w w:val="85"/>
        </w:rPr>
        <w:t>Tel</w:t>
      </w:r>
      <w:r>
        <w:rPr>
          <w:spacing w:val="-10"/>
        </w:rPr>
        <w:t> </w:t>
      </w:r>
      <w:r>
        <w:rPr>
          <w:w w:val="85"/>
        </w:rPr>
        <w:t>:</w:t>
      </w:r>
      <w:r>
        <w:rPr>
          <w:spacing w:val="-2"/>
          <w:w w:val="85"/>
        </w:rPr>
        <w:t> </w:t>
      </w:r>
      <w:r>
        <w:rPr>
          <w:w w:val="85"/>
        </w:rPr>
        <w:t>+33(0)1</w:t>
      </w:r>
      <w:r>
        <w:rPr>
          <w:spacing w:val="-1"/>
          <w:w w:val="85"/>
        </w:rPr>
        <w:t> </w:t>
      </w:r>
      <w:r>
        <w:rPr>
          <w:w w:val="85"/>
        </w:rPr>
        <w:t>53</w:t>
      </w:r>
      <w:r>
        <w:rPr>
          <w:spacing w:val="-2"/>
          <w:w w:val="85"/>
        </w:rPr>
        <w:t> </w:t>
      </w:r>
      <w:r>
        <w:rPr>
          <w:w w:val="85"/>
        </w:rPr>
        <w:t>70</w:t>
      </w:r>
      <w:r>
        <w:rPr>
          <w:spacing w:val="-1"/>
          <w:w w:val="85"/>
        </w:rPr>
        <w:t> </w:t>
      </w:r>
      <w:r>
        <w:rPr>
          <w:w w:val="85"/>
        </w:rPr>
        <w:t>74</w:t>
      </w:r>
      <w:r>
        <w:rPr>
          <w:spacing w:val="-1"/>
          <w:w w:val="85"/>
        </w:rPr>
        <w:t> </w:t>
      </w:r>
      <w:r>
        <w:rPr>
          <w:w w:val="85"/>
        </w:rPr>
        <w:t>84</w:t>
      </w:r>
      <w:r>
        <w:rPr>
          <w:spacing w:val="-11"/>
        </w:rPr>
        <w:t> </w:t>
      </w:r>
      <w:r>
        <w:rPr>
          <w:w w:val="85"/>
        </w:rPr>
        <w:t>-</w:t>
      </w:r>
      <w:r>
        <w:rPr>
          <w:spacing w:val="-12"/>
        </w:rPr>
        <w:t> </w:t>
      </w:r>
      <w:hyperlink r:id="rId10">
        <w:r>
          <w:rPr>
            <w:spacing w:val="-2"/>
            <w:w w:val="85"/>
            <w:u w:val="single"/>
          </w:rPr>
          <w:t>kallouis@image7.fr</w:t>
        </w:r>
      </w:hyperlink>
    </w:p>
    <w:p>
      <w:pPr>
        <w:pStyle w:val="BodyText"/>
        <w:spacing w:before="2"/>
        <w:ind w:left="5" w:right="82"/>
        <w:jc w:val="center"/>
      </w:pPr>
      <w:r>
        <w:rPr>
          <w:w w:val="85"/>
        </w:rPr>
        <w:t>Laurent</w:t>
      </w:r>
      <w:r>
        <w:rPr>
          <w:spacing w:val="-7"/>
        </w:rPr>
        <w:t> </w:t>
      </w:r>
      <w:r>
        <w:rPr>
          <w:w w:val="85"/>
        </w:rPr>
        <w:t>Poinsot</w:t>
      </w:r>
      <w:r>
        <w:rPr>
          <w:spacing w:val="-4"/>
        </w:rPr>
        <w:t> </w:t>
      </w:r>
      <w:r>
        <w:rPr>
          <w:w w:val="85"/>
        </w:rPr>
        <w:t>–</w:t>
      </w:r>
      <w:r>
        <w:rPr>
          <w:spacing w:val="-7"/>
        </w:rPr>
        <w:t> </w:t>
      </w:r>
      <w:r>
        <w:rPr>
          <w:w w:val="85"/>
        </w:rPr>
        <w:t>Tel</w:t>
      </w:r>
      <w:r>
        <w:rPr>
          <w:spacing w:val="-3"/>
        </w:rPr>
        <w:t> </w:t>
      </w:r>
      <w:r>
        <w:rPr>
          <w:w w:val="85"/>
        </w:rPr>
        <w:t>:</w:t>
      </w:r>
      <w:r>
        <w:rPr>
          <w:spacing w:val="-7"/>
        </w:rPr>
        <w:t> </w:t>
      </w:r>
      <w:r>
        <w:rPr>
          <w:w w:val="85"/>
        </w:rPr>
        <w:t>+</w:t>
      </w:r>
      <w:r>
        <w:rPr>
          <w:spacing w:val="-5"/>
        </w:rPr>
        <w:t> </w:t>
      </w:r>
      <w:r>
        <w:rPr>
          <w:w w:val="85"/>
        </w:rPr>
        <w:t>33(0)6</w:t>
      </w:r>
      <w:r>
        <w:rPr>
          <w:spacing w:val="-4"/>
        </w:rPr>
        <w:t> </w:t>
      </w:r>
      <w:r>
        <w:rPr>
          <w:w w:val="85"/>
        </w:rPr>
        <w:t>80</w:t>
      </w:r>
      <w:r>
        <w:rPr>
          <w:spacing w:val="-6"/>
        </w:rPr>
        <w:t> </w:t>
      </w:r>
      <w:r>
        <w:rPr>
          <w:w w:val="85"/>
        </w:rPr>
        <w:t>11</w:t>
      </w:r>
      <w:r>
        <w:rPr>
          <w:spacing w:val="-6"/>
        </w:rPr>
        <w:t> </w:t>
      </w:r>
      <w:r>
        <w:rPr>
          <w:w w:val="85"/>
        </w:rPr>
        <w:t>73</w:t>
      </w:r>
      <w:r>
        <w:rPr>
          <w:spacing w:val="-6"/>
        </w:rPr>
        <w:t> </w:t>
      </w:r>
      <w:r>
        <w:rPr>
          <w:w w:val="85"/>
        </w:rPr>
        <w:t>52</w:t>
      </w:r>
      <w:r>
        <w:rPr>
          <w:spacing w:val="-5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 </w:t>
      </w:r>
      <w:hyperlink r:id="rId11">
        <w:r>
          <w:rPr>
            <w:spacing w:val="-2"/>
            <w:w w:val="85"/>
            <w:u w:val="single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spacing w:before="1"/>
        <w:ind w:left="46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-2"/>
          <w:sz w:val="20"/>
        </w:rPr>
        <w:t> </w:t>
      </w:r>
      <w:r>
        <w:rPr>
          <w:w w:val="85"/>
          <w:sz w:val="20"/>
        </w:rPr>
        <w:t>3</w:t>
      </w:r>
      <w:r>
        <w:rPr>
          <w:spacing w:val="-5"/>
          <w:sz w:val="20"/>
        </w:rPr>
        <w:t> </w:t>
      </w:r>
      <w:r>
        <w:rPr>
          <w:w w:val="85"/>
          <w:sz w:val="20"/>
        </w:rPr>
        <w:t>juillet</w:t>
      </w:r>
      <w:r>
        <w:rPr>
          <w:sz w:val="20"/>
        </w:rPr>
        <w:t> </w:t>
      </w:r>
      <w:r>
        <w:rPr>
          <w:w w:val="85"/>
          <w:sz w:val="20"/>
        </w:rPr>
        <w:t>2023</w:t>
      </w:r>
      <w:r>
        <w:rPr>
          <w:spacing w:val="-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▪</w:t>
      </w:r>
      <w:r>
        <w:rPr>
          <w:rFonts w:ascii="Tahoma" w:hAnsi="Tahoma"/>
          <w:b/>
          <w:color w:val="3CA05A"/>
          <w:spacing w:val="10"/>
          <w:sz w:val="20"/>
        </w:rPr>
        <w:t> </w:t>
      </w:r>
      <w:r>
        <w:rPr>
          <w:rFonts w:ascii="Tahoma" w:hAnsi="Tahoma"/>
          <w:b/>
          <w:color w:val="3CA05A"/>
          <w:spacing w:val="-10"/>
          <w:w w:val="85"/>
          <w:sz w:val="20"/>
        </w:rPr>
        <w:t>2</w:t>
      </w:r>
    </w:p>
    <w:sectPr>
      <w:pgSz w:w="11910" w:h="16840"/>
      <w:pgMar w:top="1360" w:bottom="28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5" w:right="82"/>
      <w:jc w:val="center"/>
      <w:outlineLvl w:val="1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right="82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2023-12-04T14:31:52Z</dcterms:created>
  <dcterms:modified xsi:type="dcterms:W3CDTF">2023-12-04T14:31:52Z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LastSaved">
    <vt:filetime>2023-12-04T00:00:00Z</vt:filetime>
  </property>
</Properties>
</file>