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6.099998pt;margin-top:16.922216pt;width:559.050pt;height:825pt;mso-position-horizontal-relative:page;mso-position-vertical-relative:page;z-index:-15769600" coordorigin="722,338" coordsize="11181,16500">
            <v:shape style="position:absolute;left:1136;top:338;width:10767;height:16500" type="#_x0000_t75" stroked="false">
              <v:imagedata r:id="rId5" o:title=""/>
            </v:shape>
            <v:rect style="position:absolute;left:742;top:1309;width:10365;height:6392" filled="false" stroked="true" strokeweight="2pt" strokecolor="#6460a9">
              <v:stroke dashstyle="solid"/>
            </v:rect>
            <v:rect style="position:absolute;left:4736;top:13312;width:2434;height:10" filled="true" fillcolor="#000000" stroked="false">
              <v:fill type="solid"/>
            </v:rect>
            <w10:wrap type="none"/>
          </v:group>
        </w:pict>
      </w:r>
      <w:r>
        <w:rPr>
          <w:color w:val="6460A9"/>
        </w:rPr>
        <w:t>Point</w:t>
      </w:r>
      <w:r>
        <w:rPr>
          <w:color w:val="6460A9"/>
          <w:spacing w:val="-2"/>
        </w:rPr>
        <w:t> </w:t>
      </w:r>
      <w:r>
        <w:rPr>
          <w:color w:val="6460A9"/>
        </w:rPr>
        <w:t>sur</w:t>
      </w:r>
      <w:r>
        <w:rPr>
          <w:color w:val="6460A9"/>
          <w:spacing w:val="-5"/>
        </w:rPr>
        <w:t> </w:t>
      </w:r>
      <w:r>
        <w:rPr>
          <w:color w:val="6460A9"/>
        </w:rPr>
        <w:t>les</w:t>
      </w:r>
      <w:r>
        <w:rPr>
          <w:color w:val="6460A9"/>
          <w:spacing w:val="-1"/>
        </w:rPr>
        <w:t> </w:t>
      </w:r>
      <w:r>
        <w:rPr>
          <w:color w:val="6460A9"/>
        </w:rPr>
        <w:t>offres</w:t>
      </w:r>
      <w:r>
        <w:rPr>
          <w:color w:val="6460A9"/>
          <w:spacing w:val="-1"/>
        </w:rPr>
        <w:t> </w:t>
      </w:r>
      <w:r>
        <w:rPr>
          <w:color w:val="6460A9"/>
        </w:rPr>
        <w:t>d’apport</w:t>
      </w:r>
      <w:r>
        <w:rPr>
          <w:color w:val="6460A9"/>
          <w:spacing w:val="-5"/>
        </w:rPr>
        <w:t> </w:t>
      </w:r>
      <w:r>
        <w:rPr>
          <w:color w:val="6460A9"/>
        </w:rPr>
        <w:t>en</w:t>
      </w:r>
      <w:r>
        <w:rPr>
          <w:color w:val="6460A9"/>
          <w:spacing w:val="-4"/>
        </w:rPr>
        <w:t> </w:t>
      </w:r>
      <w:r>
        <w:rPr>
          <w:color w:val="6460A9"/>
        </w:rPr>
        <w:t>fonds</w:t>
      </w:r>
      <w:r>
        <w:rPr>
          <w:color w:val="6460A9"/>
          <w:spacing w:val="-2"/>
        </w:rPr>
        <w:t> </w:t>
      </w:r>
      <w:r>
        <w:rPr>
          <w:color w:val="6460A9"/>
        </w:rPr>
        <w:t>propres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BodyText"/>
        <w:ind w:left="112"/>
        <w:jc w:val="both"/>
      </w:pPr>
      <w:r>
        <w:rPr>
          <w:w w:val="85"/>
        </w:rPr>
        <w:t>Paris,</w:t>
      </w:r>
      <w:r>
        <w:rPr>
          <w:spacing w:val="3"/>
          <w:w w:val="85"/>
        </w:rPr>
        <w:t> </w:t>
      </w:r>
      <w:r>
        <w:rPr>
          <w:w w:val="85"/>
        </w:rPr>
        <w:t>le</w:t>
      </w:r>
      <w:r>
        <w:rPr>
          <w:spacing w:val="7"/>
          <w:w w:val="85"/>
        </w:rPr>
        <w:t> </w:t>
      </w:r>
      <w:r>
        <w:rPr>
          <w:w w:val="85"/>
        </w:rPr>
        <w:t>4</w:t>
      </w:r>
      <w:r>
        <w:rPr>
          <w:spacing w:val="4"/>
          <w:w w:val="85"/>
        </w:rPr>
        <w:t> </w:t>
      </w:r>
      <w:r>
        <w:rPr>
          <w:w w:val="85"/>
        </w:rPr>
        <w:t>juillet</w:t>
      </w:r>
      <w:r>
        <w:rPr>
          <w:spacing w:val="4"/>
          <w:w w:val="85"/>
        </w:rPr>
        <w:t> </w:t>
      </w:r>
      <w:r>
        <w:rPr>
          <w:w w:val="85"/>
        </w:rPr>
        <w:t>2023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64" w:lineRule="auto"/>
        <w:ind w:left="112" w:right="117"/>
        <w:jc w:val="both"/>
      </w:pPr>
      <w:r>
        <w:rPr>
          <w:w w:val="95"/>
        </w:rPr>
        <w:t>Casino annonce avoir reçu ce jour les propositions suivantes en vue du renforcement des</w:t>
      </w:r>
      <w:r>
        <w:rPr>
          <w:spacing w:val="1"/>
          <w:w w:val="95"/>
        </w:rPr>
        <w:t> </w:t>
      </w:r>
      <w:r>
        <w:rPr/>
        <w:t>fonds</w:t>
      </w:r>
      <w:r>
        <w:rPr>
          <w:spacing w:val="-18"/>
        </w:rPr>
        <w:t> </w:t>
      </w:r>
      <w:r>
        <w:rPr/>
        <w:t>propres</w:t>
      </w:r>
      <w:r>
        <w:rPr>
          <w:spacing w:val="-18"/>
        </w:rPr>
        <w:t> </w:t>
      </w:r>
      <w:r>
        <w:rPr/>
        <w:t>du</w:t>
      </w:r>
      <w:r>
        <w:rPr>
          <w:spacing w:val="-16"/>
        </w:rPr>
        <w:t> </w:t>
      </w:r>
      <w:r>
        <w:rPr/>
        <w:t>Groupe</w:t>
      </w:r>
      <w:r>
        <w:rPr>
          <w:spacing w:val="-17"/>
        </w:rPr>
        <w:t> </w:t>
      </w:r>
      <w:r>
        <w:rPr/>
        <w:t>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361"/>
        <w:jc w:val="left"/>
        <w:rPr>
          <w:sz w:val="22"/>
        </w:rPr>
      </w:pPr>
      <w:r>
        <w:rPr>
          <w:spacing w:val="-1"/>
          <w:sz w:val="22"/>
        </w:rPr>
        <w:t>Une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proposition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part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EP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Global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Commerce</w:t>
      </w:r>
      <w:r>
        <w:rPr>
          <w:spacing w:val="-16"/>
          <w:sz w:val="22"/>
        </w:rPr>
        <w:t> </w:t>
      </w:r>
      <w:r>
        <w:rPr>
          <w:sz w:val="22"/>
        </w:rPr>
        <w:t>a.s.</w:t>
      </w:r>
      <w:r>
        <w:rPr>
          <w:spacing w:val="-19"/>
          <w:sz w:val="22"/>
        </w:rPr>
        <w:t> </w:t>
      </w:r>
      <w:r>
        <w:rPr>
          <w:sz w:val="22"/>
        </w:rPr>
        <w:t>et</w:t>
      </w:r>
      <w:r>
        <w:rPr>
          <w:spacing w:val="-18"/>
          <w:sz w:val="22"/>
        </w:rPr>
        <w:t> </w:t>
      </w:r>
      <w:r>
        <w:rPr>
          <w:sz w:val="22"/>
        </w:rPr>
        <w:t>Fimalac,</w:t>
      </w:r>
      <w:r>
        <w:rPr>
          <w:spacing w:val="-18"/>
          <w:sz w:val="22"/>
        </w:rPr>
        <w:t> </w:t>
      </w:r>
      <w:r>
        <w:rPr>
          <w:sz w:val="22"/>
        </w:rPr>
        <w:t>et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7" w:after="0"/>
        <w:ind w:left="833" w:right="0" w:hanging="361"/>
        <w:jc w:val="left"/>
        <w:rPr>
          <w:sz w:val="22"/>
        </w:rPr>
      </w:pPr>
      <w:r>
        <w:rPr>
          <w:w w:val="95"/>
          <w:sz w:val="22"/>
        </w:rPr>
        <w:t>Une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proposition de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part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3F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Holding</w:t>
      </w:r>
    </w:p>
    <w:p>
      <w:pPr>
        <w:pStyle w:val="BodyText"/>
        <w:rPr>
          <w:sz w:val="32"/>
        </w:rPr>
      </w:pPr>
    </w:p>
    <w:p>
      <w:pPr>
        <w:pStyle w:val="BodyText"/>
        <w:spacing w:line="266" w:lineRule="auto"/>
        <w:ind w:left="112" w:right="110"/>
        <w:jc w:val="both"/>
      </w:pPr>
      <w:r>
        <w:rPr/>
        <w:t>Ces deux propositions seront analysées et présentées au comité ad hoc du Conseil</w:t>
      </w:r>
      <w:r>
        <w:rPr>
          <w:spacing w:val="1"/>
        </w:rPr>
        <w:t> </w:t>
      </w:r>
      <w:r>
        <w:rPr/>
        <w:t>d’administration de Casino ce jour, puis aux créanciers dans le cadre d’une réunion</w:t>
      </w:r>
      <w:r>
        <w:rPr>
          <w:spacing w:val="1"/>
        </w:rPr>
        <w:t> </w:t>
      </w:r>
      <w:r>
        <w:rPr/>
        <w:t>organisée le 5 juillet sous l’égide des conciliateurs. Aucune décision relative à ces</w:t>
      </w:r>
      <w:r>
        <w:rPr>
          <w:spacing w:val="1"/>
        </w:rPr>
        <w:t> </w:t>
      </w:r>
      <w:r>
        <w:rPr/>
        <w:t>propositions ne sera prise par les organes de gouvernance du Groupe tant que ces</w:t>
      </w:r>
      <w:r>
        <w:rPr>
          <w:spacing w:val="1"/>
        </w:rPr>
        <w:t> </w:t>
      </w:r>
      <w:r>
        <w:rPr>
          <w:w w:val="95"/>
        </w:rPr>
        <w:t>propositions n’auront pas été présentées et discutées avec les créanciers sous l’égide des</w:t>
      </w:r>
      <w:r>
        <w:rPr>
          <w:spacing w:val="1"/>
          <w:w w:val="95"/>
        </w:rPr>
        <w:t> </w:t>
      </w:r>
      <w:r>
        <w:rPr/>
        <w:t>conciliateurs.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64" w:lineRule="auto"/>
        <w:ind w:left="112" w:right="119"/>
        <w:jc w:val="both"/>
      </w:pPr>
      <w:r>
        <w:rPr>
          <w:w w:val="95"/>
        </w:rPr>
        <w:t>Les principaux termes de chacune de ces propositions seront rendus publics à l’issue de la</w:t>
      </w:r>
      <w:r>
        <w:rPr>
          <w:spacing w:val="1"/>
          <w:w w:val="95"/>
        </w:rPr>
        <w:t> </w:t>
      </w:r>
      <w:r>
        <w:rPr>
          <w:w w:val="95"/>
        </w:rPr>
        <w:t>réunion</w:t>
      </w:r>
      <w:r>
        <w:rPr>
          <w:spacing w:val="-15"/>
          <w:w w:val="95"/>
        </w:rPr>
        <w:t> </w:t>
      </w:r>
      <w:r>
        <w:rPr>
          <w:w w:val="95"/>
        </w:rPr>
        <w:t>avec</w:t>
      </w:r>
      <w:r>
        <w:rPr>
          <w:spacing w:val="-11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créanciers,</w:t>
      </w:r>
      <w:r>
        <w:rPr>
          <w:spacing w:val="-14"/>
          <w:w w:val="95"/>
        </w:rPr>
        <w:t> </w:t>
      </w:r>
      <w:r>
        <w:rPr>
          <w:w w:val="95"/>
        </w:rPr>
        <w:t>soit</w:t>
      </w:r>
      <w:r>
        <w:rPr>
          <w:spacing w:val="-13"/>
          <w:w w:val="95"/>
        </w:rPr>
        <w:t> </w:t>
      </w:r>
      <w:r>
        <w:rPr>
          <w:w w:val="95"/>
        </w:rPr>
        <w:t>mercredi</w:t>
      </w:r>
      <w:r>
        <w:rPr>
          <w:spacing w:val="-12"/>
          <w:w w:val="95"/>
        </w:rPr>
        <w:t> </w:t>
      </w:r>
      <w:r>
        <w:rPr>
          <w:w w:val="95"/>
        </w:rPr>
        <w:t>5</w:t>
      </w:r>
      <w:r>
        <w:rPr>
          <w:spacing w:val="-13"/>
          <w:w w:val="95"/>
        </w:rPr>
        <w:t> </w:t>
      </w:r>
      <w:r>
        <w:rPr>
          <w:w w:val="95"/>
        </w:rPr>
        <w:t>juillet</w:t>
      </w:r>
      <w:r>
        <w:rPr>
          <w:spacing w:val="-13"/>
          <w:w w:val="95"/>
        </w:rPr>
        <w:t> </w:t>
      </w:r>
      <w:r>
        <w:rPr>
          <w:w w:val="95"/>
        </w:rPr>
        <w:t>après</w:t>
      </w:r>
      <w:r>
        <w:rPr>
          <w:spacing w:val="-14"/>
          <w:w w:val="95"/>
        </w:rPr>
        <w:t> </w:t>
      </w:r>
      <w:r>
        <w:rPr>
          <w:w w:val="95"/>
        </w:rPr>
        <w:t>clôture.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1"/>
      </w:pPr>
      <w:r>
        <w:rPr>
          <w:color w:val="6460A9"/>
        </w:rPr>
        <w:t>***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spacing w:line="278" w:lineRule="auto" w:before="0"/>
        <w:ind w:left="112" w:right="113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7"/>
        <w:rPr>
          <w:i/>
          <w:sz w:val="23"/>
        </w:rPr>
      </w:pPr>
    </w:p>
    <w:p>
      <w:pPr>
        <w:pStyle w:val="Heading1"/>
      </w:pPr>
      <w:r>
        <w:rPr>
          <w:color w:val="6460A9"/>
        </w:rPr>
        <w:t>***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spacing w:before="0"/>
        <w:ind w:left="1873" w:right="1875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6460A9"/>
          <w:sz w:val="18"/>
        </w:rPr>
        <w:t>CONTACTS</w:t>
      </w:r>
      <w:r>
        <w:rPr>
          <w:rFonts w:ascii="Arial"/>
          <w:b/>
          <w:color w:val="6460A9"/>
          <w:spacing w:val="-1"/>
          <w:sz w:val="18"/>
        </w:rPr>
        <w:t> </w:t>
      </w:r>
      <w:r>
        <w:rPr>
          <w:rFonts w:ascii="Arial"/>
          <w:b/>
          <w:color w:val="6460A9"/>
          <w:sz w:val="18"/>
        </w:rPr>
        <w:t>ANALYSTES</w:t>
      </w:r>
      <w:r>
        <w:rPr>
          <w:rFonts w:ascii="Arial"/>
          <w:b/>
          <w:color w:val="6460A9"/>
          <w:spacing w:val="-2"/>
          <w:sz w:val="18"/>
        </w:rPr>
        <w:t> </w:t>
      </w:r>
      <w:r>
        <w:rPr>
          <w:rFonts w:ascii="Arial"/>
          <w:b/>
          <w:color w:val="6460A9"/>
          <w:sz w:val="18"/>
        </w:rPr>
        <w:t>ET</w:t>
      </w:r>
      <w:r>
        <w:rPr>
          <w:rFonts w:ascii="Arial"/>
          <w:b/>
          <w:color w:val="6460A9"/>
          <w:spacing w:val="-2"/>
          <w:sz w:val="18"/>
        </w:rPr>
        <w:t> </w:t>
      </w:r>
      <w:r>
        <w:rPr>
          <w:rFonts w:ascii="Arial"/>
          <w:b/>
          <w:color w:val="6460A9"/>
          <w:sz w:val="18"/>
        </w:rPr>
        <w:t>INVESTISSEURS</w:t>
      </w:r>
    </w:p>
    <w:p>
      <w:pPr>
        <w:spacing w:line="242" w:lineRule="auto" w:before="35"/>
        <w:ind w:left="2931" w:right="2932" w:firstLine="0"/>
        <w:jc w:val="center"/>
        <w:rPr>
          <w:sz w:val="18"/>
        </w:rPr>
      </w:pPr>
      <w:r>
        <w:rPr>
          <w:b/>
          <w:w w:val="80"/>
          <w:sz w:val="18"/>
        </w:rPr>
        <w:t>Christopher</w:t>
      </w:r>
      <w:r>
        <w:rPr>
          <w:b/>
          <w:spacing w:val="12"/>
          <w:w w:val="80"/>
          <w:sz w:val="18"/>
        </w:rPr>
        <w:t> </w:t>
      </w:r>
      <w:r>
        <w:rPr>
          <w:b/>
          <w:w w:val="80"/>
          <w:sz w:val="18"/>
        </w:rPr>
        <w:t>WELTON</w:t>
      </w:r>
      <w:r>
        <w:rPr>
          <w:b/>
          <w:spacing w:val="12"/>
          <w:w w:val="80"/>
          <w:sz w:val="18"/>
        </w:rPr>
        <w:t> </w:t>
      </w:r>
      <w:r>
        <w:rPr>
          <w:w w:val="80"/>
          <w:sz w:val="18"/>
        </w:rPr>
        <w:t>–</w:t>
      </w:r>
      <w:r>
        <w:rPr>
          <w:spacing w:val="12"/>
          <w:w w:val="80"/>
          <w:sz w:val="18"/>
        </w:rPr>
        <w:t> </w:t>
      </w:r>
      <w:r>
        <w:rPr>
          <w:w w:val="80"/>
          <w:sz w:val="18"/>
        </w:rPr>
        <w:t>Tél</w:t>
      </w:r>
      <w:r>
        <w:rPr>
          <w:spacing w:val="12"/>
          <w:w w:val="80"/>
          <w:sz w:val="18"/>
        </w:rPr>
        <w:t> </w:t>
      </w:r>
      <w:r>
        <w:rPr>
          <w:w w:val="80"/>
          <w:sz w:val="18"/>
        </w:rPr>
        <w:t>:</w:t>
      </w:r>
      <w:r>
        <w:rPr>
          <w:spacing w:val="8"/>
          <w:w w:val="80"/>
          <w:sz w:val="18"/>
        </w:rPr>
        <w:t> </w:t>
      </w:r>
      <w:r>
        <w:rPr>
          <w:w w:val="80"/>
          <w:sz w:val="18"/>
        </w:rPr>
        <w:t>+33</w:t>
      </w:r>
      <w:r>
        <w:rPr>
          <w:spacing w:val="15"/>
          <w:w w:val="80"/>
          <w:sz w:val="18"/>
        </w:rPr>
        <w:t> </w:t>
      </w:r>
      <w:r>
        <w:rPr>
          <w:w w:val="80"/>
          <w:sz w:val="18"/>
        </w:rPr>
        <w:t>(0)1</w:t>
      </w:r>
      <w:r>
        <w:rPr>
          <w:spacing w:val="11"/>
          <w:w w:val="80"/>
          <w:sz w:val="18"/>
        </w:rPr>
        <w:t> </w:t>
      </w:r>
      <w:r>
        <w:rPr>
          <w:w w:val="80"/>
          <w:sz w:val="18"/>
        </w:rPr>
        <w:t>53</w:t>
      </w:r>
      <w:r>
        <w:rPr>
          <w:spacing w:val="11"/>
          <w:w w:val="80"/>
          <w:sz w:val="18"/>
        </w:rPr>
        <w:t> </w:t>
      </w:r>
      <w:r>
        <w:rPr>
          <w:w w:val="80"/>
          <w:sz w:val="18"/>
        </w:rPr>
        <w:t>65</w:t>
      </w:r>
      <w:r>
        <w:rPr>
          <w:spacing w:val="11"/>
          <w:w w:val="80"/>
          <w:sz w:val="18"/>
        </w:rPr>
        <w:t> </w:t>
      </w:r>
      <w:r>
        <w:rPr>
          <w:w w:val="80"/>
          <w:sz w:val="18"/>
        </w:rPr>
        <w:t>64</w:t>
      </w:r>
      <w:r>
        <w:rPr>
          <w:spacing w:val="9"/>
          <w:w w:val="80"/>
          <w:sz w:val="18"/>
        </w:rPr>
        <w:t> </w:t>
      </w:r>
      <w:r>
        <w:rPr>
          <w:w w:val="80"/>
          <w:sz w:val="18"/>
        </w:rPr>
        <w:t>17</w:t>
      </w:r>
      <w:r>
        <w:rPr>
          <w:spacing w:val="-47"/>
          <w:w w:val="80"/>
          <w:sz w:val="18"/>
        </w:rPr>
        <w:t> </w:t>
      </w:r>
      <w:hyperlink r:id="rId6">
        <w:r>
          <w:rPr>
            <w:w w:val="95"/>
            <w:sz w:val="18"/>
            <w:u w:val="single"/>
          </w:rPr>
          <w:t>cwelton.exterieur@groupe-casino.fr</w:t>
        </w:r>
      </w:hyperlink>
    </w:p>
    <w:p>
      <w:pPr>
        <w:spacing w:before="0"/>
        <w:ind w:left="1875" w:right="1875" w:firstLine="0"/>
        <w:jc w:val="center"/>
        <w:rPr>
          <w:b/>
          <w:sz w:val="18"/>
        </w:rPr>
      </w:pPr>
      <w:r>
        <w:rPr>
          <w:b/>
          <w:sz w:val="18"/>
        </w:rPr>
        <w:t>ou</w:t>
      </w:r>
    </w:p>
    <w:p>
      <w:pPr>
        <w:spacing w:before="36"/>
        <w:ind w:left="1874" w:right="1875" w:firstLine="0"/>
        <w:jc w:val="center"/>
        <w:rPr>
          <w:sz w:val="18"/>
        </w:rPr>
      </w:pPr>
      <w:r>
        <w:rPr>
          <w:w w:val="85"/>
          <w:sz w:val="18"/>
        </w:rPr>
        <w:t>+33</w:t>
      </w:r>
      <w:r>
        <w:rPr>
          <w:spacing w:val="-4"/>
          <w:w w:val="85"/>
          <w:sz w:val="18"/>
        </w:rPr>
        <w:t> </w:t>
      </w:r>
      <w:r>
        <w:rPr>
          <w:w w:val="85"/>
          <w:sz w:val="18"/>
        </w:rPr>
        <w:t>(0)1</w:t>
      </w:r>
      <w:r>
        <w:rPr>
          <w:spacing w:val="-3"/>
          <w:w w:val="85"/>
          <w:sz w:val="18"/>
        </w:rPr>
        <w:t> </w:t>
      </w:r>
      <w:r>
        <w:rPr>
          <w:w w:val="85"/>
          <w:sz w:val="18"/>
        </w:rPr>
        <w:t>53</w:t>
      </w:r>
      <w:r>
        <w:rPr>
          <w:spacing w:val="-3"/>
          <w:w w:val="85"/>
          <w:sz w:val="18"/>
        </w:rPr>
        <w:t> </w:t>
      </w:r>
      <w:r>
        <w:rPr>
          <w:w w:val="85"/>
          <w:sz w:val="18"/>
        </w:rPr>
        <w:t>65</w:t>
      </w:r>
      <w:r>
        <w:rPr>
          <w:spacing w:val="-5"/>
          <w:w w:val="85"/>
          <w:sz w:val="18"/>
        </w:rPr>
        <w:t> </w:t>
      </w:r>
      <w:r>
        <w:rPr>
          <w:w w:val="85"/>
          <w:sz w:val="18"/>
        </w:rPr>
        <w:t>24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17</w:t>
      </w:r>
    </w:p>
    <w:p>
      <w:pPr>
        <w:spacing w:before="36"/>
        <w:ind w:left="1875" w:right="1875" w:firstLine="0"/>
        <w:jc w:val="center"/>
        <w:rPr>
          <w:sz w:val="18"/>
        </w:rPr>
      </w:pPr>
      <w:hyperlink r:id="rId7">
        <w:r>
          <w:rPr>
            <w:spacing w:val="2"/>
            <w:w w:val="53"/>
            <w:sz w:val="18"/>
          </w:rPr>
          <w:t>I</w:t>
        </w:r>
        <w:r>
          <w:rPr>
            <w:spacing w:val="-2"/>
            <w:w w:val="87"/>
            <w:sz w:val="18"/>
          </w:rPr>
          <w:t>R</w:t>
        </w:r>
        <w:r>
          <w:rPr>
            <w:spacing w:val="1"/>
            <w:w w:val="78"/>
            <w:sz w:val="18"/>
          </w:rPr>
          <w:t>_</w:t>
        </w:r>
        <w:r>
          <w:rPr>
            <w:w w:val="103"/>
            <w:sz w:val="18"/>
          </w:rPr>
          <w:t>Ca</w:t>
        </w:r>
        <w:r>
          <w:rPr>
            <w:spacing w:val="-4"/>
            <w:w w:val="103"/>
            <w:sz w:val="18"/>
          </w:rPr>
          <w:t>s</w:t>
        </w:r>
        <w:r>
          <w:rPr>
            <w:spacing w:val="2"/>
            <w:w w:val="72"/>
            <w:sz w:val="18"/>
          </w:rPr>
          <w:t>i</w:t>
        </w:r>
        <w:r>
          <w:rPr>
            <w:w w:val="96"/>
            <w:sz w:val="18"/>
          </w:rPr>
          <w:t>n</w:t>
        </w:r>
        <w:r>
          <w:rPr>
            <w:w w:val="98"/>
            <w:sz w:val="18"/>
          </w:rPr>
          <w:t>o@</w:t>
        </w:r>
        <w:r>
          <w:rPr>
            <w:spacing w:val="-2"/>
            <w:w w:val="98"/>
            <w:sz w:val="18"/>
          </w:rPr>
          <w:t>g</w:t>
        </w:r>
        <w:r>
          <w:rPr>
            <w:w w:val="70"/>
            <w:sz w:val="18"/>
          </w:rPr>
          <w:t>r</w:t>
        </w:r>
        <w:r>
          <w:rPr>
            <w:w w:val="101"/>
            <w:sz w:val="18"/>
          </w:rPr>
          <w:t>ou</w:t>
        </w:r>
        <w:r>
          <w:rPr>
            <w:spacing w:val="-1"/>
            <w:w w:val="109"/>
            <w:sz w:val="18"/>
          </w:rPr>
          <w:t>p</w:t>
        </w:r>
        <w:r>
          <w:rPr>
            <w:spacing w:val="1"/>
            <w:w w:val="109"/>
            <w:sz w:val="18"/>
          </w:rPr>
          <w:t>e</w:t>
        </w:r>
        <w:r>
          <w:rPr>
            <w:spacing w:val="-3"/>
            <w:w w:val="73"/>
            <w:sz w:val="18"/>
          </w:rPr>
          <w:t>-</w:t>
        </w:r>
        <w:r>
          <w:rPr>
            <w:w w:val="124"/>
            <w:sz w:val="18"/>
          </w:rPr>
          <w:t>c</w:t>
        </w:r>
        <w:r>
          <w:rPr>
            <w:spacing w:val="-1"/>
            <w:w w:val="113"/>
            <w:sz w:val="18"/>
          </w:rPr>
          <w:t>a</w:t>
        </w:r>
        <w:r>
          <w:rPr>
            <w:spacing w:val="-1"/>
            <w:w w:val="88"/>
            <w:sz w:val="18"/>
          </w:rPr>
          <w:t>sino</w:t>
        </w:r>
        <w:r>
          <w:rPr>
            <w:spacing w:val="-2"/>
            <w:w w:val="88"/>
            <w:sz w:val="18"/>
          </w:rPr>
          <w:t>.</w:t>
        </w:r>
        <w:r>
          <w:rPr>
            <w:w w:val="89"/>
            <w:sz w:val="18"/>
          </w:rPr>
          <w:t>f</w:t>
        </w:r>
        <w:r>
          <w:rPr>
            <w:w w:val="70"/>
            <w:sz w:val="18"/>
          </w:rPr>
          <w:t>r</w:t>
        </w:r>
      </w:hyperlink>
    </w:p>
    <w:p>
      <w:pPr>
        <w:pStyle w:val="BodyText"/>
        <w:spacing w:before="10"/>
      </w:pPr>
    </w:p>
    <w:p>
      <w:pPr>
        <w:spacing w:before="94"/>
        <w:ind w:left="1875" w:right="1866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6460A9"/>
          <w:spacing w:val="-9"/>
          <w:sz w:val="18"/>
        </w:rPr>
        <w:t>CONTACTS</w:t>
      </w:r>
      <w:r>
        <w:rPr>
          <w:rFonts w:ascii="Arial"/>
          <w:b/>
          <w:color w:val="6460A9"/>
          <w:spacing w:val="-19"/>
          <w:sz w:val="18"/>
        </w:rPr>
        <w:t> </w:t>
      </w:r>
      <w:r>
        <w:rPr>
          <w:rFonts w:ascii="Arial"/>
          <w:b/>
          <w:color w:val="6460A9"/>
          <w:spacing w:val="-9"/>
          <w:sz w:val="18"/>
        </w:rPr>
        <w:t>PRESSE</w:t>
      </w:r>
    </w:p>
    <w:p>
      <w:pPr>
        <w:spacing w:before="4"/>
        <w:ind w:left="1874" w:right="1875" w:firstLine="0"/>
        <w:jc w:val="center"/>
        <w:rPr>
          <w:b/>
          <w:sz w:val="18"/>
        </w:rPr>
      </w:pPr>
      <w:r>
        <w:rPr>
          <w:b/>
          <w:w w:val="85"/>
          <w:sz w:val="18"/>
        </w:rPr>
        <w:t>Groupe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Casino</w:t>
      </w:r>
      <w:r>
        <w:rPr>
          <w:b/>
          <w:spacing w:val="18"/>
          <w:w w:val="85"/>
          <w:sz w:val="18"/>
        </w:rPr>
        <w:t> </w:t>
      </w:r>
      <w:r>
        <w:rPr>
          <w:b/>
          <w:w w:val="85"/>
          <w:sz w:val="18"/>
        </w:rPr>
        <w:t>–</w:t>
      </w:r>
      <w:r>
        <w:rPr>
          <w:b/>
          <w:spacing w:val="20"/>
          <w:w w:val="85"/>
          <w:sz w:val="18"/>
        </w:rPr>
        <w:t> </w:t>
      </w:r>
      <w:r>
        <w:rPr>
          <w:b/>
          <w:w w:val="85"/>
          <w:sz w:val="18"/>
        </w:rPr>
        <w:t>Direction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de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la</w:t>
      </w:r>
      <w:r>
        <w:rPr>
          <w:b/>
          <w:spacing w:val="20"/>
          <w:w w:val="85"/>
          <w:sz w:val="18"/>
        </w:rPr>
        <w:t> </w:t>
      </w:r>
      <w:r>
        <w:rPr>
          <w:b/>
          <w:w w:val="85"/>
          <w:sz w:val="18"/>
        </w:rPr>
        <w:t>Communication</w:t>
      </w:r>
    </w:p>
    <w:p>
      <w:pPr>
        <w:spacing w:before="2"/>
        <w:ind w:left="1874" w:right="1875" w:firstLine="0"/>
        <w:jc w:val="center"/>
        <w:rPr>
          <w:sz w:val="18"/>
        </w:rPr>
      </w:pPr>
      <w:r>
        <w:rPr>
          <w:w w:val="90"/>
          <w:sz w:val="18"/>
        </w:rPr>
        <w:t>Stéphanie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Abadie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13"/>
          <w:w w:val="90"/>
          <w:sz w:val="18"/>
        </w:rPr>
        <w:t> </w:t>
      </w:r>
      <w:hyperlink r:id="rId8">
        <w:r>
          <w:rPr>
            <w:w w:val="90"/>
            <w:sz w:val="18"/>
          </w:rPr>
          <w:t>sabadie@groupe-casino.fr</w:t>
        </w:r>
        <w:r>
          <w:rPr>
            <w:spacing w:val="1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0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26</w:t>
      </w:r>
      <w:r>
        <w:rPr>
          <w:spacing w:val="10"/>
          <w:w w:val="90"/>
          <w:sz w:val="18"/>
        </w:rPr>
        <w:t> </w:t>
      </w:r>
      <w:r>
        <w:rPr>
          <w:w w:val="90"/>
          <w:sz w:val="18"/>
        </w:rPr>
        <w:t>27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37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05</w:t>
      </w:r>
    </w:p>
    <w:p>
      <w:pPr>
        <w:spacing w:before="2"/>
        <w:ind w:left="1875" w:right="1875" w:firstLine="0"/>
        <w:jc w:val="center"/>
        <w:rPr>
          <w:b/>
          <w:sz w:val="18"/>
        </w:rPr>
      </w:pPr>
      <w:r>
        <w:rPr>
          <w:b/>
          <w:sz w:val="18"/>
        </w:rPr>
        <w:t>ou</w:t>
      </w:r>
    </w:p>
    <w:p>
      <w:pPr>
        <w:spacing w:before="2"/>
        <w:ind w:left="1875" w:right="1875" w:firstLine="0"/>
        <w:jc w:val="center"/>
        <w:rPr>
          <w:sz w:val="18"/>
        </w:rPr>
      </w:pPr>
      <w:r>
        <w:rPr>
          <w:spacing w:val="-1"/>
          <w:w w:val="95"/>
          <w:sz w:val="18"/>
        </w:rPr>
        <w:t>+33(0)1</w:t>
      </w:r>
      <w:r>
        <w:rPr>
          <w:spacing w:val="-8"/>
          <w:w w:val="95"/>
          <w:sz w:val="18"/>
        </w:rPr>
        <w:t> </w:t>
      </w:r>
      <w:r>
        <w:rPr>
          <w:spacing w:val="-1"/>
          <w:w w:val="95"/>
          <w:sz w:val="18"/>
        </w:rPr>
        <w:t>53</w:t>
      </w:r>
      <w:r>
        <w:rPr>
          <w:spacing w:val="-10"/>
          <w:w w:val="95"/>
          <w:sz w:val="18"/>
        </w:rPr>
        <w:t> </w:t>
      </w:r>
      <w:r>
        <w:rPr>
          <w:spacing w:val="-1"/>
          <w:w w:val="95"/>
          <w:sz w:val="18"/>
        </w:rPr>
        <w:t>65</w:t>
      </w:r>
      <w:r>
        <w:rPr>
          <w:spacing w:val="-10"/>
          <w:w w:val="95"/>
          <w:sz w:val="18"/>
        </w:rPr>
        <w:t> </w:t>
      </w:r>
      <w:r>
        <w:rPr>
          <w:spacing w:val="-1"/>
          <w:w w:val="95"/>
          <w:sz w:val="18"/>
        </w:rPr>
        <w:t>24</w:t>
      </w:r>
      <w:r>
        <w:rPr>
          <w:spacing w:val="-10"/>
          <w:w w:val="95"/>
          <w:sz w:val="18"/>
        </w:rPr>
        <w:t> </w:t>
      </w:r>
      <w:r>
        <w:rPr>
          <w:spacing w:val="-1"/>
          <w:w w:val="95"/>
          <w:sz w:val="18"/>
        </w:rPr>
        <w:t>78</w:t>
      </w:r>
      <w:r>
        <w:rPr>
          <w:spacing w:val="-7"/>
          <w:w w:val="95"/>
          <w:sz w:val="18"/>
        </w:rPr>
        <w:t> </w:t>
      </w:r>
      <w:r>
        <w:rPr>
          <w:spacing w:val="-1"/>
          <w:w w:val="95"/>
          <w:sz w:val="18"/>
        </w:rPr>
        <w:t>-</w:t>
      </w:r>
      <w:r>
        <w:rPr>
          <w:spacing w:val="-8"/>
          <w:w w:val="95"/>
          <w:sz w:val="18"/>
        </w:rPr>
        <w:t> </w:t>
      </w:r>
      <w:hyperlink r:id="rId9">
        <w:r>
          <w:rPr>
            <w:spacing w:val="-1"/>
            <w:w w:val="95"/>
            <w:sz w:val="18"/>
            <w:u w:val="single"/>
          </w:rPr>
          <w:t>directiondelacommunication@groupe-casino.fr</w:t>
        </w:r>
      </w:hyperlink>
    </w:p>
    <w:p>
      <w:pPr>
        <w:pStyle w:val="BodyText"/>
        <w:spacing w:before="1"/>
        <w:rPr>
          <w:sz w:val="10"/>
        </w:rPr>
      </w:pPr>
    </w:p>
    <w:p>
      <w:pPr>
        <w:spacing w:before="101"/>
        <w:ind w:left="1875" w:right="1875" w:firstLine="0"/>
        <w:jc w:val="center"/>
        <w:rPr>
          <w:b/>
          <w:sz w:val="18"/>
        </w:rPr>
      </w:pPr>
      <w:r>
        <w:rPr>
          <w:b/>
          <w:w w:val="90"/>
          <w:sz w:val="18"/>
        </w:rPr>
        <w:t>Agence</w:t>
      </w:r>
      <w:r>
        <w:rPr>
          <w:b/>
          <w:spacing w:val="-6"/>
          <w:w w:val="90"/>
          <w:sz w:val="18"/>
        </w:rPr>
        <w:t> </w:t>
      </w:r>
      <w:r>
        <w:rPr>
          <w:b/>
          <w:w w:val="90"/>
          <w:sz w:val="18"/>
        </w:rPr>
        <w:t>IMAGE</w:t>
      </w:r>
      <w:r>
        <w:rPr>
          <w:b/>
          <w:spacing w:val="-5"/>
          <w:w w:val="90"/>
          <w:sz w:val="18"/>
        </w:rPr>
        <w:t> </w:t>
      </w:r>
      <w:r>
        <w:rPr>
          <w:b/>
          <w:w w:val="90"/>
          <w:sz w:val="18"/>
        </w:rPr>
        <w:t>7</w:t>
      </w:r>
    </w:p>
    <w:p>
      <w:pPr>
        <w:spacing w:line="219" w:lineRule="exact" w:before="2"/>
        <w:ind w:left="1875" w:right="1875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13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11"/>
          <w:w w:val="85"/>
          <w:sz w:val="18"/>
        </w:rPr>
        <w:t> </w:t>
      </w:r>
      <w:r>
        <w:rPr>
          <w:w w:val="85"/>
          <w:sz w:val="18"/>
        </w:rPr>
        <w:t>–</w:t>
      </w:r>
      <w:r>
        <w:rPr>
          <w:spacing w:val="11"/>
          <w:w w:val="85"/>
          <w:sz w:val="18"/>
        </w:rPr>
        <w:t> </w:t>
      </w:r>
      <w:r>
        <w:rPr>
          <w:w w:val="85"/>
          <w:sz w:val="18"/>
        </w:rPr>
        <w:t>Tel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+33(0)1</w:t>
      </w:r>
      <w:r>
        <w:rPr>
          <w:spacing w:val="13"/>
          <w:w w:val="85"/>
          <w:sz w:val="18"/>
        </w:rPr>
        <w:t> </w:t>
      </w:r>
      <w:r>
        <w:rPr>
          <w:w w:val="85"/>
          <w:sz w:val="18"/>
        </w:rPr>
        <w:t>53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70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74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84</w:t>
      </w:r>
      <w:r>
        <w:rPr>
          <w:spacing w:val="13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6"/>
          <w:w w:val="85"/>
          <w:sz w:val="18"/>
        </w:rPr>
        <w:t> </w:t>
      </w:r>
      <w:hyperlink r:id="rId10">
        <w:r>
          <w:rPr>
            <w:w w:val="85"/>
            <w:sz w:val="18"/>
            <w:u w:val="single"/>
          </w:rPr>
          <w:t>kallouis@image7.fr</w:t>
        </w:r>
      </w:hyperlink>
    </w:p>
    <w:p>
      <w:pPr>
        <w:spacing w:before="0"/>
        <w:ind w:left="1872" w:right="1875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7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–</w:t>
      </w:r>
      <w:r>
        <w:rPr>
          <w:spacing w:val="-5"/>
          <w:w w:val="90"/>
          <w:sz w:val="18"/>
        </w:rPr>
        <w:t> </w:t>
      </w:r>
      <w:r>
        <w:rPr>
          <w:spacing w:val="-1"/>
          <w:w w:val="90"/>
          <w:sz w:val="18"/>
        </w:rPr>
        <w:t>Tel</w:t>
      </w:r>
      <w:r>
        <w:rPr>
          <w:spacing w:val="-7"/>
          <w:w w:val="90"/>
          <w:sz w:val="18"/>
        </w:rPr>
        <w:t> </w:t>
      </w:r>
      <w:r>
        <w:rPr>
          <w:spacing w:val="-1"/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spacing w:val="-1"/>
          <w:w w:val="90"/>
          <w:sz w:val="18"/>
        </w:rPr>
        <w:t>+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33(0)6</w:t>
      </w:r>
      <w:r>
        <w:rPr>
          <w:spacing w:val="-7"/>
          <w:w w:val="90"/>
          <w:sz w:val="18"/>
        </w:rPr>
        <w:t> </w:t>
      </w:r>
      <w:r>
        <w:rPr>
          <w:spacing w:val="-1"/>
          <w:w w:val="90"/>
          <w:sz w:val="18"/>
        </w:rPr>
        <w:t>80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11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52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19"/>
          <w:w w:val="90"/>
          <w:sz w:val="18"/>
        </w:rPr>
        <w:t> </w:t>
      </w:r>
      <w:hyperlink r:id="rId11">
        <w:r>
          <w:rPr>
            <w:w w:val="90"/>
            <w:sz w:val="18"/>
            <w:u w:val="single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144" w:right="0" w:firstLine="0"/>
        <w:jc w:val="left"/>
        <w:rPr>
          <w:b/>
          <w:sz w:val="20"/>
        </w:rPr>
      </w:pPr>
      <w:r>
        <w:rPr>
          <w:w w:val="90"/>
          <w:sz w:val="20"/>
        </w:rPr>
        <w:t>Mardi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4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juillet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9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8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4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33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875" w:right="1875"/>
      <w:jc w:val="center"/>
      <w:outlineLvl w:val="1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875" w:right="1875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61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2023-12-04T14:32:41Z</dcterms:created>
  <dcterms:modified xsi:type="dcterms:W3CDTF">2023-12-04T14:32:41Z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LastSaved">
    <vt:filetime>2023-12-04T00:00:00Z</vt:filetime>
  </property>
</Properties>
</file>