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78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22966" cy="548354"/>
            <wp:effectExtent l="0" t="0" r="0" b="0"/>
            <wp:docPr id="1" name="image1.png" descr="https://upload.wikimedia.org/wikipedia/fr/thumb/8/8d/GroupeCasino-2013.svg/langfr-220px-GroupeCasino-2013.svg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966" cy="54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spacing w:before="59"/>
        <w:ind w:left="0" w:right="114" w:firstLine="0"/>
        <w:jc w:val="right"/>
        <w:rPr>
          <w:b/>
          <w:i/>
          <w:sz w:val="20"/>
        </w:rPr>
      </w:pPr>
      <w:r>
        <w:rPr>
          <w:b/>
          <w:i/>
          <w:sz w:val="20"/>
        </w:rPr>
        <w:t>Information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presse</w:t>
      </w:r>
    </w:p>
    <w:p>
      <w:pPr>
        <w:spacing w:before="1"/>
        <w:ind w:left="0" w:right="159" w:firstLine="0"/>
        <w:jc w:val="right"/>
        <w:rPr>
          <w:sz w:val="20"/>
        </w:rPr>
      </w:pP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6</w:t>
      </w:r>
      <w:r>
        <w:rPr>
          <w:spacing w:val="-2"/>
          <w:sz w:val="20"/>
        </w:rPr>
        <w:t> </w:t>
      </w:r>
      <w:r>
        <w:rPr>
          <w:sz w:val="20"/>
        </w:rPr>
        <w:t>juillet</w:t>
      </w:r>
      <w:r>
        <w:rPr>
          <w:spacing w:val="-1"/>
          <w:sz w:val="20"/>
        </w:rPr>
        <w:t> </w:t>
      </w:r>
      <w:r>
        <w:rPr>
          <w:sz w:val="20"/>
        </w:rPr>
        <w:t>2023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Title"/>
      </w:pPr>
      <w:r>
        <w:rPr/>
        <w:t>Le groupe Casino signe de nouveaux accords pour équiper l’intégralité de son</w:t>
      </w:r>
      <w:r>
        <w:rPr>
          <w:spacing w:val="-61"/>
        </w:rPr>
        <w:t> </w:t>
      </w:r>
      <w:r>
        <w:rPr/>
        <w:t>parc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magasins</w:t>
      </w:r>
      <w:r>
        <w:rPr>
          <w:spacing w:val="-1"/>
        </w:rPr>
        <w:t> </w:t>
      </w:r>
      <w:r>
        <w:rPr/>
        <w:t>éligibles en</w:t>
      </w:r>
      <w:r>
        <w:rPr>
          <w:spacing w:val="-1"/>
        </w:rPr>
        <w:t> </w:t>
      </w:r>
      <w:r>
        <w:rPr/>
        <w:t>bornes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recharge</w:t>
      </w:r>
      <w:r>
        <w:rPr>
          <w:spacing w:val="-2"/>
        </w:rPr>
        <w:t> </w:t>
      </w:r>
      <w:r>
        <w:rPr/>
        <w:t>électriques</w:t>
      </w:r>
      <w:r>
        <w:rPr>
          <w:spacing w:val="-2"/>
        </w:rPr>
        <w:t> </w:t>
      </w:r>
      <w:r>
        <w:rPr/>
        <w:t>d’ici</w:t>
      </w:r>
      <w:r>
        <w:rPr>
          <w:spacing w:val="-2"/>
        </w:rPr>
        <w:t> </w:t>
      </w:r>
      <w:r>
        <w:rPr/>
        <w:t>2024</w:t>
      </w:r>
    </w:p>
    <w:p>
      <w:pPr>
        <w:pStyle w:val="BodyText"/>
        <w:spacing w:before="11"/>
        <w:rPr>
          <w:b/>
          <w:sz w:val="39"/>
        </w:rPr>
      </w:pPr>
    </w:p>
    <w:p>
      <w:pPr>
        <w:spacing w:line="240" w:lineRule="auto" w:before="0"/>
        <w:ind w:left="116" w:right="110" w:firstLine="0"/>
        <w:jc w:val="both"/>
        <w:rPr>
          <w:b/>
          <w:sz w:val="24"/>
        </w:rPr>
      </w:pPr>
      <w:r>
        <w:rPr>
          <w:b/>
          <w:sz w:val="24"/>
        </w:rPr>
        <w:t>D’ici 2024, le groupe Casino aura équipé les parkings de près de 450 sites (supermarchés et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hypermarchés Casino, Monoprix) en bornes de recharge électriques, ce qui représente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mise à disposition de plus de 6 200 points de charge et couvre 100% de son parc éligible. La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signature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d’accords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avec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opérateurs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Bump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Electra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notamment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permettre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d’accélérer 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déploiement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d’envergure.</w:t>
      </w:r>
    </w:p>
    <w:p>
      <w:pPr>
        <w:pStyle w:val="BodyText"/>
        <w:spacing w:before="12"/>
        <w:rPr>
          <w:b/>
          <w:sz w:val="21"/>
        </w:rPr>
      </w:pPr>
    </w:p>
    <w:p>
      <w:pPr>
        <w:pStyle w:val="BodyText"/>
        <w:ind w:left="116" w:right="110"/>
        <w:jc w:val="both"/>
      </w:pPr>
      <w:r>
        <w:rPr/>
        <w:t>Précurseur, le groupe Casino a entamé dès 2020, l’installation de bornes électriques sur les parkings</w:t>
      </w:r>
      <w:r>
        <w:rPr>
          <w:spacing w:val="1"/>
        </w:rPr>
        <w:t> </w:t>
      </w:r>
      <w:r>
        <w:rPr/>
        <w:t>de ses magasins pour répondre à une forte attente des consommateurs, sur un marché du véhicule</w:t>
      </w:r>
      <w:r>
        <w:rPr>
          <w:spacing w:val="1"/>
        </w:rPr>
        <w:t> </w:t>
      </w:r>
      <w:r>
        <w:rPr/>
        <w:t>électrique</w:t>
      </w:r>
      <w:r>
        <w:rPr>
          <w:spacing w:val="-3"/>
        </w:rPr>
        <w:t> </w:t>
      </w:r>
      <w:r>
        <w:rPr/>
        <w:t>en plein</w:t>
      </w:r>
      <w:r>
        <w:rPr>
          <w:spacing w:val="-3"/>
        </w:rPr>
        <w:t> </w:t>
      </w:r>
      <w:r>
        <w:rPr/>
        <w:t>essor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ind w:left="116" w:right="109"/>
        <w:jc w:val="both"/>
      </w:pPr>
      <w:r>
        <w:rPr/>
        <w:t>En 2020, il signe ainsi des accords avec les opérateurs ALLEGO, TESLA puis avec BUMP en 2022, pour</w:t>
      </w:r>
      <w:r>
        <w:rPr>
          <w:spacing w:val="1"/>
        </w:rPr>
        <w:t> </w:t>
      </w:r>
      <w:r>
        <w:rPr/>
        <w:t>l’équipement</w:t>
      </w:r>
      <w:r>
        <w:rPr>
          <w:spacing w:val="-4"/>
        </w:rPr>
        <w:t> </w:t>
      </w:r>
      <w:r>
        <w:rPr/>
        <w:t>d’une</w:t>
      </w:r>
      <w:r>
        <w:rPr>
          <w:spacing w:val="-5"/>
        </w:rPr>
        <w:t> </w:t>
      </w:r>
      <w:r>
        <w:rPr/>
        <w:t>centaine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parkings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enseignes</w:t>
      </w:r>
      <w:r>
        <w:rPr>
          <w:spacing w:val="-2"/>
        </w:rPr>
        <w:t> </w:t>
      </w:r>
      <w:r>
        <w:rPr/>
        <w:t>Casino</w:t>
      </w:r>
      <w:r>
        <w:rPr>
          <w:spacing w:val="-4"/>
        </w:rPr>
        <w:t> </w:t>
      </w:r>
      <w:r>
        <w:rPr/>
        <w:t>et</w:t>
      </w:r>
      <w:r>
        <w:rPr>
          <w:spacing w:val="-8"/>
        </w:rPr>
        <w:t> </w:t>
      </w:r>
      <w:r>
        <w:rPr/>
        <w:t>Monoprix,</w:t>
      </w:r>
      <w:r>
        <w:rPr>
          <w:spacing w:val="-6"/>
        </w:rPr>
        <w:t> </w:t>
      </w:r>
      <w:r>
        <w:rPr/>
        <w:t>représentant</w:t>
      </w:r>
      <w:r>
        <w:rPr>
          <w:spacing w:val="-6"/>
        </w:rPr>
        <w:t> </w:t>
      </w:r>
      <w:r>
        <w:rPr/>
        <w:t>un</w:t>
      </w:r>
      <w:r>
        <w:rPr>
          <w:spacing w:val="-4"/>
        </w:rPr>
        <w:t> </w:t>
      </w:r>
      <w:r>
        <w:rPr/>
        <w:t>peu</w:t>
      </w:r>
      <w:r>
        <w:rPr>
          <w:spacing w:val="-4"/>
        </w:rPr>
        <w:t> </w:t>
      </w:r>
      <w:r>
        <w:rPr/>
        <w:t>plus</w:t>
      </w:r>
      <w:r>
        <w:rPr>
          <w:spacing w:val="-47"/>
        </w:rPr>
        <w:t> </w:t>
      </w:r>
      <w:r>
        <w:rPr/>
        <w:t>de 600 bornes (soit près de 900 points de charge).</w:t>
      </w:r>
      <w:r>
        <w:rPr>
          <w:spacing w:val="1"/>
        </w:rPr>
        <w:t> </w:t>
      </w:r>
      <w:r>
        <w:rPr/>
        <w:t>Au 1</w:t>
      </w:r>
      <w:r>
        <w:rPr>
          <w:vertAlign w:val="superscript"/>
        </w:rPr>
        <w:t>er</w:t>
      </w:r>
      <w:r>
        <w:rPr>
          <w:vertAlign w:val="baseline"/>
        </w:rPr>
        <w:t> juillet 2023, plus d’un tiers de ces sites sont</w:t>
      </w:r>
      <w:r>
        <w:rPr>
          <w:spacing w:val="1"/>
          <w:vertAlign w:val="baseline"/>
        </w:rPr>
        <w:t> </w:t>
      </w:r>
      <w:r>
        <w:rPr>
          <w:vertAlign w:val="baseline"/>
        </w:rPr>
        <w:t>déjà équipés</w:t>
      </w:r>
      <w:r>
        <w:rPr>
          <w:spacing w:val="1"/>
          <w:vertAlign w:val="baseline"/>
        </w:rPr>
        <w:t> </w:t>
      </w:r>
      <w:r>
        <w:rPr>
          <w:vertAlign w:val="baseline"/>
        </w:rPr>
        <w:t>sur</w:t>
      </w:r>
      <w:r>
        <w:rPr>
          <w:spacing w:val="-4"/>
          <w:vertAlign w:val="baseline"/>
        </w:rPr>
        <w:t> </w:t>
      </w:r>
      <w:r>
        <w:rPr>
          <w:vertAlign w:val="baseline"/>
        </w:rPr>
        <w:t>l’ensemble du</w:t>
      </w:r>
      <w:r>
        <w:rPr>
          <w:spacing w:val="-1"/>
          <w:vertAlign w:val="baseline"/>
        </w:rPr>
        <w:t> </w:t>
      </w:r>
      <w:r>
        <w:rPr>
          <w:vertAlign w:val="baseline"/>
        </w:rPr>
        <w:t>territoire</w:t>
      </w:r>
      <w:r>
        <w:rPr>
          <w:spacing w:val="1"/>
          <w:vertAlign w:val="baseline"/>
        </w:rPr>
        <w:t> </w:t>
      </w:r>
      <w:r>
        <w:rPr>
          <w:vertAlign w:val="baseline"/>
        </w:rPr>
        <w:t>français.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"/>
        <w:ind w:left="116" w:right="109"/>
        <w:jc w:val="both"/>
      </w:pPr>
      <w:r>
        <w:rPr/>
        <w:t>Le groupe Casino accélère le mouvement avec un appel d’offres lancé fin 2022 par Casino Immobilier,</w:t>
      </w:r>
      <w:r>
        <w:rPr>
          <w:spacing w:val="-48"/>
        </w:rPr>
        <w:t> </w:t>
      </w:r>
      <w:r>
        <w:rPr/>
        <w:t>filiale</w:t>
      </w:r>
      <w:r>
        <w:rPr>
          <w:spacing w:val="-7"/>
        </w:rPr>
        <w:t> </w:t>
      </w:r>
      <w:r>
        <w:rPr/>
        <w:t>du</w:t>
      </w:r>
      <w:r>
        <w:rPr>
          <w:spacing w:val="-9"/>
        </w:rPr>
        <w:t> </w:t>
      </w:r>
      <w:r>
        <w:rPr/>
        <w:t>groupe</w:t>
      </w:r>
      <w:r>
        <w:rPr>
          <w:spacing w:val="-7"/>
        </w:rPr>
        <w:t> </w:t>
      </w:r>
      <w:r>
        <w:rPr/>
        <w:t>casino,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remporté</w:t>
      </w:r>
      <w:r>
        <w:rPr>
          <w:spacing w:val="-6"/>
        </w:rPr>
        <w:t> </w:t>
      </w:r>
      <w:r>
        <w:rPr/>
        <w:t>par</w:t>
      </w:r>
      <w:r>
        <w:rPr>
          <w:spacing w:val="-8"/>
        </w:rPr>
        <w:t> </w:t>
      </w:r>
      <w:r>
        <w:rPr/>
        <w:t>BUMP</w:t>
      </w:r>
      <w:r>
        <w:rPr>
          <w:spacing w:val="-9"/>
        </w:rPr>
        <w:t> </w:t>
      </w:r>
      <w:r>
        <w:rPr/>
        <w:t>et</w:t>
      </w:r>
      <w:r>
        <w:rPr>
          <w:spacing w:val="-8"/>
        </w:rPr>
        <w:t> </w:t>
      </w:r>
      <w:r>
        <w:rPr/>
        <w:t>ELECTRA.</w:t>
      </w:r>
      <w:r>
        <w:rPr>
          <w:spacing w:val="-9"/>
        </w:rPr>
        <w:t> </w:t>
      </w:r>
      <w:r>
        <w:rPr/>
        <w:t>Cet</w:t>
      </w:r>
      <w:r>
        <w:rPr>
          <w:spacing w:val="-6"/>
        </w:rPr>
        <w:t> </w:t>
      </w:r>
      <w:r>
        <w:rPr/>
        <w:t>accord</w:t>
      </w:r>
      <w:r>
        <w:rPr>
          <w:spacing w:val="-9"/>
        </w:rPr>
        <w:t> </w:t>
      </w:r>
      <w:r>
        <w:rPr/>
        <w:t>porte</w:t>
      </w:r>
      <w:r>
        <w:rPr>
          <w:spacing w:val="-7"/>
        </w:rPr>
        <w:t> </w:t>
      </w:r>
      <w:r>
        <w:rPr/>
        <w:t>sur</w:t>
      </w:r>
      <w:r>
        <w:rPr>
          <w:spacing w:val="-9"/>
        </w:rPr>
        <w:t> </w:t>
      </w:r>
      <w:r>
        <w:rPr/>
        <w:t>l’équipement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près</w:t>
      </w:r>
      <w:r>
        <w:rPr>
          <w:spacing w:val="-48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350</w:t>
      </w:r>
      <w:r>
        <w:rPr>
          <w:spacing w:val="-11"/>
        </w:rPr>
        <w:t> </w:t>
      </w:r>
      <w:r>
        <w:rPr>
          <w:spacing w:val="-1"/>
        </w:rPr>
        <w:t>nouveaux</w:t>
      </w:r>
      <w:r>
        <w:rPr>
          <w:spacing w:val="-9"/>
        </w:rPr>
        <w:t> </w:t>
      </w:r>
      <w:r>
        <w:rPr>
          <w:spacing w:val="-1"/>
        </w:rPr>
        <w:t>sites</w:t>
      </w:r>
      <w:r>
        <w:rPr>
          <w:spacing w:val="-11"/>
        </w:rPr>
        <w:t> </w:t>
      </w:r>
      <w:r>
        <w:rPr/>
        <w:t>d’ici</w:t>
      </w:r>
      <w:r>
        <w:rPr>
          <w:spacing w:val="-13"/>
        </w:rPr>
        <w:t> </w:t>
      </w:r>
      <w:r>
        <w:rPr/>
        <w:t>fin</w:t>
      </w:r>
      <w:r>
        <w:rPr>
          <w:spacing w:val="-11"/>
        </w:rPr>
        <w:t> </w:t>
      </w:r>
      <w:r>
        <w:rPr/>
        <w:t>2024,</w:t>
      </w:r>
      <w:r>
        <w:rPr>
          <w:spacing w:val="-9"/>
        </w:rPr>
        <w:t> </w:t>
      </w:r>
      <w:r>
        <w:rPr/>
        <w:t>soit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mise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plus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5</w:t>
      </w:r>
      <w:r>
        <w:rPr>
          <w:spacing w:val="-2"/>
        </w:rPr>
        <w:t> </w:t>
      </w:r>
      <w:r>
        <w:rPr/>
        <w:t>300</w:t>
      </w:r>
      <w:r>
        <w:rPr>
          <w:spacing w:val="-11"/>
        </w:rPr>
        <w:t> </w:t>
      </w:r>
      <w:r>
        <w:rPr/>
        <w:t>nouveaux</w:t>
      </w:r>
      <w:r>
        <w:rPr>
          <w:spacing w:val="-10"/>
        </w:rPr>
        <w:t> </w:t>
      </w:r>
      <w:r>
        <w:rPr/>
        <w:t>points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charge.</w:t>
      </w:r>
      <w:r>
        <w:rPr>
          <w:spacing w:val="-48"/>
        </w:rPr>
        <w:t> </w:t>
      </w:r>
      <w:r>
        <w:rPr/>
        <w:t>Une douzaine de sites seront inaugurés dès 2023 notamment à Torcy (77), St Brieuc (35), Bormes les</w:t>
      </w:r>
      <w:r>
        <w:rPr>
          <w:spacing w:val="1"/>
        </w:rPr>
        <w:t> </w:t>
      </w:r>
      <w:r>
        <w:rPr/>
        <w:t>Mimosas</w:t>
      </w:r>
      <w:r>
        <w:rPr>
          <w:spacing w:val="-4"/>
        </w:rPr>
        <w:t> </w:t>
      </w:r>
      <w:r>
        <w:rPr/>
        <w:t>(83)</w:t>
      </w:r>
      <w:r>
        <w:rPr>
          <w:spacing w:val="-2"/>
        </w:rPr>
        <w:t> </w:t>
      </w:r>
      <w:r>
        <w:rPr/>
        <w:t>ou Oyonnax (01).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6" w:right="109"/>
        <w:jc w:val="both"/>
      </w:pPr>
      <w:r>
        <w:rPr/>
        <w:t>S’appuyant</w:t>
      </w:r>
      <w:r>
        <w:rPr>
          <w:spacing w:val="-4"/>
        </w:rPr>
        <w:t> </w:t>
      </w:r>
      <w:r>
        <w:rPr/>
        <w:t>sur</w:t>
      </w:r>
      <w:r>
        <w:rPr>
          <w:spacing w:val="-4"/>
        </w:rPr>
        <w:t> </w:t>
      </w:r>
      <w:r>
        <w:rPr/>
        <w:t>l’expertise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ses</w:t>
      </w:r>
      <w:r>
        <w:rPr>
          <w:spacing w:val="-5"/>
        </w:rPr>
        <w:t> </w:t>
      </w:r>
      <w:r>
        <w:rPr/>
        <w:t>partenaires,</w:t>
      </w:r>
      <w:r>
        <w:rPr>
          <w:spacing w:val="-6"/>
        </w:rPr>
        <w:t> </w:t>
      </w:r>
      <w:r>
        <w:rPr/>
        <w:t>le</w:t>
      </w:r>
      <w:r>
        <w:rPr>
          <w:spacing w:val="-6"/>
        </w:rPr>
        <w:t> </w:t>
      </w:r>
      <w:r>
        <w:rPr/>
        <w:t>Groupe</w:t>
      </w:r>
      <w:r>
        <w:rPr>
          <w:spacing w:val="-3"/>
        </w:rPr>
        <w:t> </w:t>
      </w:r>
      <w:r>
        <w:rPr/>
        <w:t>aura</w:t>
      </w:r>
      <w:r>
        <w:rPr>
          <w:spacing w:val="-3"/>
        </w:rPr>
        <w:t> </w:t>
      </w:r>
      <w:r>
        <w:rPr/>
        <w:t>au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équipé</w:t>
      </w:r>
      <w:r>
        <w:rPr>
          <w:spacing w:val="-4"/>
        </w:rPr>
        <w:t> </w:t>
      </w:r>
      <w:r>
        <w:rPr/>
        <w:t>d’ici</w:t>
      </w:r>
      <w:r>
        <w:rPr>
          <w:spacing w:val="-3"/>
        </w:rPr>
        <w:t> </w:t>
      </w:r>
      <w:r>
        <w:rPr/>
        <w:t>fin</w:t>
      </w:r>
      <w:r>
        <w:rPr>
          <w:spacing w:val="-4"/>
        </w:rPr>
        <w:t> </w:t>
      </w:r>
      <w:r>
        <w:rPr/>
        <w:t>2024,</w:t>
      </w:r>
      <w:r>
        <w:rPr>
          <w:spacing w:val="-5"/>
        </w:rPr>
        <w:t> </w:t>
      </w:r>
      <w:r>
        <w:rPr/>
        <w:t>l’ensemble</w:t>
      </w:r>
      <w:r>
        <w:rPr>
          <w:spacing w:val="-48"/>
        </w:rPr>
        <w:t> </w:t>
      </w:r>
      <w:r>
        <w:rPr/>
        <w:t>de</w:t>
      </w:r>
      <w:r>
        <w:rPr>
          <w:spacing w:val="1"/>
        </w:rPr>
        <w:t> </w:t>
      </w:r>
      <w:r>
        <w:rPr/>
        <w:t>ses</w:t>
      </w:r>
      <w:r>
        <w:rPr>
          <w:spacing w:val="1"/>
        </w:rPr>
        <w:t> </w:t>
      </w:r>
      <w:r>
        <w:rPr/>
        <w:t>magasins</w:t>
      </w:r>
      <w:r>
        <w:rPr>
          <w:spacing w:val="1"/>
        </w:rPr>
        <w:t> </w:t>
      </w:r>
      <w:r>
        <w:rPr/>
        <w:t>Monoprix,</w:t>
      </w:r>
      <w:r>
        <w:rPr>
          <w:spacing w:val="1"/>
        </w:rPr>
        <w:t> </w:t>
      </w:r>
      <w:r>
        <w:rPr/>
        <w:t>supermarchés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hypermarchés</w:t>
      </w:r>
      <w:r>
        <w:rPr>
          <w:spacing w:val="1"/>
        </w:rPr>
        <w:t> </w:t>
      </w:r>
      <w:r>
        <w:rPr/>
        <w:t>Casino</w:t>
      </w:r>
      <w:r>
        <w:rPr>
          <w:spacing w:val="1"/>
        </w:rPr>
        <w:t> </w:t>
      </w:r>
      <w:r>
        <w:rPr/>
        <w:t>dotés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parkings,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qui</w:t>
      </w:r>
      <w:r>
        <w:rPr>
          <w:spacing w:val="1"/>
        </w:rPr>
        <w:t> </w:t>
      </w:r>
      <w:r>
        <w:rPr/>
        <w:t>représente au</w:t>
      </w:r>
      <w:r>
        <w:rPr>
          <w:spacing w:val="-3"/>
        </w:rPr>
        <w:t> </w:t>
      </w:r>
      <w:r>
        <w:rPr/>
        <w:t>total près de</w:t>
      </w:r>
      <w:r>
        <w:rPr>
          <w:spacing w:val="-2"/>
        </w:rPr>
        <w:t> </w:t>
      </w:r>
      <w:r>
        <w:rPr/>
        <w:t>450 sites,</w:t>
      </w:r>
      <w:r>
        <w:rPr>
          <w:spacing w:val="-3"/>
        </w:rPr>
        <w:t> </w:t>
      </w:r>
      <w:r>
        <w:rPr/>
        <w:t>soit</w:t>
      </w:r>
      <w:r>
        <w:rPr>
          <w:spacing w:val="2"/>
        </w:rPr>
        <w:t> </w:t>
      </w:r>
      <w:r>
        <w:rPr/>
        <w:t>plus de</w:t>
      </w:r>
      <w:r>
        <w:rPr>
          <w:spacing w:val="-2"/>
        </w:rPr>
        <w:t> </w:t>
      </w:r>
      <w:r>
        <w:rPr/>
        <w:t>6</w:t>
      </w:r>
      <w:r>
        <w:rPr>
          <w:spacing w:val="-1"/>
        </w:rPr>
        <w:t> </w:t>
      </w:r>
      <w:r>
        <w:rPr/>
        <w:t>200 points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charge.</w:t>
      </w:r>
    </w:p>
    <w:p>
      <w:pPr>
        <w:pStyle w:val="BodyText"/>
        <w:spacing w:before="1"/>
        <w:ind w:left="116" w:right="108"/>
        <w:jc w:val="both"/>
      </w:pPr>
      <w:r>
        <w:rPr/>
        <w:t>Les enseignes du Groupe apportent ainsi un nouveau service de proximité à leurs clients détenteurs</w:t>
      </w:r>
      <w:r>
        <w:rPr>
          <w:spacing w:val="1"/>
        </w:rPr>
        <w:t> </w:t>
      </w:r>
      <w:r>
        <w:rPr/>
        <w:t>de véhicules électriques. La mise à disposition de ces bornes devrait également contribuer à recruter</w:t>
      </w:r>
      <w:r>
        <w:rPr>
          <w:spacing w:val="1"/>
        </w:rPr>
        <w:t> </w:t>
      </w:r>
      <w:r>
        <w:rPr/>
        <w:t>voire fidéliser de</w:t>
      </w:r>
      <w:r>
        <w:rPr>
          <w:spacing w:val="1"/>
        </w:rPr>
        <w:t> </w:t>
      </w:r>
      <w:r>
        <w:rPr/>
        <w:t>nouveaux</w:t>
      </w:r>
      <w:r>
        <w:rPr>
          <w:spacing w:val="-3"/>
        </w:rPr>
        <w:t> </w:t>
      </w:r>
      <w:r>
        <w:rPr/>
        <w:t>clients.</w:t>
      </w:r>
    </w:p>
    <w:p>
      <w:pPr>
        <w:pStyle w:val="BodyText"/>
        <w:spacing w:before="1"/>
      </w:pPr>
    </w:p>
    <w:p>
      <w:pPr>
        <w:pStyle w:val="BodyText"/>
        <w:ind w:left="116" w:right="109"/>
        <w:jc w:val="both"/>
      </w:pPr>
      <w:r>
        <w:rPr/>
        <w:t>Les bornes de recharge installées seront compatibles avec tous types de véhicules électriques et</w:t>
      </w:r>
      <w:r>
        <w:rPr>
          <w:spacing w:val="1"/>
        </w:rPr>
        <w:t> </w:t>
      </w:r>
      <w:r>
        <w:rPr/>
        <w:t>hybrides, et proposeront un mix de puissance permettant aux clients de charger leur véhicule en 20</w:t>
      </w:r>
      <w:r>
        <w:rPr>
          <w:spacing w:val="1"/>
        </w:rPr>
        <w:t> </w:t>
      </w:r>
      <w:r>
        <w:rPr/>
        <w:t>minutes ou en quelques heures, selon le temps et le budget dont ils disposent. Le prix étant variable</w:t>
      </w:r>
      <w:r>
        <w:rPr>
          <w:spacing w:val="1"/>
        </w:rPr>
        <w:t> </w:t>
      </w:r>
      <w:r>
        <w:rPr/>
        <w:t>en fonction de la puissance de la borne. A titre d’exemple, les bornes « haute puissance » (300 kW)</w:t>
      </w:r>
      <w:r>
        <w:rPr>
          <w:spacing w:val="1"/>
        </w:rPr>
        <w:t> </w:t>
      </w:r>
      <w:r>
        <w:rPr/>
        <w:t>permettent de recharger en moins de 10 minutes de 20% à 80% de la batterie d’un véhicule de</w:t>
      </w:r>
      <w:r>
        <w:rPr>
          <w:spacing w:val="1"/>
        </w:rPr>
        <w:t> </w:t>
      </w:r>
      <w:r>
        <w:rPr/>
        <w:t>tourisme (classique), quand il faut compter environ 50 minutes avec une borne basse puissance (22</w:t>
      </w:r>
      <w:r>
        <w:rPr>
          <w:spacing w:val="1"/>
        </w:rPr>
        <w:t> </w:t>
      </w:r>
      <w:r>
        <w:rPr/>
        <w:t>kW).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  <w:r>
        <w:rPr/>
        <w:pict>
          <v:rect style="position:absolute;margin-left:70.823997pt;margin-top:17.98922pt;width:144.020pt;height:.599980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9" w:lineRule="auto" w:before="58"/>
        <w:ind w:left="116" w:right="0" w:firstLine="0"/>
        <w:jc w:val="left"/>
        <w:rPr>
          <w:sz w:val="18"/>
        </w:rPr>
      </w:pPr>
      <w:r>
        <w:rPr>
          <w:rFonts w:ascii="Times New Roman" w:hAnsi="Times New Roman"/>
          <w:position w:val="9"/>
          <w:sz w:val="16"/>
        </w:rPr>
        <w:t>1</w:t>
      </w:r>
      <w:r>
        <w:rPr>
          <w:rFonts w:ascii="Times New Roman" w:hAnsi="Times New Roman"/>
          <w:spacing w:val="21"/>
          <w:position w:val="9"/>
          <w:sz w:val="16"/>
        </w:rPr>
        <w:t> </w:t>
      </w:r>
      <w:r>
        <w:rPr>
          <w:sz w:val="18"/>
        </w:rPr>
        <w:t>La</w:t>
      </w:r>
      <w:r>
        <w:rPr>
          <w:spacing w:val="2"/>
          <w:sz w:val="18"/>
        </w:rPr>
        <w:t> </w:t>
      </w:r>
      <w:r>
        <w:rPr>
          <w:sz w:val="18"/>
        </w:rPr>
        <w:t>part de marché de</w:t>
      </w:r>
      <w:r>
        <w:rPr>
          <w:spacing w:val="3"/>
          <w:sz w:val="18"/>
        </w:rPr>
        <w:t> </w:t>
      </w:r>
      <w:r>
        <w:rPr>
          <w:sz w:val="18"/>
        </w:rPr>
        <w:t>l’électrique</w:t>
      </w:r>
      <w:r>
        <w:rPr>
          <w:spacing w:val="3"/>
          <w:sz w:val="18"/>
        </w:rPr>
        <w:t> </w:t>
      </w:r>
      <w:r>
        <w:rPr>
          <w:sz w:val="18"/>
        </w:rPr>
        <w:t>en France est</w:t>
      </w:r>
      <w:r>
        <w:rPr>
          <w:spacing w:val="1"/>
          <w:sz w:val="18"/>
        </w:rPr>
        <w:t> </w:t>
      </w:r>
      <w:r>
        <w:rPr>
          <w:sz w:val="18"/>
        </w:rPr>
        <w:t>passée</w:t>
      </w:r>
      <w:r>
        <w:rPr>
          <w:spacing w:val="2"/>
          <w:sz w:val="18"/>
        </w:rPr>
        <w:t> </w:t>
      </w:r>
      <w:r>
        <w:rPr>
          <w:sz w:val="18"/>
        </w:rPr>
        <w:t>de 2,7%</w:t>
      </w:r>
      <w:r>
        <w:rPr>
          <w:spacing w:val="2"/>
          <w:sz w:val="18"/>
        </w:rPr>
        <w:t> </w:t>
      </w:r>
      <w:r>
        <w:rPr>
          <w:sz w:val="18"/>
        </w:rPr>
        <w:t>en</w:t>
      </w:r>
      <w:r>
        <w:rPr>
          <w:spacing w:val="1"/>
          <w:sz w:val="18"/>
        </w:rPr>
        <w:t> </w:t>
      </w:r>
      <w:r>
        <w:rPr>
          <w:sz w:val="18"/>
        </w:rPr>
        <w:t>2019</w:t>
      </w:r>
      <w:r>
        <w:rPr>
          <w:spacing w:val="1"/>
          <w:sz w:val="18"/>
        </w:rPr>
        <w:t> </w:t>
      </w:r>
      <w:r>
        <w:rPr>
          <w:sz w:val="18"/>
        </w:rPr>
        <w:t>à</w:t>
      </w:r>
      <w:r>
        <w:rPr>
          <w:spacing w:val="1"/>
          <w:sz w:val="18"/>
        </w:rPr>
        <w:t> </w:t>
      </w:r>
      <w:r>
        <w:rPr>
          <w:sz w:val="18"/>
        </w:rPr>
        <w:t>22%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1"/>
          <w:sz w:val="18"/>
        </w:rPr>
        <w:t> </w:t>
      </w:r>
      <w:r>
        <w:rPr>
          <w:sz w:val="18"/>
        </w:rPr>
        <w:t>2022.</w:t>
      </w:r>
      <w:r>
        <w:rPr>
          <w:spacing w:val="1"/>
          <w:sz w:val="18"/>
        </w:rPr>
        <w:t> </w:t>
      </w:r>
      <w:r>
        <w:rPr>
          <w:sz w:val="18"/>
        </w:rPr>
        <w:t>Plus</w:t>
      </w:r>
      <w:r>
        <w:rPr>
          <w:spacing w:val="2"/>
          <w:sz w:val="18"/>
        </w:rPr>
        <w:t> </w:t>
      </w:r>
      <w:r>
        <w:rPr>
          <w:sz w:val="18"/>
        </w:rPr>
        <w:t>d’1</w:t>
      </w:r>
      <w:r>
        <w:rPr>
          <w:spacing w:val="1"/>
          <w:sz w:val="18"/>
        </w:rPr>
        <w:t> </w:t>
      </w:r>
      <w:r>
        <w:rPr>
          <w:sz w:val="18"/>
        </w:rPr>
        <w:t>nouvelle</w:t>
      </w:r>
      <w:r>
        <w:rPr>
          <w:spacing w:val="1"/>
          <w:sz w:val="18"/>
        </w:rPr>
        <w:t> </w:t>
      </w:r>
      <w:r>
        <w:rPr>
          <w:sz w:val="18"/>
        </w:rPr>
        <w:t>immatriculation</w:t>
      </w:r>
      <w:r>
        <w:rPr>
          <w:spacing w:val="-38"/>
          <w:sz w:val="18"/>
        </w:rPr>
        <w:t> </w:t>
      </w:r>
      <w:r>
        <w:rPr>
          <w:sz w:val="18"/>
        </w:rPr>
        <w:t>sur</w:t>
      </w:r>
      <w:r>
        <w:rPr>
          <w:spacing w:val="-1"/>
          <w:sz w:val="18"/>
        </w:rPr>
        <w:t> </w:t>
      </w:r>
      <w:r>
        <w:rPr>
          <w:sz w:val="18"/>
        </w:rPr>
        <w:t>5 concerne un</w:t>
      </w:r>
      <w:r>
        <w:rPr>
          <w:spacing w:val="-1"/>
          <w:sz w:val="18"/>
        </w:rPr>
        <w:t> </w:t>
      </w:r>
      <w:r>
        <w:rPr>
          <w:sz w:val="18"/>
        </w:rPr>
        <w:t>véhicule</w:t>
      </w:r>
      <w:r>
        <w:rPr>
          <w:spacing w:val="-1"/>
          <w:sz w:val="18"/>
        </w:rPr>
        <w:t> </w:t>
      </w:r>
      <w:r>
        <w:rPr>
          <w:sz w:val="18"/>
        </w:rPr>
        <w:t>électrique</w:t>
      </w:r>
      <w:r>
        <w:rPr>
          <w:spacing w:val="39"/>
          <w:sz w:val="18"/>
        </w:rPr>
        <w:t> </w:t>
      </w:r>
      <w:r>
        <w:rPr>
          <w:sz w:val="18"/>
        </w:rPr>
        <w:t>(source</w:t>
      </w:r>
      <w:r>
        <w:rPr>
          <w:spacing w:val="2"/>
          <w:sz w:val="18"/>
        </w:rPr>
        <w:t> </w:t>
      </w:r>
      <w:r>
        <w:rPr>
          <w:sz w:val="18"/>
        </w:rPr>
        <w:t>: PFA</w:t>
      </w:r>
      <w:r>
        <w:rPr>
          <w:spacing w:val="-2"/>
          <w:sz w:val="18"/>
        </w:rPr>
        <w:t> </w:t>
      </w:r>
      <w:r>
        <w:rPr>
          <w:sz w:val="18"/>
        </w:rPr>
        <w:t>–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Plateforme</w:t>
      </w:r>
      <w:r>
        <w:rPr>
          <w:spacing w:val="-1"/>
          <w:sz w:val="18"/>
        </w:rPr>
        <w:t> </w:t>
      </w:r>
      <w:r>
        <w:rPr>
          <w:sz w:val="18"/>
        </w:rPr>
        <w:t>Automobile,</w:t>
      </w:r>
      <w:r>
        <w:rPr>
          <w:spacing w:val="-1"/>
          <w:sz w:val="18"/>
        </w:rPr>
        <w:t> </w:t>
      </w:r>
      <w:r>
        <w:rPr>
          <w:sz w:val="18"/>
        </w:rPr>
        <w:t>janvier 2023).</w:t>
      </w:r>
    </w:p>
    <w:p>
      <w:pPr>
        <w:spacing w:after="0" w:line="249" w:lineRule="auto"/>
        <w:jc w:val="left"/>
        <w:rPr>
          <w:sz w:val="18"/>
        </w:rPr>
        <w:sectPr>
          <w:footerReference w:type="default" r:id="rId5"/>
          <w:type w:val="continuous"/>
          <w:pgSz w:w="11900" w:h="16850"/>
          <w:pgMar w:footer="1003" w:top="1220" w:bottom="1200" w:left="1300" w:right="1300"/>
          <w:pgNumType w:start="1"/>
        </w:sectPr>
      </w:pPr>
    </w:p>
    <w:p>
      <w:pPr>
        <w:spacing w:before="91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propos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groupe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Casino</w:t>
      </w:r>
    </w:p>
    <w:p>
      <w:pPr>
        <w:spacing w:before="2"/>
        <w:ind w:left="116" w:right="112" w:firstLine="0"/>
        <w:jc w:val="both"/>
        <w:rPr>
          <w:sz w:val="18"/>
        </w:rPr>
      </w:pPr>
      <w:r>
        <w:rPr>
          <w:sz w:val="18"/>
        </w:rPr>
        <w:t>Le</w:t>
      </w:r>
      <w:r>
        <w:rPr>
          <w:spacing w:val="-3"/>
          <w:sz w:val="18"/>
        </w:rPr>
        <w:t> </w:t>
      </w:r>
      <w:r>
        <w:rPr>
          <w:sz w:val="18"/>
        </w:rPr>
        <w:t>groupe</w:t>
      </w:r>
      <w:r>
        <w:rPr>
          <w:spacing w:val="-2"/>
          <w:sz w:val="18"/>
        </w:rPr>
        <w:t> </w:t>
      </w:r>
      <w:r>
        <w:rPr>
          <w:sz w:val="18"/>
        </w:rPr>
        <w:t>Casino</w:t>
      </w:r>
      <w:r>
        <w:rPr>
          <w:spacing w:val="-2"/>
          <w:sz w:val="18"/>
        </w:rPr>
        <w:t> </w:t>
      </w:r>
      <w:r>
        <w:rPr>
          <w:sz w:val="18"/>
        </w:rPr>
        <w:t>est</w:t>
      </w:r>
      <w:r>
        <w:rPr>
          <w:spacing w:val="-1"/>
          <w:sz w:val="18"/>
        </w:rPr>
        <w:t> </w:t>
      </w:r>
      <w:r>
        <w:rPr>
          <w:sz w:val="18"/>
        </w:rPr>
        <w:t>un</w:t>
      </w:r>
      <w:r>
        <w:rPr>
          <w:spacing w:val="-2"/>
          <w:sz w:val="18"/>
        </w:rPr>
        <w:t> </w:t>
      </w:r>
      <w:r>
        <w:rPr>
          <w:sz w:val="18"/>
        </w:rPr>
        <w:t>acteur</w:t>
      </w:r>
      <w:r>
        <w:rPr>
          <w:spacing w:val="-2"/>
          <w:sz w:val="18"/>
        </w:rPr>
        <w:t> </w:t>
      </w:r>
      <w:r>
        <w:rPr>
          <w:sz w:val="18"/>
        </w:rPr>
        <w:t>clé</w:t>
      </w:r>
      <w:r>
        <w:rPr>
          <w:spacing w:val="-2"/>
          <w:sz w:val="18"/>
        </w:rPr>
        <w:t> </w:t>
      </w:r>
      <w:r>
        <w:rPr>
          <w:sz w:val="18"/>
        </w:rPr>
        <w:t>et</w:t>
      </w:r>
      <w:r>
        <w:rPr>
          <w:spacing w:val="-1"/>
          <w:sz w:val="18"/>
        </w:rPr>
        <w:t> </w:t>
      </w:r>
      <w:r>
        <w:rPr>
          <w:sz w:val="18"/>
        </w:rPr>
        <w:t>réputé</w:t>
      </w:r>
      <w:r>
        <w:rPr>
          <w:spacing w:val="-4"/>
          <w:sz w:val="18"/>
        </w:rPr>
        <w:t> </w:t>
      </w:r>
      <w:r>
        <w:rPr>
          <w:sz w:val="18"/>
        </w:rPr>
        <w:t>sur</w:t>
      </w:r>
      <w:r>
        <w:rPr>
          <w:spacing w:val="-1"/>
          <w:sz w:val="18"/>
        </w:rPr>
        <w:t> </w:t>
      </w:r>
      <w:r>
        <w:rPr>
          <w:sz w:val="18"/>
        </w:rPr>
        <w:t>le</w:t>
      </w:r>
      <w:r>
        <w:rPr>
          <w:spacing w:val="-2"/>
          <w:sz w:val="18"/>
        </w:rPr>
        <w:t> </w:t>
      </w:r>
      <w:r>
        <w:rPr>
          <w:sz w:val="18"/>
        </w:rPr>
        <w:t>marché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distribution</w:t>
      </w:r>
      <w:r>
        <w:rPr>
          <w:spacing w:val="-3"/>
          <w:sz w:val="18"/>
        </w:rPr>
        <w:t> </w:t>
      </w:r>
      <w:r>
        <w:rPr>
          <w:sz w:val="18"/>
        </w:rPr>
        <w:t>en France</w:t>
      </w:r>
      <w:r>
        <w:rPr>
          <w:spacing w:val="-3"/>
          <w:sz w:val="18"/>
        </w:rPr>
        <w:t> </w:t>
      </w:r>
      <w:r>
        <w:rPr>
          <w:sz w:val="18"/>
        </w:rPr>
        <w:t>et un</w:t>
      </w:r>
      <w:r>
        <w:rPr>
          <w:spacing w:val="-2"/>
          <w:sz w:val="18"/>
        </w:rPr>
        <w:t> </w:t>
      </w:r>
      <w:r>
        <w:rPr>
          <w:sz w:val="18"/>
        </w:rPr>
        <w:t>leader du</w:t>
      </w:r>
      <w:r>
        <w:rPr>
          <w:spacing w:val="-2"/>
          <w:sz w:val="18"/>
        </w:rPr>
        <w:t> </w:t>
      </w:r>
      <w:r>
        <w:rPr>
          <w:sz w:val="18"/>
        </w:rPr>
        <w:t>marché</w:t>
      </w:r>
      <w:r>
        <w:rPr>
          <w:spacing w:val="-2"/>
          <w:sz w:val="18"/>
        </w:rPr>
        <w:t> </w:t>
      </w:r>
      <w:r>
        <w:rPr>
          <w:sz w:val="18"/>
        </w:rPr>
        <w:t>mondial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38"/>
          <w:sz w:val="18"/>
        </w:rPr>
        <w:t> </w:t>
      </w:r>
      <w:r>
        <w:rPr>
          <w:sz w:val="18"/>
        </w:rPr>
        <w:t>distribution</w:t>
      </w:r>
      <w:r>
        <w:rPr>
          <w:spacing w:val="-3"/>
          <w:sz w:val="18"/>
        </w:rPr>
        <w:t> </w:t>
      </w:r>
      <w:r>
        <w:rPr>
          <w:sz w:val="18"/>
        </w:rPr>
        <w:t>alimentaire,</w:t>
      </w:r>
      <w:r>
        <w:rPr>
          <w:spacing w:val="-2"/>
          <w:sz w:val="18"/>
        </w:rPr>
        <w:t> </w:t>
      </w:r>
      <w:r>
        <w:rPr>
          <w:sz w:val="18"/>
        </w:rPr>
        <w:t>avec</w:t>
      </w:r>
      <w:r>
        <w:rPr>
          <w:spacing w:val="-3"/>
          <w:sz w:val="18"/>
        </w:rPr>
        <w:t> </w:t>
      </w:r>
      <w:r>
        <w:rPr>
          <w:sz w:val="18"/>
        </w:rPr>
        <w:t>plus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11</w:t>
      </w:r>
      <w:r>
        <w:rPr>
          <w:spacing w:val="-2"/>
          <w:sz w:val="18"/>
        </w:rPr>
        <w:t> </w:t>
      </w:r>
      <w:r>
        <w:rPr>
          <w:sz w:val="18"/>
        </w:rPr>
        <w:t>500</w:t>
      </w:r>
      <w:r>
        <w:rPr>
          <w:spacing w:val="-2"/>
          <w:sz w:val="18"/>
        </w:rPr>
        <w:t> </w:t>
      </w:r>
      <w:r>
        <w:rPr>
          <w:sz w:val="18"/>
        </w:rPr>
        <w:t>magasins</w:t>
      </w:r>
      <w:r>
        <w:rPr>
          <w:spacing w:val="-2"/>
          <w:sz w:val="18"/>
        </w:rPr>
        <w:t> </w:t>
      </w:r>
      <w:r>
        <w:rPr>
          <w:sz w:val="18"/>
        </w:rPr>
        <w:t>dans</w:t>
      </w:r>
      <w:r>
        <w:rPr>
          <w:spacing w:val="-3"/>
          <w:sz w:val="18"/>
        </w:rPr>
        <w:t> </w:t>
      </w:r>
      <w:r>
        <w:rPr>
          <w:sz w:val="18"/>
        </w:rPr>
        <w:t>le</w:t>
      </w:r>
      <w:r>
        <w:rPr>
          <w:spacing w:val="-4"/>
          <w:sz w:val="18"/>
        </w:rPr>
        <w:t> </w:t>
      </w:r>
      <w:r>
        <w:rPr>
          <w:sz w:val="18"/>
        </w:rPr>
        <w:t>monde</w:t>
      </w:r>
      <w:r>
        <w:rPr>
          <w:spacing w:val="-2"/>
          <w:sz w:val="18"/>
        </w:rPr>
        <w:t> </w:t>
      </w:r>
      <w:r>
        <w:rPr>
          <w:sz w:val="18"/>
        </w:rPr>
        <w:t>(France</w:t>
      </w:r>
      <w:r>
        <w:rPr>
          <w:spacing w:val="-3"/>
          <w:sz w:val="18"/>
        </w:rPr>
        <w:t> </w:t>
      </w:r>
      <w:r>
        <w:rPr>
          <w:sz w:val="18"/>
        </w:rPr>
        <w:t>et</w:t>
      </w:r>
      <w:r>
        <w:rPr>
          <w:spacing w:val="-2"/>
          <w:sz w:val="18"/>
        </w:rPr>
        <w:t> </w:t>
      </w:r>
      <w:r>
        <w:rPr>
          <w:sz w:val="18"/>
        </w:rPr>
        <w:t>Amérique</w:t>
      </w:r>
      <w:r>
        <w:rPr>
          <w:spacing w:val="-3"/>
          <w:sz w:val="18"/>
        </w:rPr>
        <w:t> </w:t>
      </w:r>
      <w:r>
        <w:rPr>
          <w:sz w:val="18"/>
        </w:rPr>
        <w:t>Latine).</w:t>
      </w:r>
      <w:r>
        <w:rPr>
          <w:spacing w:val="-2"/>
          <w:sz w:val="18"/>
        </w:rPr>
        <w:t> </w:t>
      </w:r>
      <w:r>
        <w:rPr>
          <w:sz w:val="18"/>
        </w:rPr>
        <w:t>Le</w:t>
      </w:r>
      <w:r>
        <w:rPr>
          <w:spacing w:val="-3"/>
          <w:sz w:val="18"/>
        </w:rPr>
        <w:t> </w:t>
      </w:r>
      <w:r>
        <w:rPr>
          <w:sz w:val="18"/>
        </w:rPr>
        <w:t>Groupe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constitué</w:t>
      </w:r>
      <w:r>
        <w:rPr>
          <w:spacing w:val="-3"/>
          <w:sz w:val="18"/>
        </w:rPr>
        <w:t> </w:t>
      </w:r>
      <w:r>
        <w:rPr>
          <w:sz w:val="18"/>
        </w:rPr>
        <w:t>un</w:t>
      </w:r>
      <w:r>
        <w:rPr>
          <w:spacing w:val="-38"/>
          <w:sz w:val="18"/>
        </w:rPr>
        <w:t> </w:t>
      </w:r>
      <w:r>
        <w:rPr>
          <w:sz w:val="18"/>
        </w:rPr>
        <w:t>portefeuille</w:t>
      </w:r>
      <w:r>
        <w:rPr>
          <w:spacing w:val="-4"/>
          <w:sz w:val="18"/>
        </w:rPr>
        <w:t> </w:t>
      </w:r>
      <w:r>
        <w:rPr>
          <w:sz w:val="18"/>
        </w:rPr>
        <w:t>d’enseignes</w:t>
      </w:r>
      <w:r>
        <w:rPr>
          <w:spacing w:val="-3"/>
          <w:sz w:val="18"/>
        </w:rPr>
        <w:t> </w:t>
      </w:r>
      <w:r>
        <w:rPr>
          <w:sz w:val="18"/>
        </w:rPr>
        <w:t>solides,</w:t>
      </w:r>
      <w:r>
        <w:rPr>
          <w:spacing w:val="-2"/>
          <w:sz w:val="18"/>
        </w:rPr>
        <w:t> </w:t>
      </w:r>
      <w:r>
        <w:rPr>
          <w:sz w:val="18"/>
        </w:rPr>
        <w:t>dynamiques</w:t>
      </w:r>
      <w:r>
        <w:rPr>
          <w:spacing w:val="-3"/>
          <w:sz w:val="18"/>
        </w:rPr>
        <w:t> </w:t>
      </w:r>
      <w:r>
        <w:rPr>
          <w:sz w:val="18"/>
        </w:rPr>
        <w:t>et</w:t>
      </w:r>
      <w:r>
        <w:rPr>
          <w:spacing w:val="-5"/>
          <w:sz w:val="18"/>
        </w:rPr>
        <w:t> </w:t>
      </w:r>
      <w:r>
        <w:rPr>
          <w:sz w:val="18"/>
        </w:rPr>
        <w:t>complémentaires</w:t>
      </w:r>
      <w:r>
        <w:rPr>
          <w:spacing w:val="-3"/>
          <w:sz w:val="18"/>
        </w:rPr>
        <w:t> </w:t>
      </w:r>
      <w:r>
        <w:rPr>
          <w:sz w:val="18"/>
        </w:rPr>
        <w:t>grâce</w:t>
      </w:r>
      <w:r>
        <w:rPr>
          <w:spacing w:val="-5"/>
          <w:sz w:val="18"/>
        </w:rPr>
        <w:t> </w:t>
      </w:r>
      <w:r>
        <w:rPr>
          <w:sz w:val="18"/>
        </w:rPr>
        <w:t>à</w:t>
      </w:r>
      <w:r>
        <w:rPr>
          <w:spacing w:val="-4"/>
          <w:sz w:val="18"/>
        </w:rPr>
        <w:t> </w:t>
      </w:r>
      <w:r>
        <w:rPr>
          <w:sz w:val="18"/>
        </w:rPr>
        <w:t>un</w:t>
      </w:r>
      <w:r>
        <w:rPr>
          <w:spacing w:val="-6"/>
          <w:sz w:val="18"/>
        </w:rPr>
        <w:t> </w:t>
      </w:r>
      <w:r>
        <w:rPr>
          <w:sz w:val="18"/>
        </w:rPr>
        <w:t>effectif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plus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200 000</w:t>
      </w:r>
      <w:r>
        <w:rPr>
          <w:spacing w:val="-5"/>
          <w:sz w:val="18"/>
        </w:rPr>
        <w:t> </w:t>
      </w:r>
      <w:r>
        <w:rPr>
          <w:sz w:val="18"/>
        </w:rPr>
        <w:t>personnes</w:t>
      </w:r>
      <w:r>
        <w:rPr>
          <w:spacing w:val="-6"/>
          <w:sz w:val="18"/>
        </w:rPr>
        <w:t> </w:t>
      </w:r>
      <w:r>
        <w:rPr>
          <w:sz w:val="18"/>
        </w:rPr>
        <w:t>mues</w:t>
      </w:r>
      <w:r>
        <w:rPr>
          <w:spacing w:val="-3"/>
          <w:sz w:val="18"/>
        </w:rPr>
        <w:t> </w:t>
      </w:r>
      <w:r>
        <w:rPr>
          <w:sz w:val="18"/>
        </w:rPr>
        <w:t>par</w:t>
      </w:r>
      <w:r>
        <w:rPr>
          <w:spacing w:val="1"/>
          <w:sz w:val="18"/>
        </w:rPr>
        <w:t> </w:t>
      </w:r>
      <w:r>
        <w:rPr>
          <w:sz w:val="18"/>
        </w:rPr>
        <w:t>leur passion pour la distribution et le service client et a généré un chiffre d’affaires net de 33,6 milliards d’euros en 2022.</w:t>
      </w:r>
      <w:r>
        <w:rPr>
          <w:spacing w:val="1"/>
          <w:sz w:val="18"/>
        </w:rPr>
        <w:t> </w:t>
      </w:r>
      <w:r>
        <w:rPr>
          <w:sz w:val="18"/>
        </w:rPr>
        <w:t>Porteur d’une vision claire des mutations du secteur, son ambition est d’accélérer la transformation du commerce. C’est</w:t>
      </w:r>
      <w:r>
        <w:rPr>
          <w:spacing w:val="1"/>
          <w:sz w:val="18"/>
        </w:rPr>
        <w:t> </w:t>
      </w:r>
      <w:r>
        <w:rPr>
          <w:sz w:val="18"/>
        </w:rPr>
        <w:t>pourquoi</w:t>
      </w:r>
      <w:r>
        <w:rPr>
          <w:spacing w:val="-3"/>
          <w:sz w:val="18"/>
        </w:rPr>
        <w:t> </w:t>
      </w:r>
      <w:r>
        <w:rPr>
          <w:sz w:val="18"/>
        </w:rPr>
        <w:t>toutes</w:t>
      </w:r>
      <w:r>
        <w:rPr>
          <w:spacing w:val="-2"/>
          <w:sz w:val="18"/>
        </w:rPr>
        <w:t> </w:t>
      </w:r>
      <w:r>
        <w:rPr>
          <w:sz w:val="18"/>
        </w:rPr>
        <w:t>les</w:t>
      </w:r>
      <w:r>
        <w:rPr>
          <w:spacing w:val="-5"/>
          <w:sz w:val="18"/>
        </w:rPr>
        <w:t> </w:t>
      </w:r>
      <w:r>
        <w:rPr>
          <w:sz w:val="18"/>
        </w:rPr>
        <w:t>activités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distribution</w:t>
      </w:r>
      <w:r>
        <w:rPr>
          <w:spacing w:val="-3"/>
          <w:sz w:val="18"/>
        </w:rPr>
        <w:t> </w:t>
      </w:r>
      <w:r>
        <w:rPr>
          <w:sz w:val="18"/>
        </w:rPr>
        <w:t>du</w:t>
      </w:r>
      <w:r>
        <w:rPr>
          <w:spacing w:val="-3"/>
          <w:sz w:val="18"/>
        </w:rPr>
        <w:t> </w:t>
      </w:r>
      <w:r>
        <w:rPr>
          <w:sz w:val="18"/>
        </w:rPr>
        <w:t>Groupe</w:t>
      </w:r>
      <w:r>
        <w:rPr>
          <w:spacing w:val="-4"/>
          <w:sz w:val="18"/>
        </w:rPr>
        <w:t> </w:t>
      </w:r>
      <w:r>
        <w:rPr>
          <w:sz w:val="18"/>
        </w:rPr>
        <w:t>sont</w:t>
      </w:r>
      <w:r>
        <w:rPr>
          <w:spacing w:val="-4"/>
          <w:sz w:val="18"/>
        </w:rPr>
        <w:t> </w:t>
      </w:r>
      <w:r>
        <w:rPr>
          <w:sz w:val="18"/>
        </w:rPr>
        <w:t>positionnées</w:t>
      </w:r>
      <w:r>
        <w:rPr>
          <w:spacing w:val="-2"/>
          <w:sz w:val="18"/>
        </w:rPr>
        <w:t> </w:t>
      </w:r>
      <w:r>
        <w:rPr>
          <w:sz w:val="18"/>
        </w:rPr>
        <w:t>sur</w:t>
      </w:r>
      <w:r>
        <w:rPr>
          <w:spacing w:val="-4"/>
          <w:sz w:val="18"/>
        </w:rPr>
        <w:t> </w:t>
      </w:r>
      <w:r>
        <w:rPr>
          <w:sz w:val="18"/>
        </w:rPr>
        <w:t>des</w:t>
      </w:r>
      <w:r>
        <w:rPr>
          <w:spacing w:val="-5"/>
          <w:sz w:val="18"/>
        </w:rPr>
        <w:t> </w:t>
      </w:r>
      <w:r>
        <w:rPr>
          <w:sz w:val="18"/>
        </w:rPr>
        <w:t>formats</w:t>
      </w:r>
      <w:r>
        <w:rPr>
          <w:spacing w:val="-3"/>
          <w:sz w:val="18"/>
        </w:rPr>
        <w:t> </w:t>
      </w:r>
      <w:r>
        <w:rPr>
          <w:sz w:val="18"/>
        </w:rPr>
        <w:t>d’avenir</w:t>
      </w:r>
      <w:r>
        <w:rPr>
          <w:spacing w:val="-4"/>
          <w:sz w:val="18"/>
        </w:rPr>
        <w:t> </w:t>
      </w:r>
      <w:r>
        <w:rPr>
          <w:sz w:val="18"/>
        </w:rPr>
        <w:t>: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4"/>
          <w:sz w:val="18"/>
        </w:rPr>
        <w:t> </w:t>
      </w:r>
      <w:r>
        <w:rPr>
          <w:sz w:val="18"/>
        </w:rPr>
        <w:t>proximité,</w:t>
      </w:r>
      <w:r>
        <w:rPr>
          <w:spacing w:val="-3"/>
          <w:sz w:val="18"/>
        </w:rPr>
        <w:t> </w:t>
      </w:r>
      <w:r>
        <w:rPr>
          <w:sz w:val="18"/>
        </w:rPr>
        <w:t>le</w:t>
      </w:r>
      <w:r>
        <w:rPr>
          <w:spacing w:val="-2"/>
          <w:sz w:val="18"/>
        </w:rPr>
        <w:t> </w:t>
      </w:r>
      <w:r>
        <w:rPr>
          <w:sz w:val="18"/>
        </w:rPr>
        <w:t>premium</w:t>
      </w:r>
      <w:r>
        <w:rPr>
          <w:spacing w:val="-39"/>
          <w:sz w:val="18"/>
        </w:rPr>
        <w:t> </w:t>
      </w:r>
      <w:r>
        <w:rPr>
          <w:sz w:val="18"/>
        </w:rPr>
        <w:t>et</w:t>
      </w:r>
      <w:r>
        <w:rPr>
          <w:spacing w:val="-1"/>
          <w:sz w:val="18"/>
        </w:rPr>
        <w:t> </w:t>
      </w:r>
      <w:r>
        <w:rPr>
          <w:sz w:val="18"/>
        </w:rPr>
        <w:t>le</w:t>
      </w:r>
      <w:r>
        <w:rPr>
          <w:spacing w:val="-1"/>
          <w:sz w:val="18"/>
        </w:rPr>
        <w:t> </w:t>
      </w:r>
      <w:r>
        <w:rPr>
          <w:sz w:val="18"/>
        </w:rPr>
        <w:t>e-commerce.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0"/>
        <w:ind w:left="116" w:right="0" w:firstLine="0"/>
        <w:jc w:val="both"/>
        <w:rPr>
          <w:b/>
          <w:sz w:val="20"/>
        </w:rPr>
      </w:pPr>
      <w:r>
        <w:rPr>
          <w:b/>
          <w:sz w:val="20"/>
          <w:u w:val="single"/>
        </w:rPr>
        <w:t>CONTACTS</w:t>
      </w:r>
      <w:r>
        <w:rPr>
          <w:b/>
          <w:spacing w:val="-7"/>
          <w:sz w:val="20"/>
          <w:u w:val="single"/>
        </w:rPr>
        <w:t> </w:t>
      </w:r>
      <w:r>
        <w:rPr>
          <w:b/>
          <w:sz w:val="20"/>
          <w:u w:val="single"/>
        </w:rPr>
        <w:t>PRESSE</w:t>
      </w:r>
    </w:p>
    <w:p>
      <w:pPr>
        <w:spacing w:before="1"/>
        <w:ind w:left="116" w:right="3115" w:firstLine="0"/>
        <w:jc w:val="left"/>
        <w:rPr>
          <w:sz w:val="20"/>
        </w:rPr>
      </w:pPr>
      <w:r>
        <w:rPr>
          <w:b/>
          <w:sz w:val="20"/>
        </w:rPr>
        <w:t>Groupe Casino – Direction de la Communication</w:t>
      </w:r>
      <w:r>
        <w:rPr>
          <w:b/>
          <w:spacing w:val="1"/>
          <w:sz w:val="20"/>
        </w:rPr>
        <w:t> </w:t>
      </w:r>
      <w:hyperlink r:id="rId7">
        <w:r>
          <w:rPr>
            <w:sz w:val="20"/>
          </w:rPr>
          <w:t>directiondelacommunication@groupe-casino.fr </w:t>
        </w:r>
      </w:hyperlink>
      <w:r>
        <w:rPr>
          <w:sz w:val="20"/>
        </w:rPr>
        <w:t>- Tél. : +33(0)1 53 65 24 29</w:t>
      </w:r>
      <w:r>
        <w:rPr>
          <w:spacing w:val="-44"/>
          <w:sz w:val="20"/>
        </w:rPr>
        <w:t> </w:t>
      </w:r>
      <w:r>
        <w:rPr>
          <w:sz w:val="20"/>
        </w:rPr>
        <w:t>Lénaïck</w:t>
      </w:r>
      <w:r>
        <w:rPr>
          <w:spacing w:val="-2"/>
          <w:sz w:val="20"/>
        </w:rPr>
        <w:t> </w:t>
      </w:r>
      <w:r>
        <w:rPr>
          <w:sz w:val="20"/>
        </w:rPr>
        <w:t>Guérin -</w:t>
      </w:r>
      <w:r>
        <w:rPr>
          <w:spacing w:val="-1"/>
          <w:sz w:val="20"/>
        </w:rPr>
        <w:t> </w:t>
      </w:r>
      <w:r>
        <w:rPr>
          <w:sz w:val="20"/>
        </w:rPr>
        <w:t>Tél.</w:t>
      </w:r>
      <w:r>
        <w:rPr>
          <w:spacing w:val="-1"/>
          <w:sz w:val="20"/>
        </w:rPr>
        <w:t> 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+33(0)6</w:t>
      </w:r>
      <w:r>
        <w:rPr>
          <w:spacing w:val="1"/>
          <w:sz w:val="20"/>
        </w:rPr>
        <w:t> </w:t>
      </w:r>
      <w:r>
        <w:rPr>
          <w:sz w:val="20"/>
        </w:rPr>
        <w:t>80.63.28.10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hyperlink r:id="rId8">
        <w:r>
          <w:rPr>
            <w:sz w:val="20"/>
          </w:rPr>
          <w:t>lguerin@groupe-casino.fr</w:t>
        </w:r>
      </w:hyperlink>
    </w:p>
    <w:p>
      <w:pPr>
        <w:pStyle w:val="BodyText"/>
        <w:spacing w:before="11"/>
        <w:rPr>
          <w:sz w:val="17"/>
        </w:rPr>
      </w:pPr>
    </w:p>
    <w:p>
      <w:pPr>
        <w:spacing w:before="0"/>
        <w:ind w:left="116" w:right="0" w:firstLine="0"/>
        <w:jc w:val="both"/>
        <w:rPr>
          <w:b/>
          <w:sz w:val="20"/>
        </w:rPr>
      </w:pPr>
      <w:r>
        <w:rPr>
          <w:b/>
          <w:sz w:val="20"/>
        </w:rPr>
        <w:t>Agence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IMAGE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7</w:t>
      </w:r>
    </w:p>
    <w:p>
      <w:pPr>
        <w:spacing w:before="1"/>
        <w:ind w:left="116" w:right="0" w:firstLine="0"/>
        <w:jc w:val="both"/>
        <w:rPr>
          <w:sz w:val="20"/>
        </w:rPr>
      </w:pPr>
      <w:r>
        <w:rPr>
          <w:sz w:val="20"/>
        </w:rPr>
        <w:t>Karine</w:t>
      </w:r>
      <w:r>
        <w:rPr>
          <w:spacing w:val="-3"/>
          <w:sz w:val="20"/>
        </w:rPr>
        <w:t> </w:t>
      </w:r>
      <w:r>
        <w:rPr>
          <w:sz w:val="20"/>
        </w:rPr>
        <w:t>Allouis -</w:t>
      </w:r>
      <w:r>
        <w:rPr>
          <w:spacing w:val="-2"/>
          <w:sz w:val="20"/>
        </w:rPr>
        <w:t> </w:t>
      </w:r>
      <w:r>
        <w:rPr>
          <w:sz w:val="20"/>
        </w:rPr>
        <w:t>Tél</w:t>
      </w:r>
      <w:r>
        <w:rPr>
          <w:spacing w:val="-1"/>
          <w:sz w:val="20"/>
        </w:rPr>
        <w:t> 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+33(0)1</w:t>
      </w:r>
      <w:r>
        <w:rPr>
          <w:spacing w:val="-2"/>
          <w:sz w:val="20"/>
        </w:rPr>
        <w:t> </w:t>
      </w:r>
      <w:r>
        <w:rPr>
          <w:sz w:val="20"/>
        </w:rPr>
        <w:t>53</w:t>
      </w:r>
      <w:r>
        <w:rPr>
          <w:spacing w:val="-2"/>
          <w:sz w:val="20"/>
        </w:rPr>
        <w:t> </w:t>
      </w:r>
      <w:r>
        <w:rPr>
          <w:sz w:val="20"/>
        </w:rPr>
        <w:t>70</w:t>
      </w:r>
      <w:r>
        <w:rPr>
          <w:spacing w:val="-2"/>
          <w:sz w:val="20"/>
        </w:rPr>
        <w:t> </w:t>
      </w:r>
      <w:r>
        <w:rPr>
          <w:sz w:val="20"/>
        </w:rPr>
        <w:t>74</w:t>
      </w:r>
      <w:r>
        <w:rPr>
          <w:spacing w:val="-1"/>
          <w:sz w:val="20"/>
        </w:rPr>
        <w:t> </w:t>
      </w:r>
      <w:r>
        <w:rPr>
          <w:sz w:val="20"/>
        </w:rPr>
        <w:t>84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hyperlink r:id="rId9">
        <w:r>
          <w:rPr>
            <w:sz w:val="20"/>
          </w:rPr>
          <w:t>kallouis@image7.fr</w:t>
        </w:r>
      </w:hyperlink>
    </w:p>
    <w:p>
      <w:pPr>
        <w:spacing w:before="0"/>
        <w:ind w:left="116" w:right="0" w:firstLine="0"/>
        <w:jc w:val="both"/>
        <w:rPr>
          <w:sz w:val="20"/>
        </w:rPr>
      </w:pPr>
      <w:r>
        <w:rPr>
          <w:sz w:val="20"/>
        </w:rPr>
        <w:t>Franck</w:t>
      </w:r>
      <w:r>
        <w:rPr>
          <w:spacing w:val="-2"/>
          <w:sz w:val="20"/>
        </w:rPr>
        <w:t> </w:t>
      </w:r>
      <w:r>
        <w:rPr>
          <w:sz w:val="20"/>
        </w:rPr>
        <w:t>Pasquier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Tél</w:t>
      </w:r>
      <w:r>
        <w:rPr>
          <w:spacing w:val="-2"/>
          <w:sz w:val="20"/>
        </w:rPr>
        <w:t> </w:t>
      </w:r>
      <w:r>
        <w:rPr>
          <w:sz w:val="20"/>
        </w:rPr>
        <w:t>: +33(0)6</w:t>
      </w:r>
      <w:r>
        <w:rPr>
          <w:spacing w:val="-3"/>
          <w:sz w:val="20"/>
        </w:rPr>
        <w:t> </w:t>
      </w:r>
      <w:r>
        <w:rPr>
          <w:sz w:val="20"/>
        </w:rPr>
        <w:t>73</w:t>
      </w:r>
      <w:r>
        <w:rPr>
          <w:spacing w:val="-3"/>
          <w:sz w:val="20"/>
        </w:rPr>
        <w:t> </w:t>
      </w:r>
      <w:r>
        <w:rPr>
          <w:sz w:val="20"/>
        </w:rPr>
        <w:t>62</w:t>
      </w:r>
      <w:r>
        <w:rPr>
          <w:spacing w:val="-2"/>
          <w:sz w:val="20"/>
        </w:rPr>
        <w:t> </w:t>
      </w:r>
      <w:r>
        <w:rPr>
          <w:sz w:val="20"/>
        </w:rPr>
        <w:t>57</w:t>
      </w:r>
      <w:r>
        <w:rPr>
          <w:spacing w:val="-3"/>
          <w:sz w:val="20"/>
        </w:rPr>
        <w:t> </w:t>
      </w:r>
      <w:r>
        <w:rPr>
          <w:sz w:val="20"/>
        </w:rPr>
        <w:t>99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hyperlink r:id="rId10">
        <w:r>
          <w:rPr>
            <w:sz w:val="20"/>
          </w:rPr>
          <w:t>fpasquier@image7.fr</w:t>
        </w:r>
      </w:hyperlink>
    </w:p>
    <w:sectPr>
      <w:pgSz w:w="11900" w:h="16850"/>
      <w:pgMar w:header="0" w:footer="1003" w:top="1600" w:bottom="120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890015pt;margin-top:780.865967pt;width:11.05pt;height:12pt;mso-position-horizontal-relative:page;mso-position-vertical-relative:page;z-index:-15767552" type="#_x0000_t202" filled="false" stroked="false">
          <v:textbox inset="0,0,0,0">
            <w:txbxContent>
              <w:p>
                <w:pPr>
                  <w:spacing w:line="223" w:lineRule="exact" w:before="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50" w:right="150" w:hanging="389"/>
    </w:pPr>
    <w:rPr>
      <w:rFonts w:ascii="Calibri" w:hAnsi="Calibri" w:eastAsia="Calibri" w:cs="Calibri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directiondelacommunication@groupe-casino.fr" TargetMode="External"/><Relationship Id="rId8" Type="http://schemas.openxmlformats.org/officeDocument/2006/relationships/hyperlink" Target="mailto:lguerin@groupe-casino.fr" TargetMode="External"/><Relationship Id="rId9" Type="http://schemas.openxmlformats.org/officeDocument/2006/relationships/hyperlink" Target="mailto:kallouis@image7.fr" TargetMode="External"/><Relationship Id="rId10" Type="http://schemas.openxmlformats.org/officeDocument/2006/relationships/hyperlink" Target="mailto:fpasquier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2023-12-04T15:12:41Z</dcterms:created>
  <dcterms:modified xsi:type="dcterms:W3CDTF">2023-12-04T15:12:41Z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LastSaved">
    <vt:filetime>2023-12-04T00:00:00Z</vt:filetime>
  </property>
</Properties>
</file>