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8" w:lineRule="auto" w:before="261"/>
      </w:pP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480694</wp:posOffset>
                </wp:positionH>
                <wp:positionV relativeFrom="paragraph">
                  <wp:posOffset>16891</wp:posOffset>
                </wp:positionV>
                <wp:extent cx="6581775" cy="62452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6245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6245225">
                              <a:moveTo>
                                <a:pt x="0" y="6245225"/>
                              </a:moveTo>
                              <a:lnTo>
                                <a:pt x="6581775" y="6245225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62452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849998pt;margin-top:1.33pt;width:518.25pt;height:491.75pt;mso-position-horizontal-relative:page;mso-position-vertical-relative:paragraph;z-index:-16094208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Point</w:t>
      </w:r>
      <w:r>
        <w:rPr>
          <w:color w:val="6460A9"/>
          <w:spacing w:val="-4"/>
        </w:rPr>
        <w:t> </w:t>
      </w:r>
      <w:r>
        <w:rPr>
          <w:color w:val="6460A9"/>
        </w:rPr>
        <w:t>d’étape</w:t>
      </w:r>
      <w:r>
        <w:rPr>
          <w:color w:val="6460A9"/>
          <w:spacing w:val="-4"/>
        </w:rPr>
        <w:t> </w:t>
      </w:r>
      <w:r>
        <w:rPr>
          <w:color w:val="6460A9"/>
        </w:rPr>
        <w:t>sur</w:t>
      </w:r>
      <w:r>
        <w:rPr>
          <w:color w:val="6460A9"/>
          <w:spacing w:val="-6"/>
        </w:rPr>
        <w:t> </w:t>
      </w:r>
      <w:r>
        <w:rPr>
          <w:color w:val="6460A9"/>
        </w:rPr>
        <w:t>les</w:t>
      </w:r>
      <w:r>
        <w:rPr>
          <w:color w:val="6460A9"/>
          <w:spacing w:val="-5"/>
        </w:rPr>
        <w:t> </w:t>
      </w:r>
      <w:r>
        <w:rPr>
          <w:color w:val="6460A9"/>
        </w:rPr>
        <w:t>négociations</w:t>
      </w:r>
      <w:r>
        <w:rPr>
          <w:color w:val="6460A9"/>
          <w:spacing w:val="-4"/>
        </w:rPr>
        <w:t> </w:t>
      </w:r>
      <w:r>
        <w:rPr>
          <w:color w:val="6460A9"/>
        </w:rPr>
        <w:t>avec</w:t>
      </w:r>
      <w:r>
        <w:rPr>
          <w:color w:val="6460A9"/>
          <w:spacing w:val="-5"/>
        </w:rPr>
        <w:t> </w:t>
      </w:r>
      <w:r>
        <w:rPr>
          <w:color w:val="6460A9"/>
        </w:rPr>
        <w:t>les</w:t>
      </w:r>
      <w:r>
        <w:rPr>
          <w:color w:val="6460A9"/>
          <w:spacing w:val="-5"/>
        </w:rPr>
        <w:t> </w:t>
      </w:r>
      <w:r>
        <w:rPr>
          <w:color w:val="6460A9"/>
        </w:rPr>
        <w:t>porteurs</w:t>
      </w:r>
      <w:r>
        <w:rPr>
          <w:color w:val="6460A9"/>
          <w:spacing w:val="-6"/>
        </w:rPr>
        <w:t> </w:t>
      </w:r>
      <w:r>
        <w:rPr>
          <w:color w:val="6460A9"/>
        </w:rPr>
        <w:t>d'obligations émises par Quatrim</w:t>
      </w:r>
    </w:p>
    <w:p>
      <w:pPr>
        <w:spacing w:before="235"/>
        <w:ind w:left="294" w:right="294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6460A9"/>
          <w:sz w:val="28"/>
        </w:rPr>
        <w:t>Demande</w:t>
      </w:r>
      <w:r>
        <w:rPr>
          <w:rFonts w:ascii="Arial" w:hAnsi="Arial"/>
          <w:b/>
          <w:color w:val="6460A9"/>
          <w:spacing w:val="-6"/>
          <w:sz w:val="28"/>
        </w:rPr>
        <w:t> </w:t>
      </w:r>
      <w:r>
        <w:rPr>
          <w:rFonts w:ascii="Arial" w:hAnsi="Arial"/>
          <w:b/>
          <w:color w:val="6460A9"/>
          <w:sz w:val="28"/>
        </w:rPr>
        <w:t>d’extension</w:t>
      </w:r>
      <w:r>
        <w:rPr>
          <w:rFonts w:ascii="Arial" w:hAnsi="Arial"/>
          <w:b/>
          <w:color w:val="6460A9"/>
          <w:spacing w:val="-5"/>
          <w:sz w:val="28"/>
        </w:rPr>
        <w:t> </w:t>
      </w:r>
      <w:r>
        <w:rPr>
          <w:rFonts w:ascii="Arial" w:hAnsi="Arial"/>
          <w:b/>
          <w:color w:val="6460A9"/>
          <w:sz w:val="28"/>
        </w:rPr>
        <w:t>de</w:t>
      </w:r>
      <w:r>
        <w:rPr>
          <w:rFonts w:ascii="Arial" w:hAnsi="Arial"/>
          <w:b/>
          <w:color w:val="6460A9"/>
          <w:spacing w:val="-6"/>
          <w:sz w:val="28"/>
        </w:rPr>
        <w:t> </w:t>
      </w:r>
      <w:r>
        <w:rPr>
          <w:rFonts w:ascii="Arial" w:hAnsi="Arial"/>
          <w:b/>
          <w:color w:val="6460A9"/>
          <w:sz w:val="28"/>
        </w:rPr>
        <w:t>la</w:t>
      </w:r>
      <w:r>
        <w:rPr>
          <w:rFonts w:ascii="Arial" w:hAnsi="Arial"/>
          <w:b/>
          <w:color w:val="6460A9"/>
          <w:spacing w:val="-4"/>
          <w:sz w:val="28"/>
        </w:rPr>
        <w:t> </w:t>
      </w:r>
      <w:r>
        <w:rPr>
          <w:rFonts w:ascii="Arial" w:hAnsi="Arial"/>
          <w:b/>
          <w:color w:val="6460A9"/>
          <w:sz w:val="28"/>
        </w:rPr>
        <w:t>période</w:t>
      </w:r>
      <w:r>
        <w:rPr>
          <w:rFonts w:ascii="Arial" w:hAnsi="Arial"/>
          <w:b/>
          <w:color w:val="6460A9"/>
          <w:spacing w:val="-6"/>
          <w:sz w:val="28"/>
        </w:rPr>
        <w:t> </w:t>
      </w:r>
      <w:r>
        <w:rPr>
          <w:rFonts w:ascii="Arial" w:hAnsi="Arial"/>
          <w:b/>
          <w:color w:val="6460A9"/>
          <w:sz w:val="28"/>
        </w:rPr>
        <w:t>de</w:t>
      </w:r>
      <w:r>
        <w:rPr>
          <w:rFonts w:ascii="Arial" w:hAnsi="Arial"/>
          <w:b/>
          <w:color w:val="6460A9"/>
          <w:spacing w:val="-3"/>
          <w:sz w:val="28"/>
        </w:rPr>
        <w:t> </w:t>
      </w:r>
      <w:r>
        <w:rPr>
          <w:rFonts w:ascii="Arial" w:hAnsi="Arial"/>
          <w:b/>
          <w:color w:val="6460A9"/>
          <w:spacing w:val="-2"/>
          <w:sz w:val="28"/>
        </w:rPr>
        <w:t>conciliation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9"/>
        <w:rPr>
          <w:rFonts w:ascii="Arial"/>
          <w:b/>
          <w:sz w:val="28"/>
        </w:rPr>
      </w:pPr>
    </w:p>
    <w:p>
      <w:pPr>
        <w:spacing w:before="0"/>
        <w:ind w:left="272" w:right="0" w:firstLine="0"/>
        <w:jc w:val="both"/>
        <w:rPr>
          <w:sz w:val="22"/>
        </w:rPr>
      </w:pPr>
      <w:r>
        <w:rPr>
          <w:w w:val="90"/>
          <w:sz w:val="22"/>
        </w:rPr>
        <w:t>Paris,</w:t>
      </w:r>
      <w:r>
        <w:rPr>
          <w:spacing w:val="2"/>
          <w:sz w:val="22"/>
        </w:rPr>
        <w:t> </w:t>
      </w:r>
      <w:r>
        <w:rPr>
          <w:w w:val="90"/>
          <w:sz w:val="22"/>
        </w:rPr>
        <w:t>18</w:t>
      </w:r>
      <w:r>
        <w:rPr>
          <w:spacing w:val="3"/>
          <w:sz w:val="22"/>
        </w:rPr>
        <w:t> </w:t>
      </w:r>
      <w:r>
        <w:rPr>
          <w:w w:val="90"/>
          <w:sz w:val="22"/>
        </w:rPr>
        <w:t>septembre</w:t>
      </w:r>
      <w:r>
        <w:rPr>
          <w:spacing w:val="4"/>
          <w:sz w:val="22"/>
        </w:rPr>
        <w:t> </w:t>
      </w:r>
      <w:r>
        <w:rPr>
          <w:spacing w:val="-4"/>
          <w:w w:val="90"/>
          <w:sz w:val="22"/>
        </w:rPr>
        <w:t>2023</w:t>
      </w:r>
    </w:p>
    <w:p>
      <w:pPr>
        <w:pStyle w:val="BodyText"/>
        <w:spacing w:before="137"/>
        <w:rPr>
          <w:sz w:val="22"/>
        </w:rPr>
      </w:pPr>
    </w:p>
    <w:p>
      <w:pPr>
        <w:spacing w:line="278" w:lineRule="auto" w:before="0"/>
        <w:ind w:left="272" w:right="272" w:firstLine="0"/>
        <w:jc w:val="both"/>
        <w:rPr>
          <w:sz w:val="22"/>
        </w:rPr>
      </w:pPr>
      <w:r>
        <w:rPr>
          <w:sz w:val="22"/>
        </w:rPr>
        <w:t>Comme</w:t>
      </w:r>
      <w:r>
        <w:rPr>
          <w:spacing w:val="-16"/>
          <w:sz w:val="22"/>
        </w:rPr>
        <w:t> </w:t>
      </w:r>
      <w:r>
        <w:rPr>
          <w:sz w:val="22"/>
        </w:rPr>
        <w:t>annoncé</w:t>
      </w:r>
      <w:r>
        <w:rPr>
          <w:spacing w:val="-16"/>
          <w:sz w:val="22"/>
        </w:rPr>
        <w:t> </w:t>
      </w:r>
      <w:r>
        <w:rPr>
          <w:sz w:val="22"/>
        </w:rPr>
        <w:t>le</w:t>
      </w:r>
      <w:r>
        <w:rPr>
          <w:spacing w:val="-16"/>
          <w:sz w:val="22"/>
        </w:rPr>
        <w:t> </w:t>
      </w:r>
      <w:r>
        <w:rPr>
          <w:sz w:val="22"/>
        </w:rPr>
        <w:t>27</w:t>
      </w:r>
      <w:r>
        <w:rPr>
          <w:spacing w:val="-17"/>
          <w:sz w:val="22"/>
        </w:rPr>
        <w:t> </w:t>
      </w:r>
      <w:r>
        <w:rPr>
          <w:sz w:val="22"/>
        </w:rPr>
        <w:t>juillet</w:t>
      </w:r>
      <w:r>
        <w:rPr>
          <w:spacing w:val="-19"/>
          <w:sz w:val="22"/>
        </w:rPr>
        <w:t> </w:t>
      </w:r>
      <w:r>
        <w:rPr>
          <w:sz w:val="22"/>
        </w:rPr>
        <w:t>2023,</w:t>
      </w:r>
      <w:r>
        <w:rPr>
          <w:spacing w:val="-17"/>
          <w:sz w:val="22"/>
        </w:rPr>
        <w:t> </w:t>
      </w:r>
      <w:r>
        <w:rPr>
          <w:sz w:val="22"/>
        </w:rPr>
        <w:t>le</w:t>
      </w:r>
      <w:r>
        <w:rPr>
          <w:spacing w:val="-15"/>
          <w:sz w:val="22"/>
        </w:rPr>
        <w:t> </w:t>
      </w:r>
      <w:r>
        <w:rPr>
          <w:sz w:val="22"/>
        </w:rPr>
        <w:t>Groupe</w:t>
      </w:r>
      <w:r>
        <w:rPr>
          <w:spacing w:val="-16"/>
          <w:sz w:val="22"/>
        </w:rPr>
        <w:t> </w:t>
      </w:r>
      <w:r>
        <w:rPr>
          <w:sz w:val="22"/>
        </w:rPr>
        <w:t>Casino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poursuivi</w:t>
      </w:r>
      <w:r>
        <w:rPr>
          <w:spacing w:val="-18"/>
          <w:sz w:val="22"/>
        </w:rPr>
        <w:t> </w:t>
      </w:r>
      <w:r>
        <w:rPr>
          <w:sz w:val="22"/>
        </w:rPr>
        <w:t>les</w:t>
      </w:r>
      <w:r>
        <w:rPr>
          <w:spacing w:val="-16"/>
          <w:sz w:val="22"/>
        </w:rPr>
        <w:t> </w:t>
      </w:r>
      <w:r>
        <w:rPr>
          <w:sz w:val="22"/>
        </w:rPr>
        <w:t>négociations</w:t>
      </w:r>
      <w:r>
        <w:rPr>
          <w:spacing w:val="-19"/>
          <w:sz w:val="22"/>
        </w:rPr>
        <w:t> </w:t>
      </w:r>
      <w:r>
        <w:rPr>
          <w:sz w:val="22"/>
        </w:rPr>
        <w:t>avec</w:t>
      </w:r>
      <w:r>
        <w:rPr>
          <w:spacing w:val="-18"/>
          <w:sz w:val="22"/>
        </w:rPr>
        <w:t> </w:t>
      </w:r>
      <w:r>
        <w:rPr>
          <w:sz w:val="22"/>
        </w:rPr>
        <w:t>le </w:t>
      </w:r>
      <w:r>
        <w:rPr>
          <w:spacing w:val="-4"/>
          <w:sz w:val="22"/>
        </w:rPr>
        <w:t>groupe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ad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hoc</w:t>
      </w:r>
      <w:r>
        <w:rPr>
          <w:i/>
          <w:spacing w:val="-10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porteurs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obligations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émises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par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Quatrim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représentant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une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majorité </w:t>
      </w:r>
      <w:r>
        <w:rPr>
          <w:sz w:val="22"/>
        </w:rPr>
        <w:t>des</w:t>
      </w:r>
      <w:r>
        <w:rPr>
          <w:spacing w:val="-17"/>
          <w:sz w:val="22"/>
        </w:rPr>
        <w:t> </w:t>
      </w:r>
      <w:r>
        <w:rPr>
          <w:sz w:val="22"/>
        </w:rPr>
        <w:t>porteurs</w:t>
      </w:r>
      <w:r>
        <w:rPr>
          <w:spacing w:val="-9"/>
          <w:sz w:val="22"/>
        </w:rPr>
        <w:t> </w:t>
      </w:r>
      <w:r>
        <w:rPr>
          <w:sz w:val="22"/>
        </w:rPr>
        <w:t>d'obligations</w:t>
      </w:r>
      <w:r>
        <w:rPr>
          <w:spacing w:val="-7"/>
          <w:sz w:val="22"/>
        </w:rPr>
        <w:t> </w:t>
      </w:r>
      <w:r>
        <w:rPr>
          <w:sz w:val="22"/>
        </w:rPr>
        <w:t>(le</w:t>
      </w:r>
      <w:r>
        <w:rPr>
          <w:spacing w:val="-7"/>
          <w:sz w:val="22"/>
        </w:rPr>
        <w:t> </w:t>
      </w:r>
      <w:r>
        <w:rPr>
          <w:sz w:val="22"/>
        </w:rPr>
        <w:t>«</w:t>
      </w:r>
      <w:r>
        <w:rPr>
          <w:spacing w:val="-20"/>
          <w:sz w:val="22"/>
        </w:rPr>
        <w:t> </w:t>
      </w:r>
      <w:r>
        <w:rPr>
          <w:rFonts w:ascii="Tahoma" w:hAnsi="Tahoma"/>
          <w:b/>
          <w:sz w:val="22"/>
        </w:rPr>
        <w:t>Groupe Ad Hoc</w:t>
      </w:r>
      <w:r>
        <w:rPr>
          <w:rFonts w:ascii="Tahoma" w:hAnsi="Tahoma"/>
          <w:b/>
          <w:spacing w:val="-14"/>
          <w:sz w:val="22"/>
        </w:rPr>
        <w:t> </w:t>
      </w:r>
      <w:r>
        <w:rPr>
          <w:sz w:val="22"/>
        </w:rPr>
        <w:t>»)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vue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convenir</w:t>
      </w:r>
      <w:r>
        <w:rPr>
          <w:spacing w:val="-7"/>
          <w:sz w:val="22"/>
        </w:rPr>
        <w:t> </w:t>
      </w:r>
      <w:r>
        <w:rPr>
          <w:sz w:val="22"/>
        </w:rPr>
        <w:t>du</w:t>
      </w:r>
      <w:r>
        <w:rPr>
          <w:spacing w:val="-7"/>
          <w:sz w:val="22"/>
        </w:rPr>
        <w:t> </w:t>
      </w:r>
      <w:r>
        <w:rPr>
          <w:sz w:val="22"/>
        </w:rPr>
        <w:t>traitement</w:t>
      </w:r>
      <w:r>
        <w:rPr>
          <w:spacing w:val="-8"/>
          <w:sz w:val="22"/>
        </w:rPr>
        <w:t> </w:t>
      </w:r>
      <w:r>
        <w:rPr>
          <w:sz w:val="22"/>
        </w:rPr>
        <w:t>des obligations Quatrim dans le cadre de l'accord de principe conclu le 27 juillet 2023 par Casino</w:t>
      </w:r>
      <w:r>
        <w:rPr>
          <w:spacing w:val="71"/>
          <w:sz w:val="22"/>
        </w:rPr>
        <w:t> </w:t>
      </w:r>
      <w:r>
        <w:rPr>
          <w:sz w:val="22"/>
        </w:rPr>
        <w:t>avec</w:t>
      </w:r>
      <w:r>
        <w:rPr>
          <w:spacing w:val="73"/>
          <w:sz w:val="22"/>
        </w:rPr>
        <w:t> </w:t>
      </w:r>
      <w:r>
        <w:rPr>
          <w:sz w:val="22"/>
        </w:rPr>
        <w:t>EP</w:t>
      </w:r>
      <w:r>
        <w:rPr>
          <w:spacing w:val="70"/>
          <w:sz w:val="22"/>
        </w:rPr>
        <w:t> </w:t>
      </w:r>
      <w:r>
        <w:rPr>
          <w:sz w:val="22"/>
        </w:rPr>
        <w:t>Global</w:t>
      </w:r>
      <w:r>
        <w:rPr>
          <w:spacing w:val="70"/>
          <w:sz w:val="22"/>
        </w:rPr>
        <w:t> </w:t>
      </w:r>
      <w:r>
        <w:rPr>
          <w:sz w:val="22"/>
        </w:rPr>
        <w:t>Commerce</w:t>
      </w:r>
      <w:r>
        <w:rPr>
          <w:spacing w:val="72"/>
          <w:sz w:val="22"/>
        </w:rPr>
        <w:t> </w:t>
      </w:r>
      <w:r>
        <w:rPr>
          <w:sz w:val="22"/>
        </w:rPr>
        <w:t>a.s.,</w:t>
      </w:r>
      <w:r>
        <w:rPr>
          <w:spacing w:val="70"/>
          <w:sz w:val="22"/>
        </w:rPr>
        <w:t> </w:t>
      </w:r>
      <w:r>
        <w:rPr>
          <w:sz w:val="22"/>
        </w:rPr>
        <w:t>Fimalac,</w:t>
      </w:r>
      <w:r>
        <w:rPr>
          <w:spacing w:val="73"/>
          <w:sz w:val="22"/>
        </w:rPr>
        <w:t> </w:t>
      </w:r>
      <w:r>
        <w:rPr>
          <w:sz w:val="22"/>
        </w:rPr>
        <w:t>Attestor</w:t>
      </w:r>
      <w:r>
        <w:rPr>
          <w:spacing w:val="74"/>
          <w:sz w:val="22"/>
        </w:rPr>
        <w:t> </w:t>
      </w:r>
      <w:r>
        <w:rPr>
          <w:sz w:val="22"/>
        </w:rPr>
        <w:t>(ci-après</w:t>
      </w:r>
      <w:r>
        <w:rPr>
          <w:spacing w:val="70"/>
          <w:sz w:val="22"/>
        </w:rPr>
        <w:t> </w:t>
      </w:r>
      <w:r>
        <w:rPr>
          <w:sz w:val="22"/>
        </w:rPr>
        <w:t>collectivement </w:t>
      </w:r>
      <w:r>
        <w:rPr>
          <w:spacing w:val="-6"/>
          <w:sz w:val="22"/>
        </w:rPr>
        <w:t>le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«</w:t>
      </w:r>
      <w:r>
        <w:rPr>
          <w:spacing w:val="-10"/>
          <w:sz w:val="22"/>
        </w:rPr>
        <w:t> </w:t>
      </w:r>
      <w:r>
        <w:rPr>
          <w:rFonts w:ascii="Tahoma" w:hAnsi="Tahoma"/>
          <w:b/>
          <w:spacing w:val="-6"/>
          <w:sz w:val="22"/>
        </w:rPr>
        <w:t>Consortium </w:t>
      </w:r>
      <w:r>
        <w:rPr>
          <w:spacing w:val="-6"/>
          <w:sz w:val="22"/>
        </w:rPr>
        <w:t>»)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et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certains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créanciers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titulaires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sûretés.</w:t>
      </w:r>
    </w:p>
    <w:p>
      <w:pPr>
        <w:pStyle w:val="BodyText"/>
        <w:spacing w:before="92"/>
        <w:rPr>
          <w:sz w:val="22"/>
        </w:rPr>
      </w:pPr>
    </w:p>
    <w:p>
      <w:pPr>
        <w:spacing w:line="278" w:lineRule="auto" w:before="0"/>
        <w:ind w:left="272" w:right="273" w:firstLine="0"/>
        <w:jc w:val="both"/>
        <w:rPr>
          <w:sz w:val="22"/>
        </w:rPr>
      </w:pPr>
      <w:r>
        <w:rPr>
          <w:sz w:val="22"/>
        </w:rPr>
        <w:t>Dans ce contexte, le Groupe, le Consortium et le Groupe Ad Hoc sont parvenus à un accord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principe.</w:t>
      </w:r>
      <w:r>
        <w:rPr>
          <w:spacing w:val="-6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termes</w:t>
      </w:r>
      <w:r>
        <w:rPr>
          <w:spacing w:val="-1"/>
          <w:sz w:val="22"/>
        </w:rPr>
        <w:t> </w:t>
      </w:r>
      <w:r>
        <w:rPr>
          <w:sz w:val="22"/>
        </w:rPr>
        <w:t>principaux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cet</w:t>
      </w:r>
      <w:r>
        <w:rPr>
          <w:spacing w:val="-3"/>
          <w:sz w:val="22"/>
        </w:rPr>
        <w:t> </w:t>
      </w:r>
      <w:r>
        <w:rPr>
          <w:sz w:val="22"/>
        </w:rPr>
        <w:t>accord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principe</w:t>
      </w:r>
      <w:r>
        <w:rPr>
          <w:spacing w:val="-1"/>
          <w:sz w:val="22"/>
        </w:rPr>
        <w:t> </w:t>
      </w:r>
      <w:r>
        <w:rPr>
          <w:sz w:val="22"/>
        </w:rPr>
        <w:t>figurent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annexe à</w:t>
      </w:r>
      <w:r>
        <w:rPr>
          <w:spacing w:val="-14"/>
          <w:sz w:val="22"/>
        </w:rPr>
        <w:t> </w:t>
      </w:r>
      <w:r>
        <w:rPr>
          <w:sz w:val="22"/>
        </w:rPr>
        <w:t>ce</w:t>
      </w:r>
      <w:r>
        <w:rPr>
          <w:spacing w:val="-14"/>
          <w:sz w:val="22"/>
        </w:rPr>
        <w:t> </w:t>
      </w:r>
      <w:r>
        <w:rPr>
          <w:sz w:val="22"/>
        </w:rPr>
        <w:t>communiqué</w:t>
      </w:r>
      <w:r>
        <w:rPr>
          <w:spacing w:val="-14"/>
          <w:sz w:val="22"/>
        </w:rPr>
        <w:t> </w:t>
      </w:r>
      <w:r>
        <w:rPr>
          <w:sz w:val="22"/>
        </w:rPr>
        <w:t>et</w:t>
      </w:r>
      <w:r>
        <w:rPr>
          <w:spacing w:val="-15"/>
          <w:sz w:val="22"/>
        </w:rPr>
        <w:t> </w:t>
      </w:r>
      <w:r>
        <w:rPr>
          <w:sz w:val="22"/>
        </w:rPr>
        <w:t>ont</w:t>
      </w:r>
      <w:r>
        <w:rPr>
          <w:spacing w:val="-15"/>
          <w:sz w:val="22"/>
        </w:rPr>
        <w:t> </w:t>
      </w:r>
      <w:r>
        <w:rPr>
          <w:sz w:val="22"/>
        </w:rPr>
        <w:t>été</w:t>
      </w:r>
      <w:r>
        <w:rPr>
          <w:spacing w:val="-14"/>
          <w:sz w:val="22"/>
        </w:rPr>
        <w:t> </w:t>
      </w:r>
      <w:r>
        <w:rPr>
          <w:sz w:val="22"/>
        </w:rPr>
        <w:t>publiés</w:t>
      </w:r>
      <w:r>
        <w:rPr>
          <w:spacing w:val="-16"/>
          <w:sz w:val="22"/>
        </w:rPr>
        <w:t> </w:t>
      </w:r>
      <w:r>
        <w:rPr>
          <w:sz w:val="22"/>
        </w:rPr>
        <w:t>ce</w:t>
      </w:r>
      <w:r>
        <w:rPr>
          <w:spacing w:val="-14"/>
          <w:sz w:val="22"/>
        </w:rPr>
        <w:t> </w:t>
      </w:r>
      <w:r>
        <w:rPr>
          <w:sz w:val="22"/>
        </w:rPr>
        <w:t>jour</w:t>
      </w:r>
      <w:r>
        <w:rPr>
          <w:spacing w:val="-14"/>
          <w:sz w:val="22"/>
        </w:rPr>
        <w:t> </w:t>
      </w:r>
      <w:r>
        <w:rPr>
          <w:sz w:val="22"/>
        </w:rPr>
        <w:t>sur</w:t>
      </w:r>
      <w:r>
        <w:rPr>
          <w:spacing w:val="-14"/>
          <w:sz w:val="22"/>
        </w:rPr>
        <w:t> </w:t>
      </w:r>
      <w:r>
        <w:rPr>
          <w:sz w:val="22"/>
        </w:rPr>
        <w:t>le</w:t>
      </w:r>
      <w:r>
        <w:rPr>
          <w:spacing w:val="-14"/>
          <w:sz w:val="22"/>
        </w:rPr>
        <w:t> </w:t>
      </w:r>
      <w:r>
        <w:rPr>
          <w:sz w:val="22"/>
        </w:rPr>
        <w:t>site</w:t>
      </w:r>
      <w:r>
        <w:rPr>
          <w:spacing w:val="-14"/>
          <w:sz w:val="22"/>
        </w:rPr>
        <w:t> </w:t>
      </w:r>
      <w:r>
        <w:rPr>
          <w:sz w:val="22"/>
        </w:rPr>
        <w:t>internet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Casino</w:t>
      </w:r>
      <w:r>
        <w:rPr>
          <w:spacing w:val="-13"/>
          <w:sz w:val="22"/>
        </w:rPr>
        <w:t> </w:t>
      </w:r>
      <w:r>
        <w:rPr>
          <w:sz w:val="22"/>
        </w:rPr>
        <w:t>(</w:t>
      </w:r>
      <w:hyperlink r:id="rId6">
        <w:r>
          <w:rPr>
            <w:color w:val="0000FF"/>
            <w:sz w:val="22"/>
            <w:u w:val="single" w:color="0000FF"/>
          </w:rPr>
          <w:t>Accord</w:t>
        </w:r>
      </w:hyperlink>
      <w:r>
        <w:rPr>
          <w:sz w:val="22"/>
        </w:rPr>
        <w:t>).</w:t>
      </w:r>
    </w:p>
    <w:p>
      <w:pPr>
        <w:pStyle w:val="BodyText"/>
        <w:spacing w:before="94"/>
        <w:rPr>
          <w:sz w:val="22"/>
        </w:rPr>
      </w:pPr>
    </w:p>
    <w:p>
      <w:pPr>
        <w:spacing w:line="278" w:lineRule="auto" w:before="0"/>
        <w:ind w:left="272" w:right="279" w:firstLine="0"/>
        <w:jc w:val="both"/>
        <w:rPr>
          <w:sz w:val="22"/>
        </w:rPr>
      </w:pPr>
      <w:r>
        <w:rPr>
          <w:spacing w:val="-6"/>
          <w:sz w:val="22"/>
        </w:rPr>
        <w:t>Cet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accord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principe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reste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soumis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à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la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réalisation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autres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opérations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restructuration </w:t>
      </w:r>
      <w:r>
        <w:rPr>
          <w:sz w:val="22"/>
        </w:rPr>
        <w:t>annoncées</w:t>
      </w:r>
      <w:r>
        <w:rPr>
          <w:spacing w:val="-18"/>
          <w:sz w:val="22"/>
        </w:rPr>
        <w:t> </w:t>
      </w:r>
      <w:r>
        <w:rPr>
          <w:sz w:val="22"/>
        </w:rPr>
        <w:t>par</w:t>
      </w:r>
      <w:r>
        <w:rPr>
          <w:spacing w:val="-20"/>
          <w:sz w:val="22"/>
        </w:rPr>
        <w:t> </w:t>
      </w:r>
      <w:r>
        <w:rPr>
          <w:sz w:val="22"/>
        </w:rPr>
        <w:t>le</w:t>
      </w:r>
      <w:r>
        <w:rPr>
          <w:spacing w:val="-18"/>
          <w:sz w:val="22"/>
        </w:rPr>
        <w:t> </w:t>
      </w:r>
      <w:r>
        <w:rPr>
          <w:sz w:val="22"/>
        </w:rPr>
        <w:t>Groupe</w:t>
      </w:r>
      <w:r>
        <w:rPr>
          <w:spacing w:val="-18"/>
          <w:sz w:val="22"/>
        </w:rPr>
        <w:t> </w:t>
      </w:r>
      <w:r>
        <w:rPr>
          <w:sz w:val="22"/>
        </w:rPr>
        <w:t>le</w:t>
      </w:r>
      <w:r>
        <w:rPr>
          <w:spacing w:val="-18"/>
          <w:sz w:val="22"/>
        </w:rPr>
        <w:t> </w:t>
      </w:r>
      <w:r>
        <w:rPr>
          <w:sz w:val="22"/>
        </w:rPr>
        <w:t>27</w:t>
      </w:r>
      <w:r>
        <w:rPr>
          <w:spacing w:val="-19"/>
          <w:sz w:val="22"/>
        </w:rPr>
        <w:t> </w:t>
      </w:r>
      <w:r>
        <w:rPr>
          <w:sz w:val="22"/>
        </w:rPr>
        <w:t>juillet</w:t>
      </w:r>
      <w:r>
        <w:rPr>
          <w:spacing w:val="-19"/>
          <w:sz w:val="22"/>
        </w:rPr>
        <w:t> </w:t>
      </w:r>
      <w:r>
        <w:rPr>
          <w:sz w:val="22"/>
        </w:rPr>
        <w:t>2023.</w:t>
      </w:r>
    </w:p>
    <w:p>
      <w:pPr>
        <w:pStyle w:val="BodyText"/>
        <w:spacing w:before="91"/>
        <w:rPr>
          <w:sz w:val="22"/>
        </w:rPr>
      </w:pPr>
    </w:p>
    <w:p>
      <w:pPr>
        <w:spacing w:line="280" w:lineRule="auto" w:before="1"/>
        <w:ind w:left="272" w:right="269" w:firstLine="0"/>
        <w:jc w:val="both"/>
        <w:rPr>
          <w:sz w:val="22"/>
        </w:rPr>
      </w:pPr>
      <w:r>
        <w:rPr>
          <w:spacing w:val="-6"/>
          <w:sz w:val="22"/>
        </w:rPr>
        <w:t>Par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ailleurs,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les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conciliateurs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ont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sollicité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ce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jour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auprès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du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Tribunal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commerce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Paris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la </w:t>
      </w:r>
      <w:r>
        <w:rPr>
          <w:sz w:val="22"/>
        </w:rPr>
        <w:t>prorogation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période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conciliation</w:t>
      </w:r>
      <w:r>
        <w:rPr>
          <w:spacing w:val="-9"/>
          <w:sz w:val="22"/>
        </w:rPr>
        <w:t> </w:t>
      </w:r>
      <w:r>
        <w:rPr>
          <w:sz w:val="22"/>
        </w:rPr>
        <w:t>jusqu’au</w:t>
      </w:r>
      <w:r>
        <w:rPr>
          <w:spacing w:val="-7"/>
          <w:sz w:val="22"/>
        </w:rPr>
        <w:t> </w:t>
      </w:r>
      <w:r>
        <w:rPr>
          <w:sz w:val="22"/>
        </w:rPr>
        <w:t>25</w:t>
      </w:r>
      <w:r>
        <w:rPr>
          <w:spacing w:val="-8"/>
          <w:sz w:val="22"/>
        </w:rPr>
        <w:t> </w:t>
      </w:r>
      <w:r>
        <w:rPr>
          <w:sz w:val="22"/>
        </w:rPr>
        <w:t>octobre</w:t>
      </w:r>
      <w:r>
        <w:rPr>
          <w:spacing w:val="-7"/>
          <w:sz w:val="22"/>
        </w:rPr>
        <w:t> </w:t>
      </w:r>
      <w:r>
        <w:rPr>
          <w:sz w:val="22"/>
        </w:rPr>
        <w:t>2023.</w:t>
      </w:r>
    </w:p>
    <w:p>
      <w:pPr>
        <w:pStyle w:val="BodyText"/>
        <w:spacing w:before="88"/>
        <w:rPr>
          <w:sz w:val="22"/>
        </w:rPr>
      </w:pPr>
    </w:p>
    <w:p>
      <w:pPr>
        <w:spacing w:line="278" w:lineRule="auto" w:before="0"/>
        <w:ind w:left="272" w:right="275" w:firstLine="0"/>
        <w:jc w:val="both"/>
        <w:rPr>
          <w:sz w:val="22"/>
        </w:rPr>
      </w:pPr>
      <w:r>
        <w:rPr>
          <w:spacing w:val="-6"/>
          <w:sz w:val="22"/>
        </w:rPr>
        <w:t>Toutes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les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informations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privilégiées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relatives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au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groupe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Casino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qui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ont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été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fournies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à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ce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jour </w:t>
      </w:r>
      <w:r>
        <w:rPr>
          <w:spacing w:val="-2"/>
          <w:sz w:val="22"/>
        </w:rPr>
        <w:t>par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Casino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aux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parties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prenantes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vertu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d'accords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confidentialité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dans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cadre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la </w:t>
      </w:r>
      <w:r>
        <w:rPr>
          <w:sz w:val="22"/>
        </w:rPr>
        <w:t>procédure de conciliation ont été rendues publiques.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3"/>
        <w:rPr>
          <w:sz w:val="22"/>
        </w:rPr>
      </w:pPr>
    </w:p>
    <w:p>
      <w:pPr>
        <w:spacing w:before="0"/>
        <w:ind w:left="294" w:right="294" w:firstLine="0"/>
        <w:jc w:val="center"/>
        <w:rPr>
          <w:sz w:val="22"/>
        </w:rPr>
      </w:pPr>
      <w:r>
        <w:rPr>
          <w:w w:val="65"/>
          <w:sz w:val="22"/>
        </w:rPr>
        <w:t>*</w:t>
      </w:r>
      <w:r>
        <w:rPr>
          <w:spacing w:val="-16"/>
          <w:sz w:val="22"/>
        </w:rPr>
        <w:t> </w:t>
      </w:r>
      <w:r>
        <w:rPr>
          <w:w w:val="65"/>
          <w:sz w:val="22"/>
        </w:rPr>
        <w:t>*</w:t>
      </w:r>
      <w:r>
        <w:rPr>
          <w:spacing w:val="-15"/>
          <w:sz w:val="22"/>
        </w:rPr>
        <w:t> </w:t>
      </w:r>
      <w:r>
        <w:rPr>
          <w:spacing w:val="-10"/>
          <w:w w:val="65"/>
          <w:sz w:val="22"/>
        </w:rPr>
        <w:t>*</w:t>
      </w:r>
    </w:p>
    <w:p>
      <w:pPr>
        <w:pStyle w:val="BodyText"/>
        <w:rPr>
          <w:sz w:val="22"/>
        </w:rPr>
      </w:pPr>
    </w:p>
    <w:p>
      <w:pPr>
        <w:pStyle w:val="BodyText"/>
        <w:spacing w:before="177"/>
        <w:rPr>
          <w:sz w:val="22"/>
        </w:rPr>
      </w:pPr>
    </w:p>
    <w:p>
      <w:pPr>
        <w:spacing w:line="278" w:lineRule="auto" w:before="0"/>
        <w:ind w:left="272" w:right="269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changement sans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89"/>
        <w:rPr>
          <w:i/>
        </w:rPr>
      </w:pPr>
    </w:p>
    <w:p>
      <w:pPr>
        <w:pStyle w:val="BodyText"/>
        <w:spacing w:before="1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1</w:t>
      </w:r>
    </w:p>
    <w:p>
      <w:pPr>
        <w:spacing w:after="0"/>
        <w:rPr>
          <w:rFonts w:ascii="Tahoma" w:hAnsi="Tahoma"/>
        </w:rPr>
        <w:sectPr>
          <w:type w:val="continuous"/>
          <w:pgSz w:w="11910" w:h="16840"/>
          <w:pgMar w:top="1260" w:bottom="0" w:left="860" w:right="860"/>
        </w:sectPr>
      </w:pPr>
    </w:p>
    <w:p>
      <w:pPr>
        <w:spacing w:before="84"/>
        <w:ind w:left="272" w:right="0" w:firstLine="0"/>
        <w:jc w:val="both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22278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85"/>
          <w:sz w:val="18"/>
        </w:rPr>
        <w:t>Déclarations</w:t>
      </w:r>
      <w:r>
        <w:rPr>
          <w:b/>
          <w:i/>
          <w:spacing w:val="-3"/>
          <w:sz w:val="18"/>
        </w:rPr>
        <w:t> </w:t>
      </w:r>
      <w:r>
        <w:rPr>
          <w:b/>
          <w:i/>
          <w:spacing w:val="-2"/>
          <w:w w:val="95"/>
          <w:sz w:val="18"/>
        </w:rPr>
        <w:t>prospectives</w:t>
      </w:r>
    </w:p>
    <w:p>
      <w:pPr>
        <w:pStyle w:val="BodyText"/>
        <w:spacing w:before="16"/>
        <w:rPr>
          <w:b/>
          <w:i/>
          <w:sz w:val="18"/>
        </w:rPr>
      </w:pPr>
    </w:p>
    <w:p>
      <w:pPr>
        <w:spacing w:line="278" w:lineRule="auto" w:before="0"/>
        <w:ind w:left="272" w:right="280" w:firstLine="0"/>
        <w:jc w:val="both"/>
        <w:rPr>
          <w:i/>
          <w:sz w:val="18"/>
        </w:rPr>
      </w:pPr>
      <w:r>
        <w:rPr>
          <w:i/>
          <w:spacing w:val="-4"/>
          <w:sz w:val="18"/>
        </w:rPr>
        <w:t>Ce communiqué de presse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peut contenir des déclarations prospectives. Ces déclarations prospectives peuvent </w:t>
      </w:r>
      <w:r>
        <w:rPr>
          <w:i/>
          <w:sz w:val="18"/>
        </w:rPr>
        <w:t>être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identifiées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l’aide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la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terminologie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prospective,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notamment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termes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«croire»,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«s’attendre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à»,</w:t>
      </w:r>
    </w:p>
    <w:p>
      <w:pPr>
        <w:spacing w:line="278" w:lineRule="auto" w:before="1"/>
        <w:ind w:left="272" w:right="271" w:firstLine="0"/>
        <w:jc w:val="both"/>
        <w:rPr>
          <w:i/>
          <w:sz w:val="18"/>
        </w:rPr>
      </w:pPr>
      <w:r>
        <w:rPr>
          <w:i/>
          <w:w w:val="90"/>
          <w:sz w:val="18"/>
        </w:rPr>
        <w:t>«anticiper»,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«peut»,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«présumer»,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«planifier»,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«avoir</w:t>
      </w:r>
      <w:r>
        <w:rPr>
          <w:i/>
          <w:spacing w:val="-8"/>
          <w:w w:val="90"/>
          <w:sz w:val="18"/>
        </w:rPr>
        <w:t> </w:t>
      </w:r>
      <w:r>
        <w:rPr>
          <w:i/>
          <w:w w:val="90"/>
          <w:sz w:val="18"/>
        </w:rPr>
        <w:t>l’intention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de»,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«sera»,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«devrait»,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«estimation»,</w:t>
      </w:r>
      <w:r>
        <w:rPr>
          <w:i/>
          <w:spacing w:val="-4"/>
          <w:w w:val="90"/>
          <w:sz w:val="18"/>
        </w:rPr>
        <w:t> </w:t>
      </w:r>
      <w:r>
        <w:rPr>
          <w:i/>
          <w:w w:val="90"/>
          <w:sz w:val="18"/>
        </w:rPr>
        <w:t>«risque»</w:t>
      </w:r>
      <w:r>
        <w:rPr>
          <w:i/>
          <w:spacing w:val="-6"/>
          <w:w w:val="90"/>
          <w:sz w:val="18"/>
        </w:rPr>
        <w:t> </w:t>
      </w:r>
      <w:r>
        <w:rPr>
          <w:i/>
          <w:w w:val="90"/>
          <w:sz w:val="18"/>
        </w:rPr>
        <w:t>et/ou, </w:t>
      </w:r>
      <w:r>
        <w:rPr>
          <w:i/>
          <w:sz w:val="18"/>
        </w:rPr>
        <w:t>dans chaque cas, leur contraire, ou d’autres variantes ou terminologie comparable. Ces déclarations prospectives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comprennent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tout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sujet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qui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porte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sur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faits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historiques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et incluent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déclarations relatives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intentions,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convictions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attentes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actuelles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Groupe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Casino,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notamment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en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qui </w:t>
      </w:r>
      <w:r>
        <w:rPr>
          <w:i/>
          <w:spacing w:val="-4"/>
          <w:sz w:val="18"/>
        </w:rPr>
        <w:t>concerne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les plans,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6"/>
          <w:sz w:val="18"/>
        </w:rPr>
        <w:t> </w:t>
      </w:r>
      <w:r>
        <w:rPr>
          <w:i/>
          <w:spacing w:val="-4"/>
          <w:sz w:val="18"/>
        </w:rPr>
        <w:t>objectifs,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6"/>
          <w:sz w:val="18"/>
        </w:rPr>
        <w:t> </w:t>
      </w:r>
      <w:r>
        <w:rPr>
          <w:i/>
          <w:spacing w:val="-4"/>
          <w:sz w:val="18"/>
        </w:rPr>
        <w:t>hypothèses, les attentes,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6"/>
          <w:sz w:val="18"/>
        </w:rPr>
        <w:t> </w:t>
      </w:r>
      <w:r>
        <w:rPr>
          <w:i/>
          <w:spacing w:val="-4"/>
          <w:sz w:val="18"/>
        </w:rPr>
        <w:t>perspectives</w:t>
      </w:r>
      <w:r>
        <w:rPr>
          <w:i/>
          <w:spacing w:val="-6"/>
          <w:sz w:val="18"/>
        </w:rPr>
        <w:t> </w:t>
      </w:r>
      <w:r>
        <w:rPr>
          <w:i/>
          <w:spacing w:val="-4"/>
          <w:sz w:val="18"/>
        </w:rPr>
        <w:t>et prévisions du Groupe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Casino, et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déclarations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concernant</w:t>
      </w:r>
      <w:r>
        <w:rPr>
          <w:i/>
          <w:spacing w:val="-7"/>
          <w:sz w:val="18"/>
        </w:rPr>
        <w:t> </w:t>
      </w:r>
      <w:r>
        <w:rPr>
          <w:i/>
          <w:spacing w:val="-4"/>
          <w:sz w:val="18"/>
        </w:rPr>
        <w:t>d’autres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événements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perspectives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futurs.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0"/>
          <w:sz w:val="18"/>
        </w:rPr>
        <w:t> </w:t>
      </w:r>
      <w:r>
        <w:rPr>
          <w:i/>
          <w:spacing w:val="-4"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0"/>
          <w:sz w:val="18"/>
        </w:rPr>
        <w:t> </w:t>
      </w:r>
      <w:r>
        <w:rPr>
          <w:i/>
          <w:spacing w:val="-4"/>
          <w:sz w:val="18"/>
        </w:rPr>
        <w:t>nature,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déclarations </w:t>
      </w:r>
      <w:r>
        <w:rPr>
          <w:i/>
          <w:spacing w:val="-2"/>
          <w:sz w:val="18"/>
        </w:rPr>
        <w:t>prospectives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impliquent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des</w:t>
      </w:r>
      <w:r>
        <w:rPr>
          <w:i/>
          <w:spacing w:val="-14"/>
          <w:sz w:val="18"/>
        </w:rPr>
        <w:t> </w:t>
      </w:r>
      <w:r>
        <w:rPr>
          <w:i/>
          <w:spacing w:val="-2"/>
          <w:sz w:val="18"/>
        </w:rPr>
        <w:t>risques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et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incertitudes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car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elles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concernent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événements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et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dépendent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de </w:t>
      </w:r>
      <w:r>
        <w:rPr>
          <w:i/>
          <w:sz w:val="18"/>
        </w:rPr>
        <w:t>circonstances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susceptibles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survenir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non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l'avenir.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déclarations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prospectives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reflètent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6"/>
          <w:sz w:val="18"/>
        </w:rPr>
        <w:t> </w:t>
      </w:r>
      <w:r>
        <w:rPr>
          <w:i/>
          <w:sz w:val="18"/>
        </w:rPr>
        <w:t>attentes, intentions ou prévisions actuelles du Groupe Casino concernant des événements futurs, fondées sur les </w:t>
      </w:r>
      <w:r>
        <w:rPr>
          <w:i/>
          <w:spacing w:val="-2"/>
          <w:sz w:val="18"/>
        </w:rPr>
        <w:t>informations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actuellement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disponibles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et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les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hypothèses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formulées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le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Groupe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Casino.</w:t>
      </w:r>
    </w:p>
    <w:p>
      <w:pPr>
        <w:spacing w:line="278" w:lineRule="auto" w:before="201"/>
        <w:ind w:left="272" w:right="275" w:firstLine="0"/>
        <w:jc w:val="both"/>
        <w:rPr>
          <w:i/>
          <w:sz w:val="18"/>
        </w:rPr>
      </w:pPr>
      <w:r>
        <w:rPr>
          <w:i/>
          <w:sz w:val="18"/>
        </w:rPr>
        <w:t>Les déclarations prospectives et les informations contenues dans cette annonce sont faites à la date des </w:t>
      </w:r>
      <w:r>
        <w:rPr>
          <w:i/>
          <w:spacing w:val="-2"/>
          <w:sz w:val="18"/>
        </w:rPr>
        <w:t>présentes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et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le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Groupe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Casino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n’assume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aucune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obligation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mettre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jour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publiquement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de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réviser</w:t>
      </w:r>
      <w:r>
        <w:rPr>
          <w:i/>
          <w:spacing w:val="-12"/>
          <w:sz w:val="18"/>
        </w:rPr>
        <w:t> </w:t>
      </w:r>
      <w:r>
        <w:rPr>
          <w:i/>
          <w:spacing w:val="-2"/>
          <w:sz w:val="18"/>
        </w:rPr>
        <w:t>toute </w:t>
      </w:r>
      <w:r>
        <w:rPr>
          <w:i/>
          <w:spacing w:val="-4"/>
          <w:sz w:val="18"/>
        </w:rPr>
        <w:t>déclaration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information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prospective,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que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soit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la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suite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nouvelles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informations,</w:t>
      </w:r>
      <w:r>
        <w:rPr>
          <w:i/>
          <w:spacing w:val="-9"/>
          <w:sz w:val="18"/>
        </w:rPr>
        <w:t> </w:t>
      </w:r>
      <w:r>
        <w:rPr>
          <w:i/>
          <w:spacing w:val="-4"/>
          <w:sz w:val="18"/>
        </w:rPr>
        <w:t>d'événements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futurs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ou </w:t>
      </w:r>
      <w:r>
        <w:rPr>
          <w:i/>
          <w:spacing w:val="-6"/>
          <w:sz w:val="18"/>
        </w:rPr>
        <w:t>de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toute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autre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manière,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sauf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si</w:t>
      </w:r>
      <w:r>
        <w:rPr>
          <w:i/>
          <w:spacing w:val="-9"/>
          <w:sz w:val="18"/>
        </w:rPr>
        <w:t> </w:t>
      </w:r>
      <w:r>
        <w:rPr>
          <w:i/>
          <w:spacing w:val="-6"/>
          <w:sz w:val="18"/>
        </w:rPr>
        <w:t>requis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par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la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loi.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Toutes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les</w:t>
      </w:r>
      <w:r>
        <w:rPr>
          <w:i/>
          <w:spacing w:val="-9"/>
          <w:sz w:val="18"/>
        </w:rPr>
        <w:t> </w:t>
      </w:r>
      <w:r>
        <w:rPr>
          <w:i/>
          <w:spacing w:val="-6"/>
          <w:sz w:val="18"/>
        </w:rPr>
        <w:t>déclarations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prospectives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ultérieures,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écrites</w:t>
      </w:r>
      <w:r>
        <w:rPr>
          <w:i/>
          <w:spacing w:val="-10"/>
          <w:sz w:val="18"/>
        </w:rPr>
        <w:t> </w:t>
      </w:r>
      <w:r>
        <w:rPr>
          <w:i/>
          <w:spacing w:val="-6"/>
          <w:sz w:val="18"/>
        </w:rPr>
        <w:t>ou</w:t>
      </w:r>
      <w:r>
        <w:rPr>
          <w:i/>
          <w:spacing w:val="-9"/>
          <w:sz w:val="18"/>
        </w:rPr>
        <w:t> </w:t>
      </w:r>
      <w:r>
        <w:rPr>
          <w:i/>
          <w:spacing w:val="-6"/>
          <w:sz w:val="18"/>
        </w:rPr>
        <w:t>orales, </w:t>
      </w:r>
      <w:r>
        <w:rPr>
          <w:i/>
          <w:spacing w:val="-4"/>
          <w:sz w:val="18"/>
        </w:rPr>
        <w:t>attribuables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au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Groupe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Casino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ou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personnes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agissant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au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nom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du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Groupe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Casino,</w:t>
      </w:r>
      <w:r>
        <w:rPr>
          <w:i/>
          <w:spacing w:val="-8"/>
          <w:sz w:val="18"/>
        </w:rPr>
        <w:t> </w:t>
      </w:r>
      <w:r>
        <w:rPr>
          <w:i/>
          <w:spacing w:val="-4"/>
          <w:sz w:val="18"/>
        </w:rPr>
        <w:t>y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compris,</w:t>
      </w:r>
      <w:r>
        <w:rPr>
          <w:i/>
          <w:spacing w:val="-10"/>
          <w:sz w:val="18"/>
        </w:rPr>
        <w:t> </w:t>
      </w:r>
      <w:r>
        <w:rPr>
          <w:i/>
          <w:spacing w:val="-4"/>
          <w:sz w:val="18"/>
        </w:rPr>
        <w:t>mais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s'y </w:t>
      </w:r>
      <w:r>
        <w:rPr>
          <w:i/>
          <w:sz w:val="18"/>
        </w:rPr>
        <w:t>limiter, les communiqués de presse (y compris sur le site web du Groupe Casino), les rapports et autres communications,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sont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expressément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intégralement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couvertes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mises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en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garde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le présent communiqué de presse.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61"/>
        <w:rPr>
          <w:i/>
          <w:sz w:val="18"/>
        </w:rPr>
      </w:pPr>
    </w:p>
    <w:p>
      <w:pPr>
        <w:spacing w:before="0"/>
        <w:ind w:left="294" w:right="29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2"/>
        <w:ind w:left="292" w:right="297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9"/>
        <w:ind w:left="2869" w:right="287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7">
        <w:r>
          <w:rPr>
            <w:spacing w:val="-2"/>
            <w:w w:val="95"/>
            <w:sz w:val="20"/>
            <w:u w:val="single"/>
          </w:rPr>
          <w:t>cwelton.exterieur@groupe-casino.fr</w:t>
        </w:r>
      </w:hyperlink>
    </w:p>
    <w:p>
      <w:pPr>
        <w:pStyle w:val="Heading4"/>
        <w:spacing w:before="4"/>
      </w:pPr>
      <w:r>
        <w:rPr>
          <w:spacing w:val="-5"/>
        </w:rPr>
        <w:t>ou</w:t>
      </w:r>
    </w:p>
    <w:p>
      <w:pPr>
        <w:pStyle w:val="BodyText"/>
        <w:spacing w:before="41"/>
        <w:ind w:left="293" w:right="294"/>
        <w:jc w:val="center"/>
      </w:pPr>
      <w:r>
        <w:rPr>
          <w:w w:val="80"/>
        </w:rPr>
        <w:t>+33</w:t>
      </w:r>
      <w:r>
        <w:rPr>
          <w:spacing w:val="-4"/>
        </w:rPr>
        <w:t> </w:t>
      </w:r>
      <w:r>
        <w:rPr>
          <w:w w:val="80"/>
        </w:rPr>
        <w:t>(0)1</w:t>
      </w:r>
      <w:r>
        <w:rPr>
          <w:spacing w:val="-4"/>
        </w:rPr>
        <w:t> </w:t>
      </w:r>
      <w:r>
        <w:rPr>
          <w:w w:val="80"/>
        </w:rPr>
        <w:t>53</w:t>
      </w:r>
      <w:r>
        <w:rPr>
          <w:spacing w:val="-1"/>
        </w:rPr>
        <w:t> </w:t>
      </w:r>
      <w:r>
        <w:rPr>
          <w:w w:val="80"/>
        </w:rPr>
        <w:t>65</w:t>
      </w:r>
      <w:r>
        <w:rPr>
          <w:spacing w:val="-4"/>
        </w:rPr>
        <w:t> </w:t>
      </w:r>
      <w:r>
        <w:rPr>
          <w:w w:val="80"/>
        </w:rPr>
        <w:t>24</w:t>
      </w:r>
      <w:r>
        <w:rPr>
          <w:spacing w:val="-4"/>
        </w:rPr>
        <w:t> </w:t>
      </w:r>
      <w:r>
        <w:rPr>
          <w:spacing w:val="-5"/>
          <w:w w:val="80"/>
        </w:rPr>
        <w:t>17</w:t>
      </w:r>
    </w:p>
    <w:p>
      <w:pPr>
        <w:pStyle w:val="BodyText"/>
        <w:spacing w:before="38"/>
        <w:ind w:left="292" w:right="295"/>
        <w:jc w:val="center"/>
      </w:pPr>
      <w:hyperlink r:id="rId8">
        <w:r>
          <w:rPr>
            <w:w w:val="90"/>
            <w:u w:val="single"/>
          </w:rPr>
          <w:t>IR_Casino@groupe-</w:t>
        </w:r>
        <w:r>
          <w:rPr>
            <w:spacing w:val="-2"/>
            <w:u w:val="single"/>
          </w:rPr>
          <w:t>casino.fr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90"/>
        <w:rPr>
          <w:sz w:val="24"/>
        </w:rPr>
      </w:pPr>
    </w:p>
    <w:p>
      <w:pPr>
        <w:pStyle w:val="Heading2"/>
        <w:ind w:left="302" w:right="294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4"/>
        <w:spacing w:before="8"/>
        <w:ind w:left="0" w:right="4"/>
      </w:pP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Communication</w:t>
      </w:r>
    </w:p>
    <w:p>
      <w:pPr>
        <w:spacing w:before="3"/>
        <w:ind w:left="0" w:right="4" w:firstLine="0"/>
        <w:jc w:val="center"/>
        <w:rPr>
          <w:sz w:val="20"/>
        </w:rPr>
      </w:pPr>
      <w:r>
        <w:rPr>
          <w:rFonts w:ascii="Tahoma"/>
          <w:b/>
          <w:w w:val="90"/>
          <w:sz w:val="20"/>
        </w:rPr>
        <w:t>Nicolas</w:t>
      </w:r>
      <w:r>
        <w:rPr>
          <w:rFonts w:ascii="Tahoma"/>
          <w:b/>
          <w:spacing w:val="9"/>
          <w:sz w:val="20"/>
        </w:rPr>
        <w:t> </w:t>
      </w:r>
      <w:r>
        <w:rPr>
          <w:rFonts w:ascii="Tahoma"/>
          <w:b/>
          <w:w w:val="90"/>
          <w:sz w:val="20"/>
        </w:rPr>
        <w:t>BOUDOT</w:t>
      </w:r>
      <w:r>
        <w:rPr>
          <w:rFonts w:ascii="Tahoma"/>
          <w:b/>
          <w:spacing w:val="8"/>
          <w:sz w:val="20"/>
        </w:rPr>
        <w:t> </w:t>
      </w:r>
      <w:r>
        <w:rPr>
          <w:w w:val="90"/>
          <w:sz w:val="20"/>
        </w:rPr>
        <w:t>-</w:t>
      </w:r>
      <w:r>
        <w:rPr>
          <w:spacing w:val="60"/>
          <w:sz w:val="20"/>
        </w:rPr>
        <w:t> </w:t>
      </w:r>
      <w:hyperlink r:id="rId9">
        <w:r>
          <w:rPr>
            <w:w w:val="90"/>
            <w:sz w:val="20"/>
          </w:rPr>
          <w:t>nboudot@groupe-casino.fr</w:t>
        </w:r>
      </w:hyperlink>
      <w:r>
        <w:rPr>
          <w:spacing w:val="-6"/>
          <w:sz w:val="20"/>
        </w:rPr>
        <w:t> </w:t>
      </w:r>
      <w:r>
        <w:rPr>
          <w:w w:val="90"/>
          <w:sz w:val="20"/>
        </w:rPr>
        <w:t>-</w:t>
      </w:r>
      <w:r>
        <w:rPr>
          <w:spacing w:val="-5"/>
          <w:sz w:val="20"/>
        </w:rPr>
        <w:t> </w:t>
      </w:r>
      <w:r>
        <w:rPr>
          <w:w w:val="90"/>
          <w:sz w:val="20"/>
        </w:rPr>
        <w:t>+</w:t>
      </w:r>
      <w:r>
        <w:rPr>
          <w:spacing w:val="-4"/>
          <w:sz w:val="20"/>
        </w:rPr>
        <w:t> </w:t>
      </w:r>
      <w:r>
        <w:rPr>
          <w:w w:val="90"/>
          <w:sz w:val="20"/>
        </w:rPr>
        <w:t>33</w:t>
      </w:r>
      <w:r>
        <w:rPr>
          <w:spacing w:val="-2"/>
          <w:sz w:val="20"/>
        </w:rPr>
        <w:t> </w:t>
      </w:r>
      <w:r>
        <w:rPr>
          <w:w w:val="90"/>
          <w:sz w:val="20"/>
        </w:rPr>
        <w:t>(0)6</w:t>
      </w:r>
      <w:r>
        <w:rPr>
          <w:spacing w:val="-3"/>
          <w:sz w:val="20"/>
        </w:rPr>
        <w:t> </w:t>
      </w:r>
      <w:r>
        <w:rPr>
          <w:w w:val="90"/>
          <w:sz w:val="20"/>
        </w:rPr>
        <w:t>79</w:t>
      </w:r>
      <w:r>
        <w:rPr>
          <w:spacing w:val="-6"/>
          <w:sz w:val="20"/>
        </w:rPr>
        <w:t> </w:t>
      </w:r>
      <w:r>
        <w:rPr>
          <w:w w:val="90"/>
          <w:sz w:val="20"/>
        </w:rPr>
        <w:t>61</w:t>
      </w:r>
      <w:r>
        <w:rPr>
          <w:spacing w:val="-3"/>
          <w:sz w:val="20"/>
        </w:rPr>
        <w:t> </w:t>
      </w:r>
      <w:r>
        <w:rPr>
          <w:w w:val="90"/>
          <w:sz w:val="20"/>
        </w:rPr>
        <w:t>40</w:t>
      </w:r>
      <w:r>
        <w:rPr>
          <w:spacing w:val="-6"/>
          <w:sz w:val="20"/>
        </w:rPr>
        <w:t> </w:t>
      </w:r>
      <w:r>
        <w:rPr>
          <w:spacing w:val="-5"/>
          <w:w w:val="90"/>
          <w:sz w:val="20"/>
        </w:rPr>
        <w:t>99</w:t>
      </w:r>
    </w:p>
    <w:p>
      <w:pPr>
        <w:pStyle w:val="Heading4"/>
        <w:spacing w:before="2"/>
      </w:pPr>
      <w:r>
        <w:rPr>
          <w:spacing w:val="-5"/>
        </w:rPr>
        <w:t>ou</w:t>
      </w:r>
    </w:p>
    <w:p>
      <w:pPr>
        <w:pStyle w:val="BodyText"/>
        <w:spacing w:before="3"/>
        <w:ind w:left="293" w:right="294"/>
        <w:jc w:val="center"/>
      </w:pPr>
      <w:r>
        <w:rPr>
          <w:w w:val="90"/>
        </w:rPr>
        <w:t>+</w:t>
      </w:r>
      <w:r>
        <w:rPr>
          <w:spacing w:val="18"/>
        </w:rPr>
        <w:t> </w:t>
      </w:r>
      <w:r>
        <w:rPr>
          <w:w w:val="90"/>
        </w:rPr>
        <w:t>33(0)1</w:t>
      </w:r>
      <w:r>
        <w:rPr>
          <w:spacing w:val="12"/>
        </w:rPr>
        <w:t> </w:t>
      </w:r>
      <w:r>
        <w:rPr>
          <w:w w:val="90"/>
        </w:rPr>
        <w:t>53</w:t>
      </w:r>
      <w:r>
        <w:rPr>
          <w:spacing w:val="17"/>
        </w:rPr>
        <w:t> </w:t>
      </w:r>
      <w:r>
        <w:rPr>
          <w:w w:val="90"/>
        </w:rPr>
        <w:t>65</w:t>
      </w:r>
      <w:r>
        <w:rPr>
          <w:spacing w:val="12"/>
        </w:rPr>
        <w:t> </w:t>
      </w:r>
      <w:r>
        <w:rPr>
          <w:w w:val="90"/>
        </w:rPr>
        <w:t>24</w:t>
      </w:r>
      <w:r>
        <w:rPr>
          <w:spacing w:val="12"/>
        </w:rPr>
        <w:t> </w:t>
      </w:r>
      <w:r>
        <w:rPr>
          <w:w w:val="90"/>
        </w:rPr>
        <w:t>78</w:t>
      </w:r>
      <w:r>
        <w:rPr>
          <w:spacing w:val="15"/>
        </w:rPr>
        <w:t> </w:t>
      </w:r>
      <w:r>
        <w:rPr>
          <w:w w:val="90"/>
        </w:rPr>
        <w:t>-</w:t>
      </w:r>
      <w:r>
        <w:rPr>
          <w:spacing w:val="14"/>
        </w:rPr>
        <w:t> </w:t>
      </w:r>
      <w:hyperlink r:id="rId10">
        <w:r>
          <w:rPr>
            <w:w w:val="90"/>
            <w:u w:val="single"/>
          </w:rPr>
          <w:t>directiondelacommunication@groupe-</w:t>
        </w:r>
        <w:r>
          <w:rPr>
            <w:spacing w:val="-2"/>
            <w:w w:val="90"/>
            <w:u w:val="single"/>
          </w:rPr>
          <w:t>casino.fr</w:t>
        </w:r>
      </w:hyperlink>
    </w:p>
    <w:p>
      <w:pPr>
        <w:pStyle w:val="BodyText"/>
        <w:spacing w:before="7"/>
      </w:pPr>
    </w:p>
    <w:p>
      <w:pPr>
        <w:pStyle w:val="Heading4"/>
        <w:ind w:left="292"/>
      </w:pPr>
      <w:r>
        <w:rPr/>
        <w:t>Agence 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pStyle w:val="BodyText"/>
        <w:spacing w:before="3"/>
        <w:ind w:left="294" w:right="294"/>
        <w:jc w:val="center"/>
      </w:pPr>
      <w:r>
        <w:rPr>
          <w:w w:val="85"/>
        </w:rPr>
        <w:t>Karine</w:t>
      </w:r>
      <w:r>
        <w:rPr>
          <w:spacing w:val="-1"/>
          <w:w w:val="85"/>
        </w:rPr>
        <w:t> </w:t>
      </w:r>
      <w:r>
        <w:rPr>
          <w:w w:val="85"/>
        </w:rPr>
        <w:t>Allouis</w:t>
      </w:r>
      <w:r>
        <w:rPr>
          <w:spacing w:val="-2"/>
          <w:w w:val="85"/>
        </w:rPr>
        <w:t> </w:t>
      </w:r>
      <w:r>
        <w:rPr>
          <w:w w:val="85"/>
        </w:rPr>
        <w:t>–</w:t>
      </w:r>
      <w:r>
        <w:rPr>
          <w:spacing w:val="-10"/>
        </w:rPr>
        <w:t> </w:t>
      </w:r>
      <w:r>
        <w:rPr>
          <w:w w:val="85"/>
        </w:rPr>
        <w:t>Tél</w:t>
      </w:r>
      <w:r>
        <w:rPr>
          <w:spacing w:val="-10"/>
        </w:rPr>
        <w:t> </w:t>
      </w:r>
      <w:r>
        <w:rPr>
          <w:w w:val="85"/>
        </w:rPr>
        <w:t>:</w:t>
      </w:r>
      <w:r>
        <w:rPr>
          <w:spacing w:val="-5"/>
          <w:w w:val="85"/>
        </w:rPr>
        <w:t> </w:t>
      </w:r>
      <w:r>
        <w:rPr>
          <w:w w:val="85"/>
        </w:rPr>
        <w:t>+33</w:t>
      </w:r>
      <w:r>
        <w:rPr>
          <w:spacing w:val="-4"/>
          <w:w w:val="85"/>
        </w:rPr>
        <w:t> </w:t>
      </w:r>
      <w:r>
        <w:rPr>
          <w:w w:val="85"/>
        </w:rPr>
        <w:t>(0)6</w:t>
      </w:r>
      <w:r>
        <w:rPr>
          <w:spacing w:val="-3"/>
          <w:w w:val="85"/>
        </w:rPr>
        <w:t> </w:t>
      </w:r>
      <w:r>
        <w:rPr>
          <w:w w:val="85"/>
        </w:rPr>
        <w:t>11</w:t>
      </w:r>
      <w:r>
        <w:rPr>
          <w:spacing w:val="-4"/>
          <w:w w:val="85"/>
        </w:rPr>
        <w:t> </w:t>
      </w:r>
      <w:r>
        <w:rPr>
          <w:w w:val="85"/>
        </w:rPr>
        <w:t>59</w:t>
      </w:r>
      <w:r>
        <w:rPr>
          <w:spacing w:val="-4"/>
          <w:w w:val="85"/>
        </w:rPr>
        <w:t> </w:t>
      </w:r>
      <w:r>
        <w:rPr>
          <w:w w:val="85"/>
        </w:rPr>
        <w:t>23</w:t>
      </w:r>
      <w:r>
        <w:rPr>
          <w:spacing w:val="-10"/>
        </w:rPr>
        <w:t> </w:t>
      </w:r>
      <w:r>
        <w:rPr>
          <w:w w:val="85"/>
        </w:rPr>
        <w:t>26</w:t>
      </w:r>
      <w:r>
        <w:rPr>
          <w:spacing w:val="-3"/>
          <w:w w:val="85"/>
        </w:rPr>
        <w:t> </w:t>
      </w:r>
      <w:r>
        <w:rPr>
          <w:w w:val="85"/>
        </w:rPr>
        <w:t>-</w:t>
      </w:r>
      <w:r>
        <w:rPr>
          <w:spacing w:val="-3"/>
          <w:w w:val="85"/>
        </w:rPr>
        <w:t> </w:t>
      </w:r>
      <w:hyperlink r:id="rId11">
        <w:r>
          <w:rPr>
            <w:spacing w:val="-2"/>
            <w:w w:val="85"/>
            <w:u w:val="single"/>
          </w:rPr>
          <w:t>kallouis@image7.fr</w:t>
        </w:r>
      </w:hyperlink>
    </w:p>
    <w:p>
      <w:pPr>
        <w:pStyle w:val="BodyText"/>
        <w:spacing w:before="1"/>
        <w:ind w:left="292" w:right="294"/>
        <w:jc w:val="center"/>
      </w:pPr>
      <w:r>
        <w:rPr>
          <w:w w:val="85"/>
        </w:rPr>
        <w:t>Laurent</w:t>
      </w:r>
      <w:r>
        <w:rPr>
          <w:spacing w:val="-7"/>
        </w:rPr>
        <w:t> </w:t>
      </w:r>
      <w:r>
        <w:rPr>
          <w:w w:val="85"/>
        </w:rPr>
        <w:t>Poinsot</w:t>
      </w:r>
      <w:r>
        <w:rPr>
          <w:spacing w:val="-4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w w:val="85"/>
        </w:rPr>
        <w:t>Tél</w:t>
      </w:r>
      <w:r>
        <w:rPr>
          <w:spacing w:val="-8"/>
        </w:rPr>
        <w:t> </w:t>
      </w:r>
      <w:r>
        <w:rPr>
          <w:w w:val="85"/>
        </w:rPr>
        <w:t>:</w:t>
      </w:r>
      <w:r>
        <w:rPr>
          <w:spacing w:val="-11"/>
        </w:rPr>
        <w:t> </w:t>
      </w:r>
      <w:r>
        <w:rPr>
          <w:w w:val="85"/>
        </w:rPr>
        <w:t>+</w:t>
      </w:r>
      <w:r>
        <w:rPr>
          <w:spacing w:val="-4"/>
        </w:rPr>
        <w:t> </w:t>
      </w:r>
      <w:r>
        <w:rPr>
          <w:w w:val="85"/>
        </w:rPr>
        <w:t>33(0)6</w:t>
      </w:r>
      <w:r>
        <w:rPr>
          <w:spacing w:val="-8"/>
        </w:rPr>
        <w:t> </w:t>
      </w:r>
      <w:r>
        <w:rPr>
          <w:w w:val="85"/>
        </w:rPr>
        <w:t>80</w:t>
      </w:r>
      <w:r>
        <w:rPr>
          <w:spacing w:val="-9"/>
        </w:rPr>
        <w:t> </w:t>
      </w:r>
      <w:r>
        <w:rPr>
          <w:w w:val="85"/>
        </w:rPr>
        <w:t>11</w:t>
      </w:r>
      <w:r>
        <w:rPr>
          <w:spacing w:val="-9"/>
        </w:rPr>
        <w:t> </w:t>
      </w:r>
      <w:r>
        <w:rPr>
          <w:w w:val="85"/>
        </w:rPr>
        <w:t>73</w:t>
      </w:r>
      <w:r>
        <w:rPr>
          <w:spacing w:val="-5"/>
        </w:rPr>
        <w:t> </w:t>
      </w:r>
      <w:r>
        <w:rPr>
          <w:w w:val="85"/>
        </w:rPr>
        <w:t>52</w:t>
      </w:r>
      <w:r>
        <w:rPr>
          <w:spacing w:val="-6"/>
        </w:rPr>
        <w:t> </w:t>
      </w:r>
      <w:r>
        <w:rPr>
          <w:w w:val="85"/>
        </w:rPr>
        <w:t>-</w:t>
      </w:r>
      <w:r>
        <w:rPr>
          <w:spacing w:val="-8"/>
        </w:rPr>
        <w:t> </w:t>
      </w:r>
      <w:hyperlink r:id="rId12">
        <w:r>
          <w:rPr>
            <w:spacing w:val="-2"/>
            <w:w w:val="85"/>
            <w:u w:val="single"/>
          </w:rPr>
          <w:t>lpoinsot@image7.fr</w:t>
        </w:r>
      </w:hyperlink>
    </w:p>
    <w:p>
      <w:pPr>
        <w:pStyle w:val="BodyText"/>
        <w:spacing w:before="2"/>
        <w:ind w:left="292" w:right="294"/>
        <w:jc w:val="center"/>
      </w:pPr>
      <w:r>
        <w:rPr>
          <w:w w:val="85"/>
        </w:rPr>
        <w:t>Franck</w:t>
      </w:r>
      <w:r>
        <w:rPr>
          <w:spacing w:val="-3"/>
        </w:rPr>
        <w:t> </w:t>
      </w:r>
      <w:r>
        <w:rPr>
          <w:w w:val="85"/>
        </w:rPr>
        <w:t>Pasquier</w:t>
      </w:r>
      <w:r>
        <w:rPr>
          <w:spacing w:val="-1"/>
        </w:rPr>
        <w:t> </w:t>
      </w:r>
      <w:r>
        <w:rPr>
          <w:w w:val="85"/>
        </w:rPr>
        <w:t>–</w:t>
      </w:r>
      <w:r>
        <w:rPr>
          <w:spacing w:val="-1"/>
        </w:rPr>
        <w:t> </w:t>
      </w:r>
      <w:r>
        <w:rPr>
          <w:w w:val="85"/>
        </w:rPr>
        <w:t>Tél</w:t>
      </w:r>
      <w:r>
        <w:rPr>
          <w:spacing w:val="-1"/>
        </w:rPr>
        <w:t> </w:t>
      </w:r>
      <w:r>
        <w:rPr>
          <w:w w:val="85"/>
        </w:rPr>
        <w:t>:</w:t>
      </w:r>
      <w:r>
        <w:rPr>
          <w:spacing w:val="-6"/>
        </w:rPr>
        <w:t> </w:t>
      </w:r>
      <w:r>
        <w:rPr>
          <w:w w:val="85"/>
        </w:rPr>
        <w:t>+</w:t>
      </w:r>
      <w:r>
        <w:rPr>
          <w:spacing w:val="1"/>
        </w:rPr>
        <w:t> </w:t>
      </w:r>
      <w:r>
        <w:rPr>
          <w:w w:val="85"/>
        </w:rPr>
        <w:t>33(0)6</w:t>
      </w:r>
      <w:r>
        <w:rPr>
          <w:spacing w:val="-4"/>
        </w:rPr>
        <w:t> </w:t>
      </w:r>
      <w:r>
        <w:rPr>
          <w:w w:val="85"/>
        </w:rPr>
        <w:t>73</w:t>
      </w:r>
      <w:r>
        <w:rPr>
          <w:spacing w:val="-3"/>
        </w:rPr>
        <w:t> </w:t>
      </w:r>
      <w:r>
        <w:rPr>
          <w:w w:val="85"/>
        </w:rPr>
        <w:t>62</w:t>
      </w:r>
      <w:r>
        <w:rPr>
          <w:spacing w:val="-4"/>
        </w:rPr>
        <w:t> </w:t>
      </w:r>
      <w:r>
        <w:rPr>
          <w:w w:val="85"/>
        </w:rPr>
        <w:t>57</w:t>
      </w:r>
      <w:r>
        <w:rPr/>
        <w:t> </w:t>
      </w:r>
      <w:r>
        <w:rPr>
          <w:w w:val="85"/>
        </w:rPr>
        <w:t>99</w:t>
      </w:r>
      <w:r>
        <w:rPr>
          <w:spacing w:val="-1"/>
        </w:rPr>
        <w:t> </w:t>
      </w:r>
      <w:r>
        <w:rPr>
          <w:w w:val="85"/>
        </w:rPr>
        <w:t>-</w:t>
      </w:r>
      <w:r>
        <w:rPr>
          <w:spacing w:val="-3"/>
          <w:u w:val="single"/>
        </w:rPr>
        <w:t> </w:t>
      </w:r>
      <w:hyperlink r:id="rId13">
        <w:r>
          <w:rPr>
            <w:spacing w:val="-2"/>
            <w:w w:val="85"/>
            <w:u w:val="single"/>
          </w:rPr>
          <w:t>fpasquier@image7.fr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2</w:t>
      </w:r>
    </w:p>
    <w:p>
      <w:pPr>
        <w:spacing w:after="0"/>
        <w:rPr>
          <w:rFonts w:ascii="Tahoma" w:hAnsi="Tahoma"/>
        </w:rPr>
        <w:sectPr>
          <w:pgSz w:w="11910" w:h="16840"/>
          <w:pgMar w:top="1200" w:bottom="0" w:left="860" w:right="860"/>
        </w:sectPr>
      </w:pPr>
    </w:p>
    <w:p>
      <w:pPr>
        <w:pStyle w:val="Heading1"/>
        <w:ind w:left="303"/>
      </w:pPr>
      <w:r>
        <w:rPr/>
        <w:drawing>
          <wp:anchor distT="0" distB="0" distL="0" distR="0" allowOverlap="1" layoutInCell="1" locked="0" behindDoc="1" simplePos="0" relativeHeight="487223808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  <w:spacing w:val="-2"/>
        </w:rPr>
        <w:t>Annexe</w:t>
      </w:r>
    </w:p>
    <w:p>
      <w:pPr>
        <w:spacing w:before="52"/>
        <w:ind w:left="302" w:right="294" w:firstLine="0"/>
        <w:jc w:val="center"/>
        <w:rPr>
          <w:rFonts w:ascii="Arial MT" w:hAnsi="Arial MT"/>
          <w:sz w:val="24"/>
        </w:rPr>
      </w:pPr>
      <w:r>
        <w:rPr>
          <w:rFonts w:ascii="Arial MT" w:hAnsi="Arial MT"/>
          <w:color w:val="6460A9"/>
          <w:spacing w:val="-10"/>
          <w:sz w:val="24"/>
        </w:rPr>
        <w:t>Principaux</w:t>
      </w:r>
      <w:r>
        <w:rPr>
          <w:rFonts w:ascii="Arial MT" w:hAnsi="Arial MT"/>
          <w:color w:val="6460A9"/>
          <w:spacing w:val="-17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termes</w:t>
      </w:r>
      <w:r>
        <w:rPr>
          <w:rFonts w:ascii="Arial MT" w:hAnsi="Arial MT"/>
          <w:color w:val="6460A9"/>
          <w:spacing w:val="-14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de l’accord</w:t>
      </w:r>
      <w:r>
        <w:rPr>
          <w:rFonts w:ascii="Arial MT" w:hAnsi="Arial MT"/>
          <w:color w:val="6460A9"/>
          <w:spacing w:val="-13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de</w:t>
      </w:r>
      <w:r>
        <w:rPr>
          <w:rFonts w:ascii="Arial MT" w:hAnsi="Arial MT"/>
          <w:color w:val="6460A9"/>
          <w:spacing w:val="-13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principe</w:t>
      </w:r>
      <w:r>
        <w:rPr>
          <w:rFonts w:ascii="Arial MT" w:hAnsi="Arial MT"/>
          <w:color w:val="6460A9"/>
          <w:spacing w:val="-13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avec</w:t>
      </w:r>
      <w:r>
        <w:rPr>
          <w:rFonts w:ascii="Arial MT" w:hAnsi="Arial MT"/>
          <w:color w:val="6460A9"/>
          <w:spacing w:val="-11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les</w:t>
      </w:r>
      <w:r>
        <w:rPr>
          <w:rFonts w:ascii="Arial MT" w:hAnsi="Arial MT"/>
          <w:color w:val="6460A9"/>
          <w:spacing w:val="-15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porteurs</w:t>
      </w:r>
      <w:r>
        <w:rPr>
          <w:rFonts w:ascii="Arial MT" w:hAnsi="Arial MT"/>
          <w:color w:val="6460A9"/>
          <w:spacing w:val="-14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d'obligations</w:t>
      </w:r>
      <w:r>
        <w:rPr>
          <w:rFonts w:ascii="Arial MT" w:hAnsi="Arial MT"/>
          <w:color w:val="6460A9"/>
          <w:spacing w:val="-11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émises</w:t>
      </w:r>
      <w:r>
        <w:rPr>
          <w:rFonts w:ascii="Arial MT" w:hAnsi="Arial MT"/>
          <w:color w:val="6460A9"/>
          <w:spacing w:val="-14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par</w:t>
      </w:r>
      <w:r>
        <w:rPr>
          <w:rFonts w:ascii="Arial MT" w:hAnsi="Arial MT"/>
          <w:color w:val="6460A9"/>
          <w:spacing w:val="-14"/>
          <w:sz w:val="24"/>
        </w:rPr>
        <w:t> </w:t>
      </w:r>
      <w:r>
        <w:rPr>
          <w:rFonts w:ascii="Arial MT" w:hAnsi="Arial MT"/>
          <w:color w:val="6460A9"/>
          <w:spacing w:val="-10"/>
          <w:sz w:val="24"/>
        </w:rPr>
        <w:t>Quatrim</w:t>
      </w:r>
    </w:p>
    <w:p>
      <w:pPr>
        <w:pStyle w:val="BodyText"/>
        <w:spacing w:before="247"/>
        <w:rPr>
          <w:rFonts w:ascii="Arial MT"/>
          <w:sz w:val="24"/>
        </w:rPr>
      </w:pPr>
    </w:p>
    <w:p>
      <w:pPr>
        <w:pStyle w:val="Heading3"/>
        <w:spacing w:before="0"/>
      </w:pPr>
      <w:r>
        <w:rPr>
          <w:color w:val="6460A9"/>
          <w:spacing w:val="-2"/>
        </w:rPr>
        <w:t>Introduction</w:t>
      </w:r>
    </w:p>
    <w:p>
      <w:pPr>
        <w:pStyle w:val="BodyText"/>
        <w:spacing w:line="242" w:lineRule="auto" w:before="128"/>
        <w:ind w:left="272" w:right="274"/>
        <w:jc w:val="both"/>
      </w:pPr>
      <w:r>
        <w:rPr>
          <w:spacing w:val="-2"/>
        </w:rPr>
        <w:t>Comme</w:t>
      </w:r>
      <w:r>
        <w:rPr>
          <w:spacing w:val="-16"/>
        </w:rPr>
        <w:t> </w:t>
      </w:r>
      <w:r>
        <w:rPr>
          <w:spacing w:val="-2"/>
        </w:rPr>
        <w:t>annoncé</w:t>
      </w:r>
      <w:r>
        <w:rPr>
          <w:spacing w:val="-16"/>
        </w:rPr>
        <w:t> </w:t>
      </w:r>
      <w:r>
        <w:rPr>
          <w:spacing w:val="-2"/>
        </w:rPr>
        <w:t>le</w:t>
      </w:r>
      <w:r>
        <w:rPr>
          <w:spacing w:val="-15"/>
        </w:rPr>
        <w:t> </w:t>
      </w:r>
      <w:r>
        <w:rPr>
          <w:spacing w:val="-2"/>
        </w:rPr>
        <w:t>27</w:t>
      </w:r>
      <w:r>
        <w:rPr>
          <w:spacing w:val="-16"/>
        </w:rPr>
        <w:t> </w:t>
      </w:r>
      <w:r>
        <w:rPr>
          <w:spacing w:val="-2"/>
        </w:rPr>
        <w:t>juillet</w:t>
      </w:r>
      <w:r>
        <w:rPr>
          <w:spacing w:val="-15"/>
        </w:rPr>
        <w:t> </w:t>
      </w:r>
      <w:r>
        <w:rPr>
          <w:spacing w:val="-2"/>
        </w:rPr>
        <w:t>2023,</w:t>
      </w:r>
      <w:r>
        <w:rPr>
          <w:spacing w:val="-16"/>
        </w:rPr>
        <w:t> </w:t>
      </w:r>
      <w:r>
        <w:rPr>
          <w:spacing w:val="-2"/>
        </w:rPr>
        <w:t>le</w:t>
      </w:r>
      <w:r>
        <w:rPr>
          <w:spacing w:val="-16"/>
        </w:rPr>
        <w:t> </w:t>
      </w:r>
      <w:r>
        <w:rPr>
          <w:spacing w:val="-2"/>
        </w:rPr>
        <w:t>Groupe</w:t>
      </w:r>
      <w:r>
        <w:rPr>
          <w:spacing w:val="-15"/>
        </w:rPr>
        <w:t> </w:t>
      </w:r>
      <w:r>
        <w:rPr>
          <w:spacing w:val="-2"/>
        </w:rPr>
        <w:t>Casino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poursuivi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5"/>
        </w:rPr>
        <w:t> </w:t>
      </w:r>
      <w:r>
        <w:rPr>
          <w:spacing w:val="-2"/>
        </w:rPr>
        <w:t>négociations</w:t>
      </w:r>
      <w:r>
        <w:rPr>
          <w:spacing w:val="-16"/>
        </w:rPr>
        <w:t> </w:t>
      </w:r>
      <w:r>
        <w:rPr>
          <w:spacing w:val="-2"/>
        </w:rPr>
        <w:t>avec</w:t>
      </w:r>
      <w:r>
        <w:rPr>
          <w:spacing w:val="-16"/>
        </w:rPr>
        <w:t> </w:t>
      </w:r>
      <w:r>
        <w:rPr>
          <w:spacing w:val="-2"/>
        </w:rPr>
        <w:t>le</w:t>
      </w:r>
      <w:r>
        <w:rPr>
          <w:spacing w:val="-15"/>
        </w:rPr>
        <w:t> </w:t>
      </w:r>
      <w:r>
        <w:rPr>
          <w:spacing w:val="-2"/>
        </w:rPr>
        <w:t>groupe</w:t>
      </w:r>
      <w:r>
        <w:rPr>
          <w:spacing w:val="-16"/>
        </w:rPr>
        <w:t> </w:t>
      </w:r>
      <w:r>
        <w:rPr>
          <w:spacing w:val="-2"/>
        </w:rPr>
        <w:t>ad </w:t>
      </w:r>
      <w:r>
        <w:rPr>
          <w:spacing w:val="-8"/>
        </w:rPr>
        <w:t>hoc des porteurs des obligations senior sécurisées émises par Quatrim</w:t>
      </w:r>
      <w:r>
        <w:rPr>
          <w:spacing w:val="-1"/>
        </w:rPr>
        <w:t> </w:t>
      </w:r>
      <w:r>
        <w:rPr>
          <w:spacing w:val="-8"/>
        </w:rPr>
        <w:t>(les «</w:t>
      </w:r>
      <w:r>
        <w:rPr/>
        <w:t> </w:t>
      </w:r>
      <w:r>
        <w:rPr>
          <w:spacing w:val="-8"/>
        </w:rPr>
        <w:t>SSN</w:t>
      </w:r>
      <w:r>
        <w:rPr>
          <w:spacing w:val="-10"/>
        </w:rPr>
        <w:t> </w:t>
      </w:r>
      <w:r>
        <w:rPr>
          <w:spacing w:val="-8"/>
        </w:rPr>
        <w:t>») représentant une </w:t>
      </w:r>
      <w:r>
        <w:rPr/>
        <w:t>majorité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porteurs</w:t>
      </w:r>
      <w:r>
        <w:rPr>
          <w:spacing w:val="-12"/>
        </w:rPr>
        <w:t> </w:t>
      </w:r>
      <w:r>
        <w:rPr/>
        <w:t>d'obligations</w:t>
      </w:r>
      <w:r>
        <w:rPr>
          <w:spacing w:val="-12"/>
        </w:rPr>
        <w:t> </w:t>
      </w:r>
      <w:r>
        <w:rPr/>
        <w:t>(le</w:t>
      </w:r>
      <w:r>
        <w:rPr>
          <w:spacing w:val="-11"/>
        </w:rPr>
        <w:t> </w:t>
      </w:r>
      <w:r>
        <w:rPr/>
        <w:t>«</w:t>
      </w:r>
      <w:r>
        <w:rPr>
          <w:spacing w:val="-12"/>
        </w:rPr>
        <w:t> </w:t>
      </w:r>
      <w:r>
        <w:rPr/>
        <w:t>Groupe</w:t>
      </w:r>
      <w:r>
        <w:rPr>
          <w:spacing w:val="-11"/>
        </w:rPr>
        <w:t> </w:t>
      </w:r>
      <w:r>
        <w:rPr/>
        <w:t>Ad</w:t>
      </w:r>
      <w:r>
        <w:rPr>
          <w:spacing w:val="-11"/>
        </w:rPr>
        <w:t> </w:t>
      </w:r>
      <w:r>
        <w:rPr/>
        <w:t>Hoc</w:t>
      </w:r>
      <w:r>
        <w:rPr>
          <w:spacing w:val="-11"/>
        </w:rPr>
        <w:t> </w:t>
      </w:r>
      <w:r>
        <w:rPr/>
        <w:t>»)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vue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convenir</w:t>
      </w:r>
      <w:r>
        <w:rPr>
          <w:spacing w:val="-11"/>
        </w:rPr>
        <w:t> </w:t>
      </w:r>
      <w:r>
        <w:rPr/>
        <w:t>du</w:t>
      </w:r>
      <w:r>
        <w:rPr>
          <w:spacing w:val="-12"/>
        </w:rPr>
        <w:t> </w:t>
      </w:r>
      <w:r>
        <w:rPr/>
        <w:t>traitement</w:t>
      </w:r>
      <w:r>
        <w:rPr>
          <w:spacing w:val="-11"/>
        </w:rPr>
        <w:t> </w:t>
      </w:r>
      <w:r>
        <w:rPr/>
        <w:t>des obligations</w:t>
      </w:r>
      <w:r>
        <w:rPr>
          <w:spacing w:val="-18"/>
        </w:rPr>
        <w:t> </w:t>
      </w:r>
      <w:r>
        <w:rPr/>
        <w:t>Quatrim</w:t>
      </w:r>
      <w:r>
        <w:rPr>
          <w:spacing w:val="-18"/>
        </w:rPr>
        <w:t> </w:t>
      </w:r>
      <w:r>
        <w:rPr/>
        <w:t>dans</w:t>
      </w:r>
      <w:r>
        <w:rPr>
          <w:spacing w:val="-17"/>
        </w:rPr>
        <w:t> </w:t>
      </w:r>
      <w:r>
        <w:rPr/>
        <w:t>le</w:t>
      </w:r>
      <w:r>
        <w:rPr>
          <w:spacing w:val="-18"/>
        </w:rPr>
        <w:t> </w:t>
      </w:r>
      <w:r>
        <w:rPr/>
        <w:t>cadre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l'accord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principe</w:t>
      </w:r>
      <w:r>
        <w:rPr>
          <w:spacing w:val="-17"/>
        </w:rPr>
        <w:t> </w:t>
      </w:r>
      <w:r>
        <w:rPr/>
        <w:t>conclu</w:t>
      </w:r>
      <w:r>
        <w:rPr>
          <w:spacing w:val="-18"/>
        </w:rPr>
        <w:t> </w:t>
      </w:r>
      <w:r>
        <w:rPr/>
        <w:t>le</w:t>
      </w:r>
      <w:r>
        <w:rPr>
          <w:spacing w:val="-17"/>
        </w:rPr>
        <w:t> </w:t>
      </w:r>
      <w:r>
        <w:rPr/>
        <w:t>27</w:t>
      </w:r>
      <w:r>
        <w:rPr>
          <w:spacing w:val="-17"/>
        </w:rPr>
        <w:t> </w:t>
      </w:r>
      <w:r>
        <w:rPr/>
        <w:t>juillet</w:t>
      </w:r>
      <w:r>
        <w:rPr>
          <w:spacing w:val="-16"/>
        </w:rPr>
        <w:t> </w:t>
      </w:r>
      <w:r>
        <w:rPr/>
        <w:t>2023</w:t>
      </w:r>
      <w:r>
        <w:rPr>
          <w:spacing w:val="-17"/>
        </w:rPr>
        <w:t> </w:t>
      </w:r>
      <w:r>
        <w:rPr/>
        <w:t>par</w:t>
      </w:r>
      <w:r>
        <w:rPr>
          <w:spacing w:val="-17"/>
        </w:rPr>
        <w:t> </w:t>
      </w:r>
      <w:r>
        <w:rPr/>
        <w:t>Casino</w:t>
      </w:r>
      <w:r>
        <w:rPr>
          <w:spacing w:val="-18"/>
        </w:rPr>
        <w:t> </w:t>
      </w:r>
      <w:r>
        <w:rPr/>
        <w:t>avec </w:t>
      </w:r>
      <w:r>
        <w:rPr>
          <w:spacing w:val="-2"/>
        </w:rPr>
        <w:t>EP</w:t>
      </w:r>
      <w:r>
        <w:rPr>
          <w:spacing w:val="-16"/>
        </w:rPr>
        <w:t> </w:t>
      </w:r>
      <w:r>
        <w:rPr>
          <w:spacing w:val="-2"/>
        </w:rPr>
        <w:t>Global</w:t>
      </w:r>
      <w:r>
        <w:rPr>
          <w:spacing w:val="-15"/>
        </w:rPr>
        <w:t> </w:t>
      </w:r>
      <w:r>
        <w:rPr>
          <w:spacing w:val="-2"/>
        </w:rPr>
        <w:t>Commerce</w:t>
      </w:r>
      <w:r>
        <w:rPr>
          <w:spacing w:val="-15"/>
        </w:rPr>
        <w:t> </w:t>
      </w:r>
      <w:r>
        <w:rPr>
          <w:spacing w:val="-2"/>
        </w:rPr>
        <w:t>a.s.,</w:t>
      </w:r>
      <w:r>
        <w:rPr>
          <w:spacing w:val="-16"/>
        </w:rPr>
        <w:t> </w:t>
      </w:r>
      <w:r>
        <w:rPr>
          <w:spacing w:val="-2"/>
        </w:rPr>
        <w:t>Fimalac,</w:t>
      </w:r>
      <w:r>
        <w:rPr>
          <w:spacing w:val="-13"/>
        </w:rPr>
        <w:t> </w:t>
      </w:r>
      <w:r>
        <w:rPr>
          <w:spacing w:val="-2"/>
        </w:rPr>
        <w:t>Attestor</w:t>
      </w:r>
      <w:r>
        <w:rPr>
          <w:spacing w:val="-13"/>
        </w:rPr>
        <w:t> </w:t>
      </w:r>
      <w:r>
        <w:rPr>
          <w:spacing w:val="-2"/>
        </w:rPr>
        <w:t>(ci-après</w:t>
      </w:r>
      <w:r>
        <w:rPr>
          <w:spacing w:val="-16"/>
        </w:rPr>
        <w:t> </w:t>
      </w:r>
      <w:r>
        <w:rPr>
          <w:spacing w:val="-2"/>
        </w:rPr>
        <w:t>collectivement</w:t>
      </w:r>
      <w:r>
        <w:rPr>
          <w:spacing w:val="-15"/>
        </w:rPr>
        <w:t> </w:t>
      </w:r>
      <w:r>
        <w:rPr>
          <w:spacing w:val="-2"/>
        </w:rPr>
        <w:t>le</w:t>
      </w:r>
      <w:r>
        <w:rPr>
          <w:spacing w:val="-15"/>
        </w:rPr>
        <w:t> </w:t>
      </w:r>
      <w:r>
        <w:rPr>
          <w:spacing w:val="-2"/>
        </w:rPr>
        <w:t>«</w:t>
      </w:r>
      <w:r>
        <w:rPr>
          <w:spacing w:val="-16"/>
        </w:rPr>
        <w:t> </w:t>
      </w:r>
      <w:r>
        <w:rPr>
          <w:spacing w:val="-2"/>
        </w:rPr>
        <w:t>Consortium</w:t>
      </w:r>
      <w:r>
        <w:rPr>
          <w:spacing w:val="-15"/>
        </w:rPr>
        <w:t> </w:t>
      </w:r>
      <w:r>
        <w:rPr>
          <w:spacing w:val="-2"/>
        </w:rPr>
        <w:t>»)</w:t>
      </w:r>
      <w:r>
        <w:rPr>
          <w:spacing w:val="-16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certains </w:t>
      </w:r>
      <w:r>
        <w:rPr/>
        <w:t>créanciers</w:t>
      </w:r>
      <w:r>
        <w:rPr>
          <w:spacing w:val="-18"/>
        </w:rPr>
        <w:t> </w:t>
      </w:r>
      <w:r>
        <w:rPr/>
        <w:t>titulaires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sûretés</w:t>
      </w:r>
    </w:p>
    <w:p>
      <w:pPr>
        <w:pStyle w:val="BodyText"/>
        <w:spacing w:line="242" w:lineRule="auto" w:before="118"/>
        <w:ind w:left="272" w:right="274"/>
        <w:jc w:val="both"/>
      </w:pPr>
      <w:r>
        <w:rPr/>
        <w:t>Quatrim</w:t>
      </w:r>
      <w:r>
        <w:rPr>
          <w:spacing w:val="-1"/>
        </w:rPr>
        <w:t> </w:t>
      </w:r>
      <w:r>
        <w:rPr/>
        <w:t>détient</w:t>
      </w:r>
      <w:r>
        <w:rPr>
          <w:spacing w:val="-2"/>
        </w:rPr>
        <w:t> </w:t>
      </w:r>
      <w:r>
        <w:rPr/>
        <w:t>100%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d’Immobilière</w:t>
      </w:r>
      <w:r>
        <w:rPr>
          <w:spacing w:val="-3"/>
        </w:rPr>
        <w:t> </w:t>
      </w:r>
      <w:r>
        <w:rPr/>
        <w:t>Groupe</w:t>
      </w:r>
      <w:r>
        <w:rPr>
          <w:spacing w:val="-1"/>
        </w:rPr>
        <w:t> </w:t>
      </w:r>
      <w:r>
        <w:rPr/>
        <w:t>Casino</w:t>
      </w:r>
      <w:r>
        <w:rPr>
          <w:spacing w:val="-1"/>
        </w:rPr>
        <w:t> </w:t>
      </w:r>
      <w:r>
        <w:rPr/>
        <w:t>("IGC"),</w:t>
      </w:r>
      <w:r>
        <w:rPr>
          <w:spacing w:val="-1"/>
        </w:rPr>
        <w:t> </w:t>
      </w:r>
      <w:r>
        <w:rPr/>
        <w:t>une</w:t>
      </w:r>
      <w:r>
        <w:rPr>
          <w:spacing w:val="-1"/>
        </w:rPr>
        <w:t> </w:t>
      </w:r>
      <w:r>
        <w:rPr/>
        <w:t>entité</w:t>
      </w:r>
      <w:r>
        <w:rPr>
          <w:spacing w:val="-3"/>
        </w:rPr>
        <w:t> </w:t>
      </w:r>
      <w:r>
        <w:rPr/>
        <w:t>chargée</w:t>
      </w:r>
      <w:r>
        <w:rPr>
          <w:spacing w:val="-1"/>
        </w:rPr>
        <w:t> </w:t>
      </w:r>
      <w:r>
        <w:rPr/>
        <w:t>du développement et de la gestion de biens immobiliers, notamment des hypermarchés, des supermarchés,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magasins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proximité,</w:t>
      </w:r>
      <w:r>
        <w:rPr>
          <w:spacing w:val="-2"/>
        </w:rPr>
        <w:t> </w:t>
      </w:r>
      <w:r>
        <w:rPr/>
        <w:t>des centres</w:t>
      </w:r>
      <w:r>
        <w:rPr>
          <w:spacing w:val="-2"/>
        </w:rPr>
        <w:t> </w:t>
      </w:r>
      <w:r>
        <w:rPr/>
        <w:t>commerciaux,</w:t>
      </w:r>
      <w:r>
        <w:rPr>
          <w:spacing w:val="-1"/>
        </w:rPr>
        <w:t> </w:t>
      </w:r>
      <w:r>
        <w:rPr/>
        <w:t>des stations-service,</w:t>
      </w:r>
      <w:r>
        <w:rPr>
          <w:spacing w:val="-3"/>
        </w:rPr>
        <w:t> </w:t>
      </w:r>
      <w:r>
        <w:rPr/>
        <w:t>des parkings</w:t>
      </w:r>
      <w:r>
        <w:rPr>
          <w:spacing w:val="-12"/>
        </w:rPr>
        <w:t> </w:t>
      </w:r>
      <w:r>
        <w:rPr/>
        <w:t>et</w:t>
      </w:r>
      <w:r>
        <w:rPr>
          <w:spacing w:val="-10"/>
        </w:rPr>
        <w:t> </w:t>
      </w:r>
      <w:r>
        <w:rPr/>
        <w:t>des</w:t>
      </w:r>
      <w:r>
        <w:rPr>
          <w:spacing w:val="-12"/>
        </w:rPr>
        <w:t> </w:t>
      </w:r>
      <w:r>
        <w:rPr/>
        <w:t>terrains</w:t>
      </w:r>
    </w:p>
    <w:p>
      <w:pPr>
        <w:pStyle w:val="BodyText"/>
        <w:spacing w:before="120"/>
        <w:ind w:left="272" w:right="283"/>
        <w:jc w:val="both"/>
        <w:rPr>
          <w:sz w:val="13"/>
        </w:rPr>
      </w:pPr>
      <w:r>
        <w:rPr>
          <w:spacing w:val="-6"/>
        </w:rPr>
        <w:t>Au 31/12/2022,</w:t>
      </w:r>
      <w:r>
        <w:rPr>
          <w:spacing w:val="-9"/>
        </w:rPr>
        <w:t> </w:t>
      </w:r>
      <w:r>
        <w:rPr>
          <w:spacing w:val="-6"/>
        </w:rPr>
        <w:t>les actifs du périmètre Quatrim étaient évalués à c.752 M€1 et les actifs immobiliers </w:t>
      </w:r>
      <w:r>
        <w:rPr/>
        <w:t>de CPF étaient évalués à c.64 M€</w:t>
      </w:r>
      <w:r>
        <w:rPr>
          <w:position w:val="5"/>
          <w:sz w:val="13"/>
        </w:rPr>
        <w:t>1</w:t>
      </w:r>
    </w:p>
    <w:p>
      <w:pPr>
        <w:pStyle w:val="BodyText"/>
        <w:spacing w:before="123"/>
        <w:ind w:left="272" w:right="273"/>
        <w:jc w:val="both"/>
      </w:pP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plupart</w:t>
      </w:r>
      <w:r>
        <w:rPr>
          <w:spacing w:val="-10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biens</w:t>
      </w:r>
      <w:r>
        <w:rPr>
          <w:spacing w:val="-15"/>
        </w:rPr>
        <w:t> </w:t>
      </w:r>
      <w:r>
        <w:rPr>
          <w:spacing w:val="-2"/>
        </w:rPr>
        <w:t>immobiliers</w:t>
      </w:r>
      <w:r>
        <w:rPr>
          <w:spacing w:val="-13"/>
        </w:rPr>
        <w:t> </w:t>
      </w:r>
      <w:r>
        <w:rPr>
          <w:spacing w:val="-2"/>
        </w:rPr>
        <w:t>détenus</w:t>
      </w:r>
      <w:r>
        <w:rPr>
          <w:spacing w:val="-13"/>
        </w:rPr>
        <w:t> </w:t>
      </w:r>
      <w:r>
        <w:rPr>
          <w:spacing w:val="-2"/>
        </w:rPr>
        <w:t>par</w:t>
      </w:r>
      <w:r>
        <w:rPr>
          <w:spacing w:val="-15"/>
        </w:rPr>
        <w:t> </w:t>
      </w:r>
      <w:r>
        <w:rPr>
          <w:spacing w:val="-2"/>
        </w:rPr>
        <w:t>IGC</w:t>
      </w:r>
      <w:r>
        <w:rPr>
          <w:spacing w:val="-14"/>
        </w:rPr>
        <w:t> </w:t>
      </w:r>
      <w:r>
        <w:rPr>
          <w:spacing w:val="-2"/>
        </w:rPr>
        <w:t>sont</w:t>
      </w:r>
      <w:r>
        <w:rPr>
          <w:spacing w:val="-11"/>
        </w:rPr>
        <w:t> </w:t>
      </w:r>
      <w:r>
        <w:rPr>
          <w:spacing w:val="-2"/>
        </w:rPr>
        <w:t>loués</w:t>
      </w:r>
      <w:r>
        <w:rPr>
          <w:spacing w:val="-13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5"/>
        </w:rPr>
        <w:t> </w:t>
      </w:r>
      <w:r>
        <w:rPr>
          <w:spacing w:val="-2"/>
        </w:rPr>
        <w:t>magasins</w:t>
      </w:r>
      <w:r>
        <w:rPr>
          <w:spacing w:val="-13"/>
        </w:rPr>
        <w:t> </w:t>
      </w:r>
      <w:r>
        <w:rPr>
          <w:spacing w:val="-2"/>
        </w:rPr>
        <w:t>sous</w:t>
      </w:r>
      <w:r>
        <w:rPr>
          <w:spacing w:val="-13"/>
        </w:rPr>
        <w:t> </w:t>
      </w:r>
      <w:r>
        <w:rPr>
          <w:spacing w:val="-2"/>
        </w:rPr>
        <w:t>enseigne</w:t>
      </w:r>
      <w:r>
        <w:rPr>
          <w:spacing w:val="-12"/>
        </w:rPr>
        <w:t> </w:t>
      </w:r>
      <w:r>
        <w:rPr>
          <w:spacing w:val="-2"/>
        </w:rPr>
        <w:t>Casino </w:t>
      </w:r>
      <w:r>
        <w:rPr/>
        <w:t>France ou à des tiers</w:t>
      </w:r>
    </w:p>
    <w:p>
      <w:pPr>
        <w:pStyle w:val="BodyText"/>
        <w:spacing w:line="242" w:lineRule="auto" w:before="124"/>
        <w:ind w:left="272" w:right="269"/>
        <w:jc w:val="both"/>
      </w:pPr>
      <w:r>
        <w:rPr/>
        <w:t>Casino,</w:t>
      </w:r>
      <w:r>
        <w:rPr>
          <w:spacing w:val="-18"/>
        </w:rPr>
        <w:t> </w:t>
      </w:r>
      <w:r>
        <w:rPr/>
        <w:t>le</w:t>
      </w:r>
      <w:r>
        <w:rPr>
          <w:spacing w:val="-18"/>
        </w:rPr>
        <w:t> </w:t>
      </w:r>
      <w:r>
        <w:rPr/>
        <w:t>Consortium</w:t>
      </w:r>
      <w:r>
        <w:rPr>
          <w:spacing w:val="-17"/>
        </w:rPr>
        <w:t> </w:t>
      </w:r>
      <w:r>
        <w:rPr/>
        <w:t>et</w:t>
      </w:r>
      <w:r>
        <w:rPr>
          <w:spacing w:val="-18"/>
        </w:rPr>
        <w:t> </w:t>
      </w:r>
      <w:r>
        <w:rPr/>
        <w:t>le</w:t>
      </w:r>
      <w:r>
        <w:rPr>
          <w:spacing w:val="-17"/>
        </w:rPr>
        <w:t> </w:t>
      </w:r>
      <w:r>
        <w:rPr/>
        <w:t>steering</w:t>
      </w:r>
      <w:r>
        <w:rPr>
          <w:spacing w:val="-18"/>
        </w:rPr>
        <w:t> </w:t>
      </w:r>
      <w:r>
        <w:rPr/>
        <w:t>committee</w:t>
      </w:r>
      <w:r>
        <w:rPr>
          <w:spacing w:val="-17"/>
        </w:rPr>
        <w:t> </w:t>
      </w:r>
      <w:r>
        <w:rPr/>
        <w:t>du</w:t>
      </w:r>
      <w:r>
        <w:rPr>
          <w:spacing w:val="-18"/>
        </w:rPr>
        <w:t> </w:t>
      </w:r>
      <w:r>
        <w:rPr/>
        <w:t>Groupe</w:t>
      </w:r>
      <w:r>
        <w:rPr>
          <w:spacing w:val="-14"/>
        </w:rPr>
        <w:t> </w:t>
      </w:r>
      <w:r>
        <w:rPr/>
        <w:t>Ad</w:t>
      </w:r>
      <w:r>
        <w:rPr>
          <w:spacing w:val="-18"/>
        </w:rPr>
        <w:t> </w:t>
      </w:r>
      <w:r>
        <w:rPr/>
        <w:t>Hoc</w:t>
      </w:r>
      <w:r>
        <w:rPr>
          <w:spacing w:val="-18"/>
        </w:rPr>
        <w:t> </w:t>
      </w:r>
      <w:r>
        <w:rPr/>
        <w:t>sont</w:t>
      </w:r>
      <w:r>
        <w:rPr>
          <w:spacing w:val="-16"/>
        </w:rPr>
        <w:t> </w:t>
      </w:r>
      <w:r>
        <w:rPr/>
        <w:t>maintenant</w:t>
      </w:r>
      <w:r>
        <w:rPr>
          <w:spacing w:val="-17"/>
        </w:rPr>
        <w:t> </w:t>
      </w:r>
      <w:r>
        <w:rPr/>
        <w:t>parvenus</w:t>
      </w:r>
      <w:r>
        <w:rPr>
          <w:spacing w:val="-18"/>
        </w:rPr>
        <w:t> </w:t>
      </w:r>
      <w:r>
        <w:rPr/>
        <w:t>à</w:t>
      </w:r>
      <w:r>
        <w:rPr>
          <w:spacing w:val="-18"/>
        </w:rPr>
        <w:t> </w:t>
      </w:r>
      <w:r>
        <w:rPr/>
        <w:t>un </w:t>
      </w:r>
      <w:r>
        <w:rPr>
          <w:spacing w:val="-2"/>
        </w:rPr>
        <w:t>accord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principe</w:t>
      </w:r>
      <w:r>
        <w:rPr>
          <w:spacing w:val="-14"/>
        </w:rPr>
        <w:t> </w:t>
      </w:r>
      <w:r>
        <w:rPr>
          <w:spacing w:val="-2"/>
        </w:rPr>
        <w:t>reflété</w:t>
      </w:r>
      <w:r>
        <w:rPr>
          <w:spacing w:val="-14"/>
        </w:rPr>
        <w:t> </w:t>
      </w:r>
      <w:r>
        <w:rPr>
          <w:spacing w:val="-2"/>
        </w:rPr>
        <w:t>dans</w:t>
      </w:r>
      <w:r>
        <w:rPr>
          <w:spacing w:val="-12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sheet</w:t>
      </w:r>
      <w:r>
        <w:rPr>
          <w:spacing w:val="-12"/>
        </w:rPr>
        <w:t> </w:t>
      </w:r>
      <w:r>
        <w:rPr>
          <w:spacing w:val="-2"/>
        </w:rPr>
        <w:t>qui</w:t>
      </w:r>
      <w:r>
        <w:rPr>
          <w:spacing w:val="-10"/>
        </w:rPr>
        <w:t> </w:t>
      </w:r>
      <w:r>
        <w:rPr>
          <w:spacing w:val="-2"/>
        </w:rPr>
        <w:t>est</w:t>
      </w:r>
      <w:r>
        <w:rPr>
          <w:spacing w:val="-12"/>
        </w:rPr>
        <w:t> </w:t>
      </w:r>
      <w:r>
        <w:rPr>
          <w:spacing w:val="-2"/>
        </w:rPr>
        <w:t>destiné</w:t>
      </w:r>
      <w:r>
        <w:rPr>
          <w:spacing w:val="-14"/>
        </w:rPr>
        <w:t> </w:t>
      </w:r>
      <w:r>
        <w:rPr>
          <w:spacing w:val="-2"/>
        </w:rPr>
        <w:t>à</w:t>
      </w:r>
      <w:r>
        <w:rPr>
          <w:spacing w:val="-13"/>
        </w:rPr>
        <w:t> </w:t>
      </w:r>
      <w:r>
        <w:rPr>
          <w:spacing w:val="-2"/>
        </w:rPr>
        <w:t>être</w:t>
      </w:r>
      <w:r>
        <w:rPr>
          <w:spacing w:val="-14"/>
        </w:rPr>
        <w:t> </w:t>
      </w:r>
      <w:r>
        <w:rPr>
          <w:spacing w:val="-2"/>
        </w:rPr>
        <w:t>annexé</w:t>
      </w:r>
      <w:r>
        <w:rPr>
          <w:spacing w:val="-14"/>
        </w:rPr>
        <w:t> </w:t>
      </w:r>
      <w:r>
        <w:rPr>
          <w:spacing w:val="-2"/>
        </w:rPr>
        <w:t>au</w:t>
      </w:r>
      <w:r>
        <w:rPr>
          <w:spacing w:val="-13"/>
        </w:rPr>
        <w:t> </w:t>
      </w:r>
      <w:r>
        <w:rPr>
          <w:spacing w:val="-2"/>
        </w:rPr>
        <w:t>lock-up</w:t>
      </w:r>
      <w:r>
        <w:rPr>
          <w:spacing w:val="-10"/>
        </w:rPr>
        <w:t> </w:t>
      </w:r>
      <w:r>
        <w:rPr>
          <w:spacing w:val="-2"/>
        </w:rPr>
        <w:t>agreement. </w:t>
      </w:r>
      <w:r>
        <w:rPr/>
        <w:t>Les</w:t>
      </w:r>
      <w:r>
        <w:rPr>
          <w:spacing w:val="-14"/>
        </w:rPr>
        <w:t> </w:t>
      </w:r>
      <w:r>
        <w:rPr/>
        <w:t>principaux</w:t>
      </w:r>
      <w:r>
        <w:rPr>
          <w:spacing w:val="-14"/>
        </w:rPr>
        <w:t> </w:t>
      </w:r>
      <w:r>
        <w:rPr/>
        <w:t>termes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cet</w:t>
      </w:r>
      <w:r>
        <w:rPr>
          <w:spacing w:val="-12"/>
        </w:rPr>
        <w:t> </w:t>
      </w:r>
      <w:r>
        <w:rPr/>
        <w:t>accord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principe</w:t>
      </w:r>
      <w:r>
        <w:rPr>
          <w:spacing w:val="-17"/>
        </w:rPr>
        <w:t> </w:t>
      </w:r>
      <w:r>
        <w:rPr/>
        <w:t>sont</w:t>
      </w:r>
      <w:r>
        <w:rPr>
          <w:spacing w:val="-12"/>
        </w:rPr>
        <w:t> </w:t>
      </w:r>
      <w:r>
        <w:rPr/>
        <w:t>résumés</w:t>
      </w:r>
      <w:r>
        <w:rPr>
          <w:spacing w:val="-14"/>
        </w:rPr>
        <w:t> </w:t>
      </w:r>
      <w:r>
        <w:rPr/>
        <w:t>dans</w:t>
      </w:r>
      <w:r>
        <w:rPr>
          <w:spacing w:val="-14"/>
        </w:rPr>
        <w:t> </w:t>
      </w:r>
      <w:r>
        <w:rPr/>
        <w:t>le</w:t>
      </w:r>
      <w:r>
        <w:rPr>
          <w:spacing w:val="-13"/>
        </w:rPr>
        <w:t> </w:t>
      </w:r>
      <w:r>
        <w:rPr/>
        <w:t>présent</w:t>
      </w:r>
      <w:r>
        <w:rPr>
          <w:spacing w:val="-12"/>
        </w:rPr>
        <w:t> </w:t>
      </w:r>
      <w:r>
        <w:rPr/>
        <w:t>document.</w:t>
      </w:r>
    </w:p>
    <w:p>
      <w:pPr>
        <w:pStyle w:val="BodyText"/>
        <w:spacing w:line="242" w:lineRule="auto" w:before="120"/>
        <w:ind w:left="272" w:right="268"/>
        <w:jc w:val="both"/>
      </w:pPr>
      <w:r>
        <w:rPr/>
        <w:t>Le</w:t>
      </w:r>
      <w:r>
        <w:rPr>
          <w:spacing w:val="-4"/>
        </w:rPr>
        <w:t> </w:t>
      </w:r>
      <w:r>
        <w:rPr/>
        <w:t>traitement</w:t>
      </w:r>
      <w:r>
        <w:rPr>
          <w:spacing w:val="-2"/>
        </w:rPr>
        <w:t> </w:t>
      </w:r>
      <w:r>
        <w:rPr/>
        <w:t>des</w:t>
      </w:r>
      <w:r>
        <w:rPr>
          <w:spacing w:val="-4"/>
        </w:rPr>
        <w:t> </w:t>
      </w:r>
      <w:r>
        <w:rPr/>
        <w:t>SSN</w:t>
      </w:r>
      <w:r>
        <w:rPr>
          <w:spacing w:val="-2"/>
        </w:rPr>
        <w:t> </w:t>
      </w:r>
      <w:r>
        <w:rPr/>
        <w:t>(encours</w:t>
      </w:r>
      <w:r>
        <w:rPr>
          <w:spacing w:val="-4"/>
        </w:rPr>
        <w:t> </w:t>
      </w:r>
      <w:r>
        <w:rPr/>
        <w:t>nominal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553</w:t>
      </w:r>
      <w:r>
        <w:rPr>
          <w:spacing w:val="-4"/>
        </w:rPr>
        <w:t> </w:t>
      </w:r>
      <w:r>
        <w:rPr/>
        <w:t>M€)</w:t>
      </w:r>
      <w:r>
        <w:rPr>
          <w:spacing w:val="-5"/>
        </w:rPr>
        <w:t> </w:t>
      </w:r>
      <w:r>
        <w:rPr/>
        <w:t>comprend</w:t>
      </w:r>
      <w:r>
        <w:rPr>
          <w:spacing w:val="-3"/>
        </w:rPr>
        <w:t> </w:t>
      </w:r>
      <w:r>
        <w:rPr/>
        <w:t>notamment</w:t>
      </w:r>
      <w:r>
        <w:rPr>
          <w:spacing w:val="-2"/>
        </w:rPr>
        <w:t> </w:t>
      </w:r>
      <w:r>
        <w:rPr/>
        <w:t>une</w:t>
      </w:r>
      <w:r>
        <w:rPr>
          <w:spacing w:val="-4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 maturité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janvier</w:t>
      </w:r>
      <w:r>
        <w:rPr>
          <w:spacing w:val="-8"/>
        </w:rPr>
        <w:t> </w:t>
      </w:r>
      <w:r>
        <w:rPr/>
        <w:t>2027</w:t>
      </w:r>
      <w:r>
        <w:rPr>
          <w:spacing w:val="-7"/>
        </w:rPr>
        <w:t> </w:t>
      </w:r>
      <w:r>
        <w:rPr/>
        <w:t>(avec</w:t>
      </w:r>
      <w:r>
        <w:rPr>
          <w:spacing w:val="-8"/>
        </w:rPr>
        <w:t> </w:t>
      </w:r>
      <w:r>
        <w:rPr/>
        <w:t>une</w:t>
      </w:r>
      <w:r>
        <w:rPr>
          <w:spacing w:val="-7"/>
        </w:rPr>
        <w:t> </w:t>
      </w:r>
      <w:r>
        <w:rPr/>
        <w:t>option</w:t>
      </w:r>
      <w:r>
        <w:rPr>
          <w:spacing w:val="-8"/>
        </w:rPr>
        <w:t> </w:t>
      </w:r>
      <w:r>
        <w:rPr/>
        <w:t>d'extension</w:t>
      </w:r>
      <w:r>
        <w:rPr>
          <w:spacing w:val="-8"/>
        </w:rPr>
        <w:t> </w:t>
      </w:r>
      <w:r>
        <w:rPr/>
        <w:t>supplémentaire</w:t>
      </w:r>
      <w:r>
        <w:rPr>
          <w:spacing w:val="-8"/>
        </w:rPr>
        <w:t> </w:t>
      </w:r>
      <w:r>
        <w:rPr/>
        <w:t>d'un</w:t>
      </w:r>
      <w:r>
        <w:rPr>
          <w:spacing w:val="-8"/>
        </w:rPr>
        <w:t> </w:t>
      </w:r>
      <w:r>
        <w:rPr/>
        <w:t>an),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passage</w:t>
      </w:r>
      <w:r>
        <w:rPr>
          <w:spacing w:val="-7"/>
        </w:rPr>
        <w:t> </w:t>
      </w:r>
      <w:r>
        <w:rPr/>
        <w:t>à un </w:t>
      </w:r>
      <w:r>
        <w:rPr>
          <w:spacing w:val="-6"/>
        </w:rPr>
        <w:t>coupon</w:t>
      </w:r>
      <w:r>
        <w:rPr>
          <w:spacing w:val="-8"/>
        </w:rPr>
        <w:t> </w:t>
      </w:r>
      <w:r>
        <w:rPr>
          <w:spacing w:val="-6"/>
        </w:rPr>
        <w:t>PIYC</w:t>
      </w:r>
      <w:r>
        <w:rPr>
          <w:spacing w:val="-8"/>
        </w:rPr>
        <w:t> </w:t>
      </w:r>
      <w:r>
        <w:rPr>
          <w:spacing w:val="-6"/>
        </w:rPr>
        <w:t>de 8,5 %,</w:t>
      </w:r>
      <w:r>
        <w:rPr>
          <w:spacing w:val="-8"/>
        </w:rPr>
        <w:t> </w:t>
      </w:r>
      <w:r>
        <w:rPr>
          <w:spacing w:val="-6"/>
        </w:rPr>
        <w:t>l’affectation</w:t>
      </w:r>
      <w:r>
        <w:rPr>
          <w:spacing w:val="-8"/>
        </w:rPr>
        <w:t> </w:t>
      </w:r>
      <w:r>
        <w:rPr>
          <w:spacing w:val="-6"/>
        </w:rPr>
        <w:t>des</w:t>
      </w:r>
      <w:r>
        <w:rPr>
          <w:spacing w:val="-8"/>
        </w:rPr>
        <w:t> </w:t>
      </w:r>
      <w:r>
        <w:rPr>
          <w:spacing w:val="-6"/>
        </w:rPr>
        <w:t>produits</w:t>
      </w:r>
      <w:r>
        <w:rPr>
          <w:spacing w:val="-9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cessions et une séparation</w:t>
      </w:r>
      <w:r>
        <w:rPr>
          <w:spacing w:val="-8"/>
        </w:rPr>
        <w:t> </w:t>
      </w:r>
      <w:r>
        <w:rPr>
          <w:spacing w:val="-6"/>
        </w:rPr>
        <w:t>du périmètre Quatrim </w:t>
      </w:r>
      <w:r>
        <w:rPr/>
        <w:t>(ring-fencing),</w:t>
      </w:r>
      <w:r>
        <w:rPr>
          <w:spacing w:val="-12"/>
        </w:rPr>
        <w:t> </w:t>
      </w:r>
      <w:r>
        <w:rPr/>
        <w:t>les</w:t>
      </w:r>
      <w:r>
        <w:rPr>
          <w:spacing w:val="-9"/>
        </w:rPr>
        <w:t> </w:t>
      </w:r>
      <w:r>
        <w:rPr/>
        <w:t>SSN</w:t>
      </w:r>
      <w:r>
        <w:rPr>
          <w:spacing w:val="-10"/>
        </w:rPr>
        <w:t> </w:t>
      </w:r>
      <w:r>
        <w:rPr/>
        <w:t>ayant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recours</w:t>
      </w:r>
      <w:r>
        <w:rPr>
          <w:spacing w:val="-9"/>
        </w:rPr>
        <w:t> </w:t>
      </w:r>
      <w:r>
        <w:rPr/>
        <w:t>limité</w:t>
      </w:r>
      <w:r>
        <w:rPr>
          <w:spacing w:val="-10"/>
        </w:rPr>
        <w:t> </w:t>
      </w:r>
      <w:r>
        <w:rPr/>
        <w:t>contre</w:t>
      </w:r>
      <w:r>
        <w:rPr>
          <w:spacing w:val="-10"/>
        </w:rPr>
        <w:t> </w:t>
      </w:r>
      <w:r>
        <w:rPr/>
        <w:t>les</w:t>
      </w:r>
      <w:r>
        <w:rPr>
          <w:spacing w:val="-10"/>
        </w:rPr>
        <w:t> </w:t>
      </w:r>
      <w:r>
        <w:rPr/>
        <w:t>actifs</w:t>
      </w:r>
      <w:r>
        <w:rPr>
          <w:spacing w:val="-10"/>
        </w:rPr>
        <w:t> </w:t>
      </w:r>
      <w:r>
        <w:rPr/>
        <w:t>du</w:t>
      </w:r>
      <w:r>
        <w:rPr>
          <w:spacing w:val="-11"/>
        </w:rPr>
        <w:t> </w:t>
      </w:r>
      <w:r>
        <w:rPr/>
        <w:t>groupe</w:t>
      </w:r>
      <w:r>
        <w:rPr>
          <w:spacing w:val="-10"/>
        </w:rPr>
        <w:t> </w:t>
      </w:r>
      <w:r>
        <w:rPr/>
        <w:t>Casino</w:t>
      </w:r>
      <w:r>
        <w:rPr>
          <w:spacing w:val="-9"/>
        </w:rPr>
        <w:t> </w:t>
      </w:r>
      <w:r>
        <w:rPr/>
        <w:t>(y</w:t>
      </w:r>
      <w:r>
        <w:rPr>
          <w:spacing w:val="-10"/>
        </w:rPr>
        <w:t> </w:t>
      </w:r>
      <w:r>
        <w:rPr/>
        <w:t>compris</w:t>
      </w:r>
      <w:r>
        <w:rPr>
          <w:spacing w:val="-10"/>
        </w:rPr>
        <w:t> </w:t>
      </w:r>
      <w:r>
        <w:rPr/>
        <w:t>des </w:t>
      </w:r>
      <w:r>
        <w:rPr>
          <w:spacing w:val="-2"/>
        </w:rPr>
        <w:t>garanties</w:t>
      </w:r>
      <w:r>
        <w:rPr>
          <w:spacing w:val="-16"/>
        </w:rPr>
        <w:t> </w:t>
      </w:r>
      <w:r>
        <w:rPr>
          <w:spacing w:val="-2"/>
        </w:rPr>
        <w:t>plafonnées)</w:t>
      </w:r>
      <w:r>
        <w:rPr>
          <w:spacing w:val="-16"/>
        </w:rPr>
        <w:t> </w:t>
      </w:r>
      <w:r>
        <w:rPr>
          <w:spacing w:val="-2"/>
        </w:rPr>
        <w:t>(résumé</w:t>
      </w:r>
      <w:r>
        <w:rPr>
          <w:spacing w:val="-16"/>
        </w:rPr>
        <w:t> </w:t>
      </w:r>
      <w:r>
        <w:rPr>
          <w:spacing w:val="-2"/>
        </w:rPr>
        <w:t>des</w:t>
      </w:r>
      <w:r>
        <w:rPr>
          <w:spacing w:val="-16"/>
        </w:rPr>
        <w:t> </w:t>
      </w:r>
      <w:r>
        <w:rPr>
          <w:spacing w:val="-2"/>
        </w:rPr>
        <w:t>termes</w:t>
      </w:r>
      <w:r>
        <w:rPr>
          <w:spacing w:val="-16"/>
        </w:rPr>
        <w:t> </w:t>
      </w:r>
      <w:r>
        <w:rPr>
          <w:spacing w:val="-2"/>
        </w:rPr>
        <w:t>dans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6"/>
        </w:rPr>
        <w:t> </w:t>
      </w:r>
      <w:r>
        <w:rPr>
          <w:spacing w:val="-2"/>
        </w:rPr>
        <w:t>pages</w:t>
      </w:r>
      <w:r>
        <w:rPr>
          <w:spacing w:val="-15"/>
        </w:rPr>
        <w:t> </w:t>
      </w:r>
      <w:r>
        <w:rPr>
          <w:spacing w:val="-2"/>
        </w:rPr>
        <w:t>suivantes)</w:t>
      </w:r>
    </w:p>
    <w:p>
      <w:pPr>
        <w:pStyle w:val="BodyText"/>
        <w:spacing w:before="120"/>
        <w:ind w:left="272" w:right="282"/>
        <w:jc w:val="both"/>
      </w:pPr>
      <w:r>
        <w:rPr/>
        <w:t>Le report de la maturité permettra à IGC de mettre en œuvre un plan de cession d'actifs et de réduction de</w:t>
      </w:r>
      <w:r>
        <w:rPr>
          <w:spacing w:val="-2"/>
        </w:rPr>
        <w:t> </w:t>
      </w:r>
      <w:r>
        <w:rPr/>
        <w:t>la dette</w:t>
      </w:r>
      <w:r>
        <w:rPr>
          <w:spacing w:val="-2"/>
        </w:rPr>
        <w:t> </w:t>
      </w:r>
      <w:r>
        <w:rPr/>
        <w:t>de Quatrim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 cadre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 stratégie</w:t>
      </w:r>
      <w:r>
        <w:rPr>
          <w:spacing w:val="-2"/>
        </w:rPr>
        <w:t> </w:t>
      </w:r>
      <w:r>
        <w:rPr/>
        <w:t>globale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groupe Casino</w:t>
      </w:r>
    </w:p>
    <w:p>
      <w:pPr>
        <w:pStyle w:val="BodyText"/>
        <w:spacing w:before="123"/>
        <w:ind w:left="272" w:right="272"/>
        <w:jc w:val="both"/>
      </w:pPr>
      <w:r>
        <w:rPr/>
        <w:t>Cet accord de principe reste soumis à la réalisation des autres opérations de restructuration annoncées</w:t>
      </w:r>
      <w:r>
        <w:rPr>
          <w:spacing w:val="-15"/>
        </w:rPr>
        <w:t> </w:t>
      </w:r>
      <w:r>
        <w:rPr/>
        <w:t>par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Groupe</w:t>
      </w:r>
      <w:r>
        <w:rPr>
          <w:spacing w:val="-15"/>
        </w:rPr>
        <w:t> </w:t>
      </w:r>
      <w:r>
        <w:rPr/>
        <w:t>le</w:t>
      </w:r>
      <w:r>
        <w:rPr>
          <w:spacing w:val="-15"/>
        </w:rPr>
        <w:t> </w:t>
      </w:r>
      <w:r>
        <w:rPr/>
        <w:t>27</w:t>
      </w:r>
      <w:r>
        <w:rPr>
          <w:spacing w:val="-15"/>
        </w:rPr>
        <w:t> </w:t>
      </w:r>
      <w:r>
        <w:rPr/>
        <w:t>juillet</w:t>
      </w:r>
      <w:r>
        <w:rPr>
          <w:spacing w:val="-13"/>
        </w:rPr>
        <w:t> </w:t>
      </w:r>
      <w:r>
        <w:rPr/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719327</wp:posOffset>
                </wp:positionH>
                <wp:positionV relativeFrom="paragraph">
                  <wp:posOffset>235804</wp:posOffset>
                </wp:positionV>
                <wp:extent cx="1829435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8.567251pt;width:144.050pt;height:.47998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200"/>
        <w:ind w:left="272" w:right="94" w:firstLine="0"/>
        <w:jc w:val="left"/>
        <w:rPr>
          <w:sz w:val="18"/>
        </w:rPr>
      </w:pPr>
      <w:r>
        <w:rPr>
          <w:color w:val="0D0D0D"/>
          <w:spacing w:val="-2"/>
          <w:position w:val="5"/>
          <w:sz w:val="12"/>
        </w:rPr>
        <w:t>1</w:t>
      </w:r>
      <w:r>
        <w:rPr>
          <w:color w:val="0D0D0D"/>
          <w:spacing w:val="-8"/>
          <w:position w:val="5"/>
          <w:sz w:val="12"/>
        </w:rPr>
        <w:t> </w:t>
      </w:r>
      <w:r>
        <w:rPr>
          <w:color w:val="0D0D0D"/>
          <w:spacing w:val="-2"/>
          <w:sz w:val="18"/>
        </w:rPr>
        <w:t>Valeur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de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marché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au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2"/>
          <w:sz w:val="18"/>
        </w:rPr>
        <w:t>22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décembre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2"/>
          <w:sz w:val="18"/>
        </w:rPr>
        <w:t>(hors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droits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de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mutation),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2"/>
          <w:sz w:val="18"/>
        </w:rPr>
        <w:t>la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majeure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2"/>
          <w:sz w:val="18"/>
        </w:rPr>
        <w:t>partie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2"/>
          <w:sz w:val="18"/>
        </w:rPr>
        <w:t>de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l'évaluation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étant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2"/>
          <w:sz w:val="18"/>
        </w:rPr>
        <w:t>réalisée </w:t>
      </w:r>
      <w:r>
        <w:rPr>
          <w:color w:val="0D0D0D"/>
          <w:sz w:val="18"/>
        </w:rPr>
        <w:t>par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des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cabinets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d'experts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immobiliers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externes</w:t>
      </w:r>
    </w:p>
    <w:p>
      <w:pPr>
        <w:pStyle w:val="BodyText"/>
        <w:spacing w:before="177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3</w:t>
      </w:r>
    </w:p>
    <w:p>
      <w:pPr>
        <w:spacing w:after="0"/>
        <w:rPr>
          <w:rFonts w:ascii="Tahoma" w:hAnsi="Tahoma"/>
        </w:rPr>
        <w:sectPr>
          <w:pgSz w:w="11910" w:h="16840"/>
          <w:pgMar w:top="1200" w:bottom="0" w:left="860" w:right="860"/>
        </w:sectPr>
      </w:pP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22483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  <w:spacing w:val="-10"/>
        </w:rPr>
        <w:t>Principaux</w:t>
      </w:r>
      <w:r>
        <w:rPr>
          <w:color w:val="6460A9"/>
          <w:spacing w:val="-15"/>
        </w:rPr>
        <w:t> </w:t>
      </w:r>
      <w:r>
        <w:rPr>
          <w:color w:val="6460A9"/>
          <w:spacing w:val="-10"/>
        </w:rPr>
        <w:t>termes</w:t>
      </w:r>
      <w:r>
        <w:rPr>
          <w:color w:val="6460A9"/>
          <w:spacing w:val="-14"/>
        </w:rPr>
        <w:t> </w:t>
      </w:r>
      <w:r>
        <w:rPr>
          <w:color w:val="6460A9"/>
          <w:spacing w:val="-10"/>
        </w:rPr>
        <w:t>économiques</w:t>
      </w:r>
    </w:p>
    <w:p>
      <w:pPr>
        <w:pStyle w:val="BodyText"/>
        <w:spacing w:before="9" w:after="1"/>
        <w:rPr>
          <w:rFonts w:ascii="Arial"/>
          <w:b/>
          <w:sz w:val="10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7369"/>
      </w:tblGrid>
      <w:tr>
        <w:trPr>
          <w:trHeight w:val="585" w:hRule="atLeast"/>
        </w:trPr>
        <w:tc>
          <w:tcPr>
            <w:tcW w:w="2261" w:type="dxa"/>
            <w:shd w:val="clear" w:color="auto" w:fill="A6A6A6"/>
          </w:tcPr>
          <w:p>
            <w:pPr>
              <w:pStyle w:val="TableParagraph"/>
              <w:spacing w:before="174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Terme</w:t>
            </w:r>
          </w:p>
        </w:tc>
        <w:tc>
          <w:tcPr>
            <w:tcW w:w="7369" w:type="dxa"/>
            <w:shd w:val="clear" w:color="auto" w:fill="A6A6A6"/>
          </w:tcPr>
          <w:p>
            <w:pPr>
              <w:pStyle w:val="TableParagraph"/>
              <w:spacing w:before="174"/>
              <w:ind w:left="1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546" w:hRule="atLeast"/>
        </w:trPr>
        <w:tc>
          <w:tcPr>
            <w:tcW w:w="2261" w:type="dxa"/>
          </w:tcPr>
          <w:p>
            <w:pPr>
              <w:pStyle w:val="TableParagraph"/>
              <w:spacing w:before="155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Emetteur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64" w:val="left" w:leader="none"/>
              </w:tabs>
              <w:spacing w:line="240" w:lineRule="auto" w:before="154" w:after="0"/>
              <w:ind w:left="864" w:right="0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Identique</w:t>
            </w:r>
            <w:r>
              <w:rPr>
                <w:spacing w:val="-7"/>
                <w:sz w:val="20"/>
              </w:rPr>
              <w:t> </w:t>
            </w:r>
            <w:r>
              <w:rPr>
                <w:w w:val="90"/>
                <w:sz w:val="20"/>
              </w:rPr>
              <w:t>aux</w:t>
            </w:r>
            <w:r>
              <w:rPr>
                <w:spacing w:val="-7"/>
                <w:sz w:val="20"/>
              </w:rPr>
              <w:t> </w:t>
            </w:r>
            <w:r>
              <w:rPr>
                <w:w w:val="90"/>
                <w:sz w:val="20"/>
              </w:rPr>
              <w:t>SSN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existants</w:t>
            </w:r>
            <w:r>
              <w:rPr>
                <w:spacing w:val="-7"/>
                <w:sz w:val="20"/>
              </w:rPr>
              <w:t> </w:t>
            </w:r>
            <w:r>
              <w:rPr>
                <w:w w:val="90"/>
                <w:sz w:val="20"/>
              </w:rPr>
              <w:t>: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Quatrim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SAS</w:t>
            </w:r>
          </w:p>
        </w:tc>
      </w:tr>
      <w:tr>
        <w:trPr>
          <w:trHeight w:val="2404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6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8"/>
                <w:sz w:val="20"/>
              </w:rPr>
              <w:t>Montant</w:t>
            </w:r>
            <w:r>
              <w:rPr>
                <w:rFonts w:ascii="Tahoma"/>
                <w:b/>
                <w:spacing w:val="-2"/>
                <w:sz w:val="20"/>
              </w:rPr>
              <w:t> nominal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0" w:lineRule="auto" w:before="134" w:after="0"/>
              <w:ind w:left="864" w:right="132" w:hanging="36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Traitement des intérêts courus: c.28 M€ d’intérêts courus jusqu’à la date effective de la restructuration qui seront (i) à 50% remboursés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cash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à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date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réalisation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restructuration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et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(ii)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à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50% </w:t>
            </w:r>
            <w:r>
              <w:rPr>
                <w:sz w:val="20"/>
              </w:rPr>
              <w:t>ajoutés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l’encours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nominal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pré-restructuration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64" w:val="left" w:leader="none"/>
              </w:tabs>
              <w:spacing w:line="244" w:lineRule="auto" w:before="67" w:after="0"/>
              <w:ind w:left="864" w:right="137" w:hanging="360"/>
              <w:jc w:val="both"/>
              <w:rPr>
                <w:sz w:val="20"/>
              </w:rPr>
            </w:pPr>
            <w:r>
              <w:rPr>
                <w:sz w:val="20"/>
              </w:rPr>
              <w:t>Nouveau montant nominal de 567 M€ (avant remboursements obligatoires), composé de:</w:t>
            </w:r>
          </w:p>
          <w:p>
            <w:pPr>
              <w:pStyle w:val="TableParagraph"/>
              <w:spacing w:line="306" w:lineRule="exact" w:before="38"/>
              <w:ind w:left="1224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75"/>
                <w:sz w:val="20"/>
              </w:rPr>
              <w:t> </w:t>
            </w:r>
            <w:r>
              <w:rPr>
                <w:sz w:val="20"/>
              </w:rPr>
              <w:t>c.553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M€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principal,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5"/>
                <w:sz w:val="20"/>
              </w:rPr>
              <w:t>et</w:t>
            </w:r>
          </w:p>
          <w:p>
            <w:pPr>
              <w:pStyle w:val="TableParagraph"/>
              <w:spacing w:line="306" w:lineRule="exact"/>
              <w:ind w:left="1224"/>
              <w:jc w:val="both"/>
              <w:rPr>
                <w:sz w:val="13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▶</w:t>
            </w:r>
            <w:r>
              <w:rPr>
                <w:rFonts w:ascii="Lucida Sans Unicode" w:hAnsi="Lucida Sans Unicode"/>
                <w:spacing w:val="61"/>
                <w:sz w:val="20"/>
              </w:rPr>
              <w:t> </w:t>
            </w:r>
            <w:r>
              <w:rPr>
                <w:spacing w:val="-2"/>
                <w:sz w:val="20"/>
              </w:rPr>
              <w:t>c.14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M€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d’intérêts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courus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capitalisés</w:t>
            </w:r>
            <w:r>
              <w:rPr>
                <w:spacing w:val="-2"/>
                <w:position w:val="5"/>
                <w:sz w:val="13"/>
              </w:rPr>
              <w:t>1</w:t>
            </w:r>
          </w:p>
        </w:tc>
      </w:tr>
      <w:tr>
        <w:trPr>
          <w:trHeight w:val="2097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2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2" w:lineRule="auto" w:before="1"/>
              <w:ind w:left="146"/>
              <w:rPr>
                <w:b/>
                <w:i/>
                <w:sz w:val="20"/>
              </w:rPr>
            </w:pPr>
            <w:r>
              <w:rPr>
                <w:rFonts w:ascii="Tahoma"/>
                <w:b/>
                <w:spacing w:val="-8"/>
                <w:sz w:val="20"/>
              </w:rPr>
              <w:t>Remboursements </w:t>
            </w:r>
            <w:r>
              <w:rPr>
                <w:rFonts w:ascii="Tahoma"/>
                <w:b/>
                <w:sz w:val="20"/>
              </w:rPr>
              <w:t>obligatoires au </w:t>
            </w:r>
            <w:r>
              <w:rPr>
                <w:b/>
                <w:i/>
                <w:spacing w:val="-2"/>
                <w:sz w:val="20"/>
              </w:rPr>
              <w:t>closing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64" w:val="left" w:leader="none"/>
              </w:tabs>
              <w:spacing w:line="242" w:lineRule="auto" w:before="133" w:after="0"/>
              <w:ind w:left="864" w:right="134" w:hanging="36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Solde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du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compte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séquestre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affecter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au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remboursement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anticipé </w:t>
            </w:r>
            <w:r>
              <w:rPr>
                <w:sz w:val="20"/>
              </w:rPr>
              <w:t>des obligations Quatrim à la date de réalisation de la </w:t>
            </w:r>
            <w:r>
              <w:rPr>
                <w:spacing w:val="-2"/>
                <w:sz w:val="20"/>
              </w:rPr>
              <w:t>restructuration</w:t>
            </w:r>
          </w:p>
          <w:p>
            <w:pPr>
              <w:pStyle w:val="TableParagraph"/>
              <w:spacing w:line="306" w:lineRule="exact" w:before="41"/>
              <w:ind w:left="1224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64"/>
                <w:sz w:val="20"/>
              </w:rPr>
              <w:t> </w:t>
            </w:r>
            <w:r>
              <w:rPr>
                <w:sz w:val="20"/>
              </w:rPr>
              <w:t>c.20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M€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au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septembre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2023</w:t>
            </w:r>
          </w:p>
          <w:p>
            <w:pPr>
              <w:pStyle w:val="TableParagraph"/>
              <w:spacing w:line="220" w:lineRule="auto" w:before="17"/>
              <w:ind w:left="1584" w:right="131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40"/>
                <w:sz w:val="20"/>
              </w:rPr>
              <w:t> </w:t>
            </w:r>
            <w:r>
              <w:rPr>
                <w:sz w:val="20"/>
              </w:rPr>
              <w:t>D’autres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cession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devraient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être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versés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 compte séquestre avant la date de réalisation de la </w:t>
            </w:r>
            <w:r>
              <w:rPr>
                <w:spacing w:val="-2"/>
                <w:sz w:val="20"/>
              </w:rPr>
              <w:t>restructuration</w:t>
            </w:r>
          </w:p>
        </w:tc>
      </w:tr>
      <w:tr>
        <w:trPr>
          <w:trHeight w:val="779" w:hRule="atLeast"/>
        </w:trPr>
        <w:tc>
          <w:tcPr>
            <w:tcW w:w="2261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Maturité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64" w:val="left" w:leader="none"/>
              </w:tabs>
              <w:spacing w:line="240" w:lineRule="auto" w:before="146" w:after="0"/>
              <w:ind w:left="864" w:right="139" w:hanging="36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Extension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maturité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du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15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janvier 2024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</w:t>
            </w:r>
            <w:r>
              <w:rPr>
                <w:spacing w:val="-4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15 janvier</w:t>
            </w:r>
            <w:r>
              <w:rPr>
                <w:spacing w:val="-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2027,</w:t>
            </w:r>
            <w:r>
              <w:rPr>
                <w:spacing w:val="-6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avec 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extension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supplémentaire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d'un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choix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Quatrim</w:t>
            </w:r>
          </w:p>
        </w:tc>
      </w:tr>
      <w:tr>
        <w:trPr>
          <w:trHeight w:val="539" w:hRule="atLeast"/>
        </w:trPr>
        <w:tc>
          <w:tcPr>
            <w:tcW w:w="2261" w:type="dxa"/>
          </w:tcPr>
          <w:p>
            <w:pPr>
              <w:pStyle w:val="TableParagraph"/>
              <w:spacing w:before="150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Rang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64" w:val="left" w:leader="none"/>
              </w:tabs>
              <w:spacing w:line="240" w:lineRule="auto" w:before="149" w:after="0"/>
              <w:ind w:left="864" w:right="0" w:hanging="360"/>
              <w:jc w:val="left"/>
              <w:rPr>
                <w:sz w:val="20"/>
              </w:rPr>
            </w:pPr>
            <w:r>
              <w:rPr>
                <w:w w:val="85"/>
                <w:sz w:val="20"/>
              </w:rPr>
              <w:t>Senior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sécurisé</w:t>
            </w:r>
          </w:p>
        </w:tc>
      </w:tr>
      <w:tr>
        <w:trPr>
          <w:trHeight w:val="2894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7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w w:val="95"/>
                <w:sz w:val="20"/>
              </w:rPr>
              <w:t>Intérêts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64" w:val="left" w:leader="none"/>
              </w:tabs>
              <w:spacing w:line="240" w:lineRule="auto" w:before="135" w:after="0"/>
              <w:ind w:left="864" w:right="134" w:hanging="36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Coupon</w:t>
            </w:r>
            <w:r>
              <w:rPr>
                <w:spacing w:val="-7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Pay-if-you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can </w:t>
            </w:r>
            <w:r>
              <w:rPr>
                <w:spacing w:val="-4"/>
                <w:sz w:val="20"/>
              </w:rPr>
              <w:t>(PIYC)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8,5%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par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an,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lié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l’avancement </w:t>
            </w:r>
            <w:r>
              <w:rPr>
                <w:sz w:val="20"/>
              </w:rPr>
              <w:t>du plan de cession d’actifs</w:t>
            </w:r>
          </w:p>
          <w:p>
            <w:pPr>
              <w:pStyle w:val="TableParagraph"/>
              <w:spacing w:line="204" w:lineRule="auto" w:before="78"/>
              <w:ind w:left="1584" w:right="138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▶</w:t>
            </w:r>
            <w:r>
              <w:rPr>
                <w:rFonts w:ascii="Lucida Sans Unicode" w:hAnsi="Lucida Sans Unicode"/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Coupon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PIYC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soumis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à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des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critères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liquidité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minimum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au </w:t>
            </w:r>
            <w:r>
              <w:rPr>
                <w:sz w:val="20"/>
              </w:rPr>
              <w:t>niveau de Quatrim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64" w:val="left" w:leader="none"/>
              </w:tabs>
              <w:spacing w:line="240" w:lineRule="auto" w:before="69" w:after="0"/>
              <w:ind w:left="864" w:right="135" w:hanging="360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Augmentation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rémunération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: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si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les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produits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cessions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sont </w:t>
            </w:r>
            <w:r>
              <w:rPr>
                <w:spacing w:val="-4"/>
                <w:sz w:val="20"/>
              </w:rPr>
              <w:t>inférieurs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80%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du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montant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ciblé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cessions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d’actifs,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le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coupon </w:t>
            </w:r>
            <w:r>
              <w:rPr>
                <w:sz w:val="20"/>
              </w:rPr>
              <w:t>sera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augmenté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9,5%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64" w:val="left" w:leader="none"/>
              </w:tabs>
              <w:spacing w:line="240" w:lineRule="auto" w:before="65" w:after="0"/>
              <w:ind w:left="864" w:right="138" w:hanging="360"/>
              <w:jc w:val="both"/>
              <w:rPr>
                <w:sz w:val="20"/>
              </w:rPr>
            </w:pPr>
            <w:r>
              <w:rPr>
                <w:sz w:val="20"/>
              </w:rPr>
              <w:t>Réduction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rémunération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cessions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sont supérieurs de 120% du montant ciblé des cessions d’actifs, le coupon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réduit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7,5%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</w:t>
            </w:r>
          </w:p>
        </w:tc>
      </w:tr>
      <w:tr>
        <w:trPr>
          <w:trHeight w:val="2467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9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4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Collatéral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64" w:val="left" w:leader="none"/>
              </w:tabs>
              <w:spacing w:line="240" w:lineRule="auto" w:before="134" w:after="0"/>
              <w:ind w:left="864" w:right="0" w:hanging="3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Nantissement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actions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Quatrim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4" w:val="left" w:leader="none"/>
              </w:tabs>
              <w:spacing w:line="240" w:lineRule="auto" w:before="62" w:after="0"/>
              <w:ind w:left="864" w:right="0" w:hanging="360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Nantissement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des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actions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d’IGC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4" w:val="left" w:leader="none"/>
              </w:tabs>
              <w:spacing w:line="240" w:lineRule="auto" w:before="65" w:after="0"/>
              <w:ind w:left="864" w:right="138" w:hanging="360"/>
              <w:jc w:val="left"/>
              <w:rPr>
                <w:sz w:val="20"/>
              </w:rPr>
            </w:pPr>
            <w:r>
              <w:rPr>
                <w:sz w:val="20"/>
              </w:rPr>
              <w:t>Nantissement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principaux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comptes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bancaires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Quatrim ouverts en France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4" w:val="left" w:leader="none"/>
              </w:tabs>
              <w:spacing w:line="240" w:lineRule="auto" w:before="63" w:after="0"/>
              <w:ind w:left="864" w:right="138" w:hanging="360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Nantissement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comptes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séquestres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obligations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Quatrim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et </w:t>
            </w:r>
            <w:r>
              <w:rPr>
                <w:spacing w:val="-2"/>
                <w:sz w:val="20"/>
              </w:rPr>
              <w:t>des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comptes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titres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relatifs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aux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SSN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64" w:val="left" w:leader="none"/>
              </w:tabs>
              <w:spacing w:line="244" w:lineRule="auto" w:before="63" w:after="0"/>
              <w:ind w:left="864" w:right="134" w:hanging="360"/>
              <w:jc w:val="left"/>
              <w:rPr>
                <w:sz w:val="20"/>
              </w:rPr>
            </w:pPr>
            <w:r>
              <w:rPr>
                <w:sz w:val="20"/>
              </w:rPr>
              <w:t>Nantissements des créances dues à Quatrim aux titres du prêt intragroupe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Segisor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prêt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intragroupe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Monoprix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0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719327</wp:posOffset>
                </wp:positionH>
                <wp:positionV relativeFrom="paragraph">
                  <wp:posOffset>193190</wp:posOffset>
                </wp:positionV>
                <wp:extent cx="1829435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5.21188pt;width:144.050pt;height:.47998pt;mso-position-horizontal-relative:page;mso-position-vertical-relative:paragraph;z-index:-1572608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1"/>
        <w:ind w:left="272" w:right="0" w:firstLine="0"/>
        <w:jc w:val="left"/>
        <w:rPr>
          <w:sz w:val="18"/>
        </w:rPr>
      </w:pPr>
      <w:r>
        <w:rPr>
          <w:color w:val="0D0D0D"/>
          <w:spacing w:val="-6"/>
          <w:position w:val="5"/>
          <w:sz w:val="12"/>
        </w:rPr>
        <w:t>1</w:t>
      </w:r>
      <w:r>
        <w:rPr>
          <w:color w:val="0D0D0D"/>
          <w:spacing w:val="12"/>
          <w:position w:val="5"/>
          <w:sz w:val="12"/>
        </w:rPr>
        <w:t> </w:t>
      </w:r>
      <w:r>
        <w:rPr>
          <w:color w:val="0D0D0D"/>
          <w:spacing w:val="-6"/>
          <w:sz w:val="18"/>
        </w:rPr>
        <w:t>Dans</w:t>
      </w:r>
      <w:r>
        <w:rPr>
          <w:color w:val="0D0D0D"/>
          <w:spacing w:val="-8"/>
          <w:sz w:val="18"/>
        </w:rPr>
        <w:t> </w:t>
      </w:r>
      <w:r>
        <w:rPr>
          <w:color w:val="0D0D0D"/>
          <w:spacing w:val="-6"/>
          <w:sz w:val="18"/>
        </w:rPr>
        <w:t>l'hypothèse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6"/>
          <w:sz w:val="18"/>
        </w:rPr>
        <w:t>d'une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6"/>
          <w:sz w:val="18"/>
        </w:rPr>
        <w:t>restructuration</w:t>
      </w:r>
      <w:r>
        <w:rPr>
          <w:color w:val="0D0D0D"/>
          <w:spacing w:val="-8"/>
          <w:sz w:val="18"/>
        </w:rPr>
        <w:t> </w:t>
      </w:r>
      <w:r>
        <w:rPr>
          <w:color w:val="0D0D0D"/>
          <w:spacing w:val="-6"/>
          <w:sz w:val="18"/>
        </w:rPr>
        <w:t>prenant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6"/>
          <w:sz w:val="18"/>
        </w:rPr>
        <w:t>effet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6"/>
          <w:sz w:val="18"/>
        </w:rPr>
        <w:t>le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6"/>
          <w:sz w:val="18"/>
        </w:rPr>
        <w:t>31</w:t>
      </w:r>
      <w:r>
        <w:rPr>
          <w:color w:val="0D0D0D"/>
          <w:spacing w:val="-8"/>
          <w:sz w:val="18"/>
        </w:rPr>
        <w:t> </w:t>
      </w:r>
      <w:r>
        <w:rPr>
          <w:color w:val="0D0D0D"/>
          <w:spacing w:val="-6"/>
          <w:sz w:val="18"/>
        </w:rPr>
        <w:t>mars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6"/>
          <w:sz w:val="18"/>
        </w:rPr>
        <w:t>2024</w:t>
      </w:r>
    </w:p>
    <w:p>
      <w:pPr>
        <w:pStyle w:val="BodyText"/>
        <w:spacing w:before="179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4</w:t>
      </w:r>
    </w:p>
    <w:p>
      <w:pPr>
        <w:spacing w:after="0"/>
        <w:rPr>
          <w:rFonts w:ascii="Tahoma" w:hAnsi="Tahoma"/>
        </w:rPr>
        <w:sectPr>
          <w:pgSz w:w="11910" w:h="16840"/>
          <w:pgMar w:top="1200" w:bottom="0" w:left="860" w:right="860"/>
        </w:sectPr>
      </w:pPr>
    </w:p>
    <w:p>
      <w:pPr>
        <w:pStyle w:val="BodyText"/>
        <w:rPr>
          <w:rFonts w:ascii="Tahoma"/>
          <w:b/>
          <w:sz w:val="2"/>
        </w:rPr>
      </w:pPr>
      <w:r>
        <w:rPr/>
        <w:drawing>
          <wp:anchor distT="0" distB="0" distL="0" distR="0" allowOverlap="1" layoutInCell="1" locked="0" behindDoc="1" simplePos="0" relativeHeight="487225856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7369"/>
      </w:tblGrid>
      <w:tr>
        <w:trPr>
          <w:trHeight w:val="585" w:hRule="atLeast"/>
        </w:trPr>
        <w:tc>
          <w:tcPr>
            <w:tcW w:w="2261" w:type="dxa"/>
            <w:shd w:val="clear" w:color="auto" w:fill="A6A6A6"/>
          </w:tcPr>
          <w:p>
            <w:pPr>
              <w:pStyle w:val="TableParagraph"/>
              <w:spacing w:before="174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Terme</w:t>
            </w:r>
          </w:p>
        </w:tc>
        <w:tc>
          <w:tcPr>
            <w:tcW w:w="7369" w:type="dxa"/>
            <w:shd w:val="clear" w:color="auto" w:fill="A6A6A6"/>
          </w:tcPr>
          <w:p>
            <w:pPr>
              <w:pStyle w:val="TableParagraph"/>
              <w:spacing w:before="174"/>
              <w:ind w:left="14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3016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83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Garanties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63" w:val="left" w:leader="none"/>
              </w:tabs>
              <w:spacing w:line="240" w:lineRule="auto" w:before="134" w:after="0"/>
              <w:ind w:left="863" w:right="0" w:hanging="359"/>
              <w:jc w:val="both"/>
              <w:rPr>
                <w:sz w:val="20"/>
              </w:rPr>
            </w:pPr>
            <w:r>
              <w:rPr>
                <w:spacing w:val="-6"/>
                <w:sz w:val="20"/>
              </w:rPr>
              <w:t>Recours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limité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sur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le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groupe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Casino</w:t>
            </w:r>
            <w:r>
              <w:rPr>
                <w:spacing w:val="-6"/>
                <w:position w:val="5"/>
                <w:sz w:val="13"/>
              </w:rPr>
              <w:t>1</w:t>
            </w:r>
            <w:r>
              <w:rPr>
                <w:spacing w:val="13"/>
                <w:position w:val="5"/>
                <w:sz w:val="13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spacing w:line="306" w:lineRule="exact" w:before="46"/>
              <w:ind w:left="1224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37"/>
                <w:sz w:val="20"/>
              </w:rPr>
              <w:t>  </w:t>
            </w:r>
            <w:r>
              <w:rPr>
                <w:sz w:val="20"/>
              </w:rPr>
              <w:t>Nouvelle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garantie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CGP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concernant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spacing w:line="220" w:lineRule="auto" w:before="16"/>
              <w:ind w:left="2304" w:right="131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40"/>
                <w:sz w:val="20"/>
              </w:rPr>
              <w:t> </w:t>
            </w:r>
            <w:r>
              <w:rPr>
                <w:sz w:val="20"/>
              </w:rPr>
              <w:t>Les obligations en termes de loyers contractuels, frais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capex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membres du groupe Casino à IGC</w:t>
            </w:r>
          </w:p>
          <w:p>
            <w:pPr>
              <w:pStyle w:val="TableParagraph"/>
              <w:spacing w:line="306" w:lineRule="exact" w:before="47"/>
              <w:ind w:left="1944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26"/>
                <w:sz w:val="20"/>
              </w:rPr>
              <w:t> 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besoin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4"/>
                <w:sz w:val="20"/>
              </w:rPr>
              <w:t>capex</w:t>
            </w:r>
          </w:p>
          <w:p>
            <w:pPr>
              <w:pStyle w:val="TableParagraph"/>
              <w:spacing w:line="206" w:lineRule="auto" w:before="30"/>
              <w:ind w:left="1584" w:right="136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▶</w:t>
            </w:r>
            <w:r>
              <w:rPr>
                <w:rFonts w:ascii="Lucida Sans Unicode" w:hAnsi="Lucida Sans Unicode"/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Garantie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Monoprix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SAS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/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Prêt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intragroupe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pour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un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montant </w:t>
            </w:r>
            <w:r>
              <w:rPr>
                <w:sz w:val="20"/>
              </w:rPr>
              <w:t>de 50 M€</w:t>
            </w:r>
          </w:p>
          <w:p>
            <w:pPr>
              <w:pStyle w:val="TableParagraph"/>
              <w:spacing w:line="204" w:lineRule="auto" w:before="81"/>
              <w:ind w:left="1584" w:right="136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40"/>
                <w:sz w:val="20"/>
              </w:rPr>
              <w:t> </w:t>
            </w:r>
            <w:r>
              <w:rPr>
                <w:sz w:val="20"/>
              </w:rPr>
              <w:t>Garantie Segisor / Prêt intragroupe pour un montant de 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M€</w:t>
            </w:r>
          </w:p>
        </w:tc>
      </w:tr>
      <w:tr>
        <w:trPr>
          <w:trHeight w:val="4548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03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Allocation des </w:t>
            </w:r>
            <w:r>
              <w:rPr>
                <w:rFonts w:ascii="Tahoma"/>
                <w:b/>
                <w:spacing w:val="-4"/>
                <w:sz w:val="20"/>
              </w:rPr>
              <w:t>produits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de</w:t>
            </w:r>
            <w:r>
              <w:rPr>
                <w:rFonts w:ascii="Tahoma"/>
                <w:b/>
                <w:spacing w:val="-11"/>
                <w:sz w:val="20"/>
              </w:rPr>
              <w:t> </w:t>
            </w:r>
            <w:r>
              <w:rPr>
                <w:rFonts w:ascii="Tahoma"/>
                <w:b/>
                <w:spacing w:val="-4"/>
                <w:sz w:val="20"/>
              </w:rPr>
              <w:t>cession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64" w:val="left" w:leader="none"/>
              </w:tabs>
              <w:spacing w:line="242" w:lineRule="auto" w:before="134" w:after="0"/>
              <w:ind w:left="864" w:right="136" w:hanging="360"/>
              <w:jc w:val="both"/>
              <w:rPr>
                <w:sz w:val="20"/>
              </w:rPr>
            </w:pPr>
            <w:r>
              <w:rPr>
                <w:sz w:val="20"/>
              </w:rPr>
              <w:t>Les produits de certains actifs devront être affectés au </w:t>
            </w:r>
            <w:r>
              <w:rPr>
                <w:spacing w:val="-2"/>
                <w:sz w:val="20"/>
              </w:rPr>
              <w:t>remboursement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anticipé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obligations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Quatrim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selon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les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règles </w:t>
            </w:r>
            <w:r>
              <w:rPr>
                <w:sz w:val="20"/>
              </w:rPr>
              <w:t>suivantes :</w:t>
            </w:r>
          </w:p>
          <w:p>
            <w:pPr>
              <w:pStyle w:val="TableParagraph"/>
              <w:spacing w:line="204" w:lineRule="auto" w:before="76"/>
              <w:ind w:left="1584" w:hanging="360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8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totalité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cessions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d’actifs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détenus </w:t>
            </w:r>
            <w:r>
              <w:rPr>
                <w:spacing w:val="-2"/>
                <w:sz w:val="20"/>
              </w:rPr>
              <w:t>par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Quatrim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et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ses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filiales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(“Périmètre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Quatrim”)</w:t>
            </w:r>
          </w:p>
          <w:p>
            <w:pPr>
              <w:pStyle w:val="TableParagraph"/>
              <w:spacing w:line="204" w:lineRule="auto" w:before="82"/>
              <w:ind w:left="1584" w:right="131" w:hanging="360"/>
              <w:rPr>
                <w:sz w:val="20"/>
              </w:rPr>
            </w:pPr>
            <w:r>
              <w:rPr>
                <w:rFonts w:ascii="Lucida Sans Unicode" w:hAnsi="Lucida Sans Unicode"/>
                <w:spacing w:val="-4"/>
                <w:sz w:val="20"/>
              </w:rPr>
              <w:t>▶</w:t>
            </w:r>
            <w:r>
              <w:rPr>
                <w:rFonts w:ascii="Lucida Sans Unicode" w:hAnsi="Lucida Sans Unicode"/>
                <w:spacing w:val="55"/>
                <w:sz w:val="20"/>
              </w:rPr>
              <w:t> </w:t>
            </w:r>
            <w:r>
              <w:rPr>
                <w:spacing w:val="-4"/>
                <w:sz w:val="20"/>
              </w:rPr>
              <w:t>33,33%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produits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nets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sz w:val="20"/>
              </w:rPr>
              <w:t>cession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sz w:val="20"/>
              </w:rPr>
              <w:t>liés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27"/>
                <w:sz w:val="20"/>
              </w:rPr>
              <w:t> </w:t>
            </w:r>
            <w:r>
              <w:rPr>
                <w:spacing w:val="-4"/>
                <w:sz w:val="20"/>
              </w:rPr>
              <w:t>vente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28"/>
                <w:sz w:val="20"/>
              </w:rPr>
              <w:t> </w:t>
            </w:r>
            <w:r>
              <w:rPr>
                <w:spacing w:val="-4"/>
                <w:sz w:val="20"/>
              </w:rPr>
              <w:t>actifs </w:t>
            </w:r>
            <w:r>
              <w:rPr>
                <w:sz w:val="20"/>
              </w:rPr>
              <w:t>Casino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Participations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France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(«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CPF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»)</w:t>
            </w:r>
          </w:p>
          <w:p>
            <w:pPr>
              <w:pStyle w:val="TableParagraph"/>
              <w:spacing w:line="306" w:lineRule="exact" w:before="51"/>
              <w:ind w:left="1224"/>
              <w:rPr>
                <w:sz w:val="20"/>
              </w:rPr>
            </w:pPr>
            <w:r>
              <w:rPr>
                <w:rFonts w:ascii="Lucida Sans Unicode" w:hAnsi="Lucida Sans Unicode"/>
                <w:spacing w:val="-4"/>
                <w:sz w:val="20"/>
              </w:rPr>
              <w:t>▶</w:t>
            </w:r>
            <w:r>
              <w:rPr>
                <w:rFonts w:ascii="Lucida Sans Unicode" w:hAnsi="Lucida Sans Unicode"/>
                <w:spacing w:val="56"/>
                <w:sz w:val="20"/>
              </w:rPr>
              <w:t> </w:t>
            </w:r>
            <w:r>
              <w:rPr>
                <w:spacing w:val="-4"/>
                <w:sz w:val="20"/>
              </w:rPr>
              <w:t>33,33%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produits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nets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la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cession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Green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Yellow</w:t>
            </w:r>
          </w:p>
          <w:p>
            <w:pPr>
              <w:pStyle w:val="TableParagraph"/>
              <w:spacing w:line="204" w:lineRule="auto" w:before="31"/>
              <w:ind w:left="1584" w:right="135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▶</w:t>
            </w:r>
            <w:r>
              <w:rPr>
                <w:rFonts w:ascii="Lucida Sans Unicode" w:hAnsi="Lucida Sans Unicode"/>
                <w:spacing w:val="40"/>
                <w:sz w:val="20"/>
              </w:rPr>
              <w:t> </w:t>
            </w:r>
            <w:r>
              <w:rPr>
                <w:sz w:val="20"/>
              </w:rPr>
              <w:t>33,33%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cessions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d’autres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actifs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 Casino Participations Finance</w:t>
            </w:r>
          </w:p>
          <w:p>
            <w:pPr>
              <w:pStyle w:val="TableParagraph"/>
              <w:spacing w:line="220" w:lineRule="auto" w:before="67"/>
              <w:ind w:left="1584" w:right="134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▶</w:t>
            </w:r>
            <w:r>
              <w:rPr>
                <w:rFonts w:ascii="Lucida Sans Unicode" w:hAnsi="Lucida Sans Unicode"/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Sous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réserve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critères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liquidité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minimum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au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niveau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du </w:t>
            </w:r>
            <w:r>
              <w:rPr>
                <w:sz w:val="20"/>
              </w:rPr>
              <w:t>groupe Casino, un montant maximum de 46 M€, </w:t>
            </w:r>
            <w:r>
              <w:rPr>
                <w:w w:val="90"/>
                <w:sz w:val="20"/>
              </w:rPr>
              <w:t>correspondant</w:t>
            </w:r>
            <w:r>
              <w:rPr>
                <w:spacing w:val="-2"/>
                <w:sz w:val="20"/>
              </w:rPr>
              <w:t> </w:t>
            </w:r>
            <w:r>
              <w:rPr>
                <w:w w:val="90"/>
                <w:sz w:val="20"/>
              </w:rPr>
              <w:t>à</w:t>
            </w:r>
            <w:r>
              <w:rPr>
                <w:spacing w:val="-2"/>
                <w:sz w:val="20"/>
              </w:rPr>
              <w:t> </w:t>
            </w:r>
            <w:r>
              <w:rPr>
                <w:w w:val="90"/>
                <w:sz w:val="20"/>
              </w:rPr>
              <w:t>50%</w:t>
            </w:r>
            <w:r>
              <w:rPr>
                <w:spacing w:val="-4"/>
                <w:sz w:val="20"/>
              </w:rPr>
              <w:t> </w:t>
            </w:r>
            <w:r>
              <w:rPr>
                <w:w w:val="90"/>
                <w:sz w:val="20"/>
              </w:rPr>
              <w:t>des</w:t>
            </w:r>
            <w:r>
              <w:rPr>
                <w:sz w:val="20"/>
              </w:rPr>
              <w:t> </w:t>
            </w:r>
            <w:r>
              <w:rPr>
                <w:w w:val="90"/>
                <w:sz w:val="20"/>
              </w:rPr>
              <w:t>produits</w:t>
            </w:r>
            <w:r>
              <w:rPr>
                <w:spacing w:val="-4"/>
                <w:sz w:val="20"/>
              </w:rPr>
              <w:t> </w:t>
            </w:r>
            <w:r>
              <w:rPr>
                <w:w w:val="90"/>
                <w:sz w:val="20"/>
              </w:rPr>
              <w:t>nets</w:t>
            </w:r>
            <w:r>
              <w:rPr>
                <w:spacing w:val="-4"/>
                <w:sz w:val="20"/>
              </w:rPr>
              <w:t> </w:t>
            </w:r>
            <w:r>
              <w:rPr>
                <w:w w:val="90"/>
                <w:sz w:val="20"/>
              </w:rPr>
              <w:t>reçus</w:t>
            </w:r>
            <w:r>
              <w:rPr>
                <w:spacing w:val="-5"/>
                <w:sz w:val="20"/>
              </w:rPr>
              <w:t> </w:t>
            </w:r>
            <w:r>
              <w:rPr>
                <w:w w:val="90"/>
                <w:sz w:val="20"/>
              </w:rPr>
              <w:t>par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Segisor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au</w:t>
            </w:r>
          </w:p>
          <w:p>
            <w:pPr>
              <w:pStyle w:val="TableParagraph"/>
              <w:spacing w:before="7"/>
              <w:ind w:left="1584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titre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cessions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d’actifs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LatAm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au-delà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590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M€</w:t>
            </w:r>
          </w:p>
          <w:p>
            <w:pPr>
              <w:pStyle w:val="TableParagraph"/>
              <w:spacing w:line="204" w:lineRule="auto" w:before="77"/>
              <w:ind w:left="1584" w:right="131" w:hanging="360"/>
              <w:jc w:val="both"/>
              <w:rPr>
                <w:sz w:val="20"/>
              </w:rPr>
            </w:pPr>
            <w:r>
              <w:rPr>
                <w:rFonts w:ascii="Lucida Sans Unicode" w:hAnsi="Lucida Sans Unicode"/>
                <w:spacing w:val="-4"/>
                <w:sz w:val="20"/>
              </w:rPr>
              <w:t>▶</w:t>
            </w:r>
            <w:r>
              <w:rPr>
                <w:rFonts w:ascii="Lucida Sans Unicode" w:hAnsi="Lucida Sans Unicode"/>
                <w:spacing w:val="8"/>
                <w:sz w:val="20"/>
              </w:rPr>
              <w:t> </w:t>
            </w:r>
            <w:r>
              <w:rPr>
                <w:spacing w:val="-4"/>
                <w:sz w:val="20"/>
              </w:rPr>
              <w:t>Produits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nets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allouer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sous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réserve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d’un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montant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minimum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liquidité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sein du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groupe Quatrim</w:t>
            </w:r>
          </w:p>
        </w:tc>
      </w:tr>
      <w:tr>
        <w:trPr>
          <w:trHeight w:val="1245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2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Gouvernance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64" w:val="left" w:leader="none"/>
              </w:tabs>
              <w:spacing w:line="242" w:lineRule="auto" w:before="134" w:after="0"/>
              <w:ind w:left="864" w:right="132" w:hanging="360"/>
              <w:jc w:val="both"/>
              <w:rPr>
                <w:sz w:val="20"/>
              </w:rPr>
            </w:pPr>
            <w:r>
              <w:rPr>
                <w:sz w:val="20"/>
              </w:rPr>
              <w:t>Mise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par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porteurs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d’obligations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Quatrim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d’un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comité de pilotage chargé de suivre le plan de cession d’actifs et bénéficiant d’un droit d'intervention en cas de manquements significatifs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cession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d’actifs</w:t>
            </w:r>
          </w:p>
        </w:tc>
      </w:tr>
      <w:tr>
        <w:trPr>
          <w:trHeight w:val="2040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54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242" w:lineRule="auto"/>
              <w:ind w:left="14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Plan</w:t>
            </w:r>
            <w:r>
              <w:rPr>
                <w:rFonts w:ascii="Tahoma" w:hAnsi="Tahoma"/>
                <w:b/>
                <w:spacing w:val="-13"/>
                <w:sz w:val="20"/>
              </w:rPr>
              <w:t> </w:t>
            </w:r>
            <w:r>
              <w:rPr>
                <w:rFonts w:ascii="Tahoma" w:hAnsi="Tahoma"/>
                <w:b/>
                <w:spacing w:val="-2"/>
                <w:sz w:val="20"/>
              </w:rPr>
              <w:t>de</w:t>
            </w:r>
            <w:r>
              <w:rPr>
                <w:rFonts w:ascii="Tahoma" w:hAnsi="Tahoma"/>
                <w:b/>
                <w:spacing w:val="-13"/>
                <w:sz w:val="20"/>
              </w:rPr>
              <w:t> </w:t>
            </w:r>
            <w:r>
              <w:rPr>
                <w:rFonts w:ascii="Tahoma" w:hAnsi="Tahoma"/>
                <w:b/>
                <w:spacing w:val="-2"/>
                <w:sz w:val="20"/>
              </w:rPr>
              <w:t>cession d’actifs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64" w:val="left" w:leader="none"/>
              </w:tabs>
              <w:spacing w:line="240" w:lineRule="auto" w:before="134" w:after="0"/>
              <w:ind w:left="864" w:right="135" w:hanging="36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Plan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cession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relatif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certains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actifs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Quatrim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et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ses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filiales </w:t>
            </w:r>
            <w:r>
              <w:rPr>
                <w:sz w:val="20"/>
              </w:rPr>
              <w:t>tel que soumis par Casino à l’agent des SSN, à la date de réalisation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restructuration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64" w:val="left" w:leader="none"/>
              </w:tabs>
              <w:spacing w:line="242" w:lineRule="auto" w:before="68" w:after="0"/>
              <w:ind w:left="864" w:right="137" w:hanging="36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Stratégie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cession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à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déterminer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entre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Casino,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le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Consortium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et les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porteurs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des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SSN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sur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base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du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cession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communiqué </w:t>
            </w:r>
            <w:r>
              <w:rPr>
                <w:sz w:val="20"/>
              </w:rPr>
              <w:t>par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Casino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juillet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2023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avec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pour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objectif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maximiser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les produits de cession</w:t>
            </w:r>
          </w:p>
        </w:tc>
      </w:tr>
      <w:tr>
        <w:trPr>
          <w:trHeight w:val="1797" w:hRule="atLeast"/>
        </w:trPr>
        <w:tc>
          <w:tcPr>
            <w:tcW w:w="2261" w:type="dxa"/>
          </w:tcPr>
          <w:p>
            <w:pPr>
              <w:pStyle w:val="TableParagraph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73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46" w:right="14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Engagements </w:t>
            </w:r>
            <w:r>
              <w:rPr>
                <w:rFonts w:ascii="Tahoma"/>
                <w:b/>
                <w:w w:val="90"/>
                <w:sz w:val="20"/>
              </w:rPr>
              <w:t>relatifs aux </w:t>
            </w:r>
            <w:r>
              <w:rPr>
                <w:rFonts w:ascii="Tahoma"/>
                <w:b/>
                <w:w w:val="90"/>
                <w:sz w:val="20"/>
              </w:rPr>
              <w:t>actifs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64" w:val="left" w:leader="none"/>
              </w:tabs>
              <w:spacing w:line="242" w:lineRule="auto" w:before="134" w:after="0"/>
              <w:ind w:left="864" w:right="132" w:hanging="360"/>
              <w:jc w:val="both"/>
              <w:rPr>
                <w:sz w:val="20"/>
              </w:rPr>
            </w:pPr>
            <w:r>
              <w:rPr>
                <w:sz w:val="20"/>
              </w:rPr>
              <w:t>Le plan de cession d’actifs contiendra un engagement concernant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montant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cession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atteindre,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dont </w:t>
            </w:r>
            <w:r>
              <w:rPr>
                <w:spacing w:val="-4"/>
                <w:sz w:val="20"/>
              </w:rPr>
              <w:t>les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niveaux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resteront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à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4"/>
                <w:sz w:val="20"/>
              </w:rPr>
              <w:t>définir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et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seront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testés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semestriellement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64" w:val="left" w:leader="none"/>
              </w:tabs>
              <w:spacing w:line="240" w:lineRule="auto" w:before="61" w:after="0"/>
              <w:ind w:left="864" w:right="138" w:hanging="360"/>
              <w:jc w:val="both"/>
              <w:rPr>
                <w:sz w:val="20"/>
              </w:rPr>
            </w:pPr>
            <w:r>
              <w:rPr>
                <w:sz w:val="20"/>
              </w:rPr>
              <w:t>Le plan de cession d’actifs devra également inclure des </w:t>
            </w:r>
            <w:r>
              <w:rPr>
                <w:spacing w:val="-6"/>
                <w:sz w:val="20"/>
              </w:rPr>
              <w:t>engagements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sur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les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6"/>
                <w:sz w:val="20"/>
              </w:rPr>
              <w:t>montants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d’investissement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annuels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6"/>
                <w:sz w:val="20"/>
              </w:rPr>
              <w:t>sur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6"/>
                <w:sz w:val="20"/>
              </w:rPr>
              <w:t>les </w:t>
            </w:r>
            <w:r>
              <w:rPr>
                <w:spacing w:val="-2"/>
                <w:sz w:val="20"/>
              </w:rPr>
              <w:t>montants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frais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généraux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administratifs</w:t>
            </w:r>
          </w:p>
        </w:tc>
      </w:tr>
      <w:tr>
        <w:trPr>
          <w:trHeight w:val="508" w:hRule="atLeast"/>
        </w:trPr>
        <w:tc>
          <w:tcPr>
            <w:tcW w:w="2261" w:type="dxa"/>
          </w:tcPr>
          <w:p>
            <w:pPr>
              <w:pStyle w:val="TableParagraph"/>
              <w:spacing w:before="135"/>
              <w:ind w:left="14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Droit</w:t>
            </w:r>
            <w:r>
              <w:rPr>
                <w:rFonts w:ascii="Tahoma"/>
                <w:b/>
                <w:spacing w:val="4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Applicable</w:t>
            </w:r>
          </w:p>
        </w:tc>
        <w:tc>
          <w:tcPr>
            <w:tcW w:w="736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64" w:val="left" w:leader="none"/>
              </w:tabs>
              <w:spacing w:line="240" w:lineRule="auto" w:before="134" w:after="0"/>
              <w:ind w:left="864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Droit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l’Etat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>
      <w:pPr>
        <w:pStyle w:val="BodyText"/>
        <w:spacing w:before="176"/>
        <w:rPr>
          <w:rFonts w:ascii="Tahoma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719327</wp:posOffset>
                </wp:positionH>
                <wp:positionV relativeFrom="paragraph">
                  <wp:posOffset>280657</wp:posOffset>
                </wp:positionV>
                <wp:extent cx="1829435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2.098989pt;width:144.050pt;height:.47998pt;mso-position-horizontal-relative:page;mso-position-vertical-relative:paragraph;z-index:-1572505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200"/>
        <w:ind w:left="272" w:right="269" w:firstLine="0"/>
        <w:jc w:val="left"/>
        <w:rPr>
          <w:sz w:val="18"/>
        </w:rPr>
      </w:pPr>
      <w:r>
        <w:rPr>
          <w:color w:val="0D0D0D"/>
          <w:spacing w:val="-4"/>
          <w:position w:val="5"/>
          <w:sz w:val="12"/>
        </w:rPr>
        <w:t>1</w:t>
      </w:r>
      <w:r>
        <w:rPr>
          <w:color w:val="0D0D0D"/>
          <w:spacing w:val="7"/>
          <w:position w:val="5"/>
          <w:sz w:val="12"/>
        </w:rPr>
        <w:t> </w:t>
      </w:r>
      <w:r>
        <w:rPr>
          <w:color w:val="0D0D0D"/>
          <w:spacing w:val="-4"/>
          <w:sz w:val="18"/>
        </w:rPr>
        <w:t>Le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groupe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Quatrim</w:t>
      </w:r>
      <w:r>
        <w:rPr>
          <w:color w:val="0D0D0D"/>
          <w:spacing w:val="-18"/>
          <w:sz w:val="18"/>
        </w:rPr>
        <w:t> </w:t>
      </w:r>
      <w:r>
        <w:rPr>
          <w:color w:val="0D0D0D"/>
          <w:spacing w:val="-4"/>
          <w:sz w:val="18"/>
        </w:rPr>
        <w:t>fera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4"/>
          <w:sz w:val="18"/>
        </w:rPr>
        <w:t>l'objet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4"/>
          <w:sz w:val="18"/>
        </w:rPr>
        <w:t>d’une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séparation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ses</w:t>
      </w:r>
      <w:r>
        <w:rPr>
          <w:color w:val="0D0D0D"/>
          <w:spacing w:val="-17"/>
          <w:sz w:val="18"/>
        </w:rPr>
        <w:t> </w:t>
      </w:r>
      <w:r>
        <w:rPr>
          <w:color w:val="0D0D0D"/>
          <w:spacing w:val="-4"/>
          <w:sz w:val="18"/>
        </w:rPr>
        <w:t>passifs,</w:t>
      </w:r>
      <w:r>
        <w:rPr>
          <w:color w:val="0D0D0D"/>
          <w:spacing w:val="-17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ses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actifs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et</w:t>
      </w:r>
      <w:r>
        <w:rPr>
          <w:color w:val="0D0D0D"/>
          <w:spacing w:val="-16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ses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engagements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croisés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vis- </w:t>
      </w:r>
      <w:r>
        <w:rPr>
          <w:color w:val="0D0D0D"/>
          <w:spacing w:val="-2"/>
          <w:sz w:val="18"/>
        </w:rPr>
        <w:t>à-vis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2"/>
          <w:sz w:val="18"/>
        </w:rPr>
        <w:t>du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2"/>
          <w:sz w:val="18"/>
        </w:rPr>
        <w:t>reste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2"/>
          <w:sz w:val="18"/>
        </w:rPr>
        <w:t>du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2"/>
          <w:sz w:val="18"/>
        </w:rPr>
        <w:t>groupe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2"/>
          <w:sz w:val="18"/>
        </w:rPr>
        <w:t>Casino,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2"/>
          <w:sz w:val="18"/>
        </w:rPr>
        <w:t>conformément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2"/>
          <w:sz w:val="18"/>
        </w:rPr>
        <w:t>aux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2"/>
          <w:sz w:val="18"/>
        </w:rPr>
        <w:t>dispositions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2"/>
          <w:sz w:val="18"/>
        </w:rPr>
        <w:t>du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2"/>
          <w:sz w:val="18"/>
        </w:rPr>
        <w:t>term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2"/>
          <w:sz w:val="18"/>
        </w:rPr>
        <w:t>sheet.</w:t>
      </w:r>
    </w:p>
    <w:p>
      <w:pPr>
        <w:pStyle w:val="BodyText"/>
        <w:spacing w:before="177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5</w:t>
      </w:r>
    </w:p>
    <w:p>
      <w:pPr>
        <w:spacing w:after="0"/>
        <w:rPr>
          <w:rFonts w:ascii="Tahoma" w:hAnsi="Tahoma"/>
        </w:rPr>
        <w:sectPr>
          <w:pgSz w:w="11910" w:h="16840"/>
          <w:pgMar w:top="1260" w:bottom="0" w:left="860" w:right="860"/>
        </w:sectPr>
      </w:pPr>
    </w:p>
    <w:p>
      <w:pPr>
        <w:pStyle w:val="Heading3"/>
      </w:pPr>
      <w:r>
        <w:rPr/>
        <w:drawing>
          <wp:anchor distT="0" distB="0" distL="0" distR="0" allowOverlap="1" layoutInCell="1" locked="0" behindDoc="1" simplePos="0" relativeHeight="487226368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  <w:spacing w:val="-10"/>
        </w:rPr>
        <w:t>Valeur</w:t>
      </w:r>
      <w:r>
        <w:rPr>
          <w:color w:val="6460A9"/>
          <w:spacing w:val="-17"/>
        </w:rPr>
        <w:t> </w:t>
      </w:r>
      <w:r>
        <w:rPr>
          <w:color w:val="6460A9"/>
          <w:spacing w:val="-10"/>
        </w:rPr>
        <w:t>du</w:t>
      </w:r>
      <w:r>
        <w:rPr>
          <w:color w:val="6460A9"/>
          <w:spacing w:val="-13"/>
        </w:rPr>
        <w:t> </w:t>
      </w:r>
      <w:r>
        <w:rPr>
          <w:color w:val="6460A9"/>
          <w:spacing w:val="-10"/>
        </w:rPr>
        <w:t>portefeuille</w:t>
      </w:r>
      <w:r>
        <w:rPr>
          <w:color w:val="6460A9"/>
          <w:spacing w:val="-14"/>
        </w:rPr>
        <w:t> </w:t>
      </w:r>
      <w:r>
        <w:rPr>
          <w:color w:val="6460A9"/>
          <w:spacing w:val="-10"/>
        </w:rPr>
        <w:t>d’actifs</w:t>
      </w:r>
      <w:r>
        <w:rPr>
          <w:color w:val="6460A9"/>
          <w:spacing w:val="-15"/>
        </w:rPr>
        <w:t> </w:t>
      </w:r>
      <w:r>
        <w:rPr>
          <w:color w:val="6460A9"/>
          <w:spacing w:val="-10"/>
        </w:rPr>
        <w:t>immobiliers</w:t>
      </w:r>
      <w:r>
        <w:rPr>
          <w:color w:val="6460A9"/>
          <w:spacing w:val="-14"/>
        </w:rPr>
        <w:t> </w:t>
      </w:r>
      <w:r>
        <w:rPr>
          <w:color w:val="6460A9"/>
          <w:spacing w:val="-10"/>
        </w:rPr>
        <w:t>IGC</w:t>
      </w:r>
    </w:p>
    <w:p>
      <w:pPr>
        <w:pStyle w:val="BodyText"/>
        <w:spacing w:before="128"/>
        <w:ind w:left="272"/>
      </w:pPr>
      <w:r>
        <w:rPr>
          <w:spacing w:val="-6"/>
          <w:u w:val="single"/>
        </w:rPr>
        <w:t>Valeur du</w:t>
      </w:r>
      <w:r>
        <w:rPr>
          <w:spacing w:val="-5"/>
          <w:u w:val="single"/>
        </w:rPr>
        <w:t> </w:t>
      </w:r>
      <w:r>
        <w:rPr>
          <w:spacing w:val="-6"/>
          <w:u w:val="single"/>
        </w:rPr>
        <w:t>portefeuille d’actifs</w:t>
      </w:r>
      <w:r>
        <w:rPr>
          <w:spacing w:val="-5"/>
          <w:u w:val="single"/>
        </w:rPr>
        <w:t> </w:t>
      </w:r>
      <w:r>
        <w:rPr>
          <w:spacing w:val="-6"/>
          <w:u w:val="single"/>
        </w:rPr>
        <w:t>immobiliers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ICG</w:t>
      </w:r>
      <w:r>
        <w:rPr>
          <w:spacing w:val="-3"/>
          <w:u w:val="single"/>
        </w:rPr>
        <w:t> </w:t>
      </w:r>
      <w:r>
        <w:rPr>
          <w:spacing w:val="-6"/>
          <w:u w:val="single"/>
        </w:rPr>
        <w:t>(après</w:t>
      </w:r>
      <w:r>
        <w:rPr>
          <w:spacing w:val="-5"/>
          <w:u w:val="single"/>
        </w:rPr>
        <w:t> </w:t>
      </w:r>
      <w:r>
        <w:rPr>
          <w:spacing w:val="-6"/>
          <w:u w:val="single"/>
        </w:rPr>
        <w:t>droits de</w:t>
      </w:r>
      <w:r>
        <w:rPr>
          <w:spacing w:val="-5"/>
          <w:u w:val="single"/>
        </w:rPr>
        <w:t> </w:t>
      </w:r>
      <w:r>
        <w:rPr>
          <w:spacing w:val="-6"/>
          <w:u w:val="single"/>
        </w:rPr>
        <w:t>mutation)</w:t>
      </w:r>
      <w:r>
        <w:rPr>
          <w:spacing w:val="-7"/>
          <w:u w:val="single"/>
        </w:rPr>
        <w:t> </w:t>
      </w:r>
      <w:r>
        <w:rPr>
          <w:spacing w:val="-6"/>
          <w:u w:val="single"/>
        </w:rPr>
        <w:t>au 31/12/2022</w: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4"/>
        <w:gridCol w:w="3826"/>
      </w:tblGrid>
      <w:tr>
        <w:trPr>
          <w:trHeight w:val="333" w:hRule="atLeast"/>
        </w:trPr>
        <w:tc>
          <w:tcPr>
            <w:tcW w:w="5474" w:type="dxa"/>
          </w:tcPr>
          <w:p>
            <w:pPr>
              <w:pStyle w:val="TableParagraph"/>
              <w:ind w:left="16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(En</w:t>
            </w:r>
            <w:r>
              <w:rPr>
                <w:rFonts w:ascii="Tahoma" w:hAnsi="Tahoma"/>
                <w:b/>
                <w:spacing w:val="-9"/>
                <w:w w:val="90"/>
                <w:sz w:val="20"/>
              </w:rPr>
              <w:t> </w:t>
            </w:r>
            <w:r>
              <w:rPr>
                <w:rFonts w:ascii="Tahoma" w:hAnsi="Tahoma"/>
                <w:b/>
                <w:spacing w:val="-5"/>
                <w:w w:val="95"/>
                <w:sz w:val="20"/>
              </w:rPr>
              <w:t>M€)</w:t>
            </w:r>
          </w:p>
        </w:tc>
        <w:tc>
          <w:tcPr>
            <w:tcW w:w="3826" w:type="dxa"/>
          </w:tcPr>
          <w:p>
            <w:pPr>
              <w:pStyle w:val="TableParagraph"/>
              <w:ind w:left="987" w:right="4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Périmètre</w:t>
            </w:r>
            <w:r>
              <w:rPr>
                <w:rFonts w:ascii="Tahoma" w:hAnsi="Tahoma"/>
                <w:b/>
                <w:spacing w:val="16"/>
                <w:sz w:val="20"/>
              </w:rPr>
              <w:t> </w:t>
            </w:r>
            <w:r>
              <w:rPr>
                <w:rFonts w:ascii="Tahoma" w:hAnsi="Tahoma"/>
                <w:b/>
                <w:spacing w:val="-2"/>
                <w:sz w:val="20"/>
              </w:rPr>
              <w:t>Quatrim</w:t>
            </w:r>
          </w:p>
        </w:tc>
      </w:tr>
      <w:tr>
        <w:trPr>
          <w:trHeight w:val="402" w:hRule="atLeast"/>
        </w:trPr>
        <w:tc>
          <w:tcPr>
            <w:tcW w:w="5474" w:type="dxa"/>
          </w:tcPr>
          <w:p>
            <w:pPr>
              <w:pStyle w:val="TableParagraph"/>
              <w:spacing w:before="88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Hypermarchés</w:t>
            </w:r>
          </w:p>
        </w:tc>
        <w:tc>
          <w:tcPr>
            <w:tcW w:w="3826" w:type="dxa"/>
          </w:tcPr>
          <w:p>
            <w:pPr>
              <w:pStyle w:val="TableParagraph"/>
              <w:spacing w:before="88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195</w:t>
            </w:r>
          </w:p>
        </w:tc>
      </w:tr>
      <w:tr>
        <w:trPr>
          <w:trHeight w:val="380" w:hRule="atLeast"/>
        </w:trPr>
        <w:tc>
          <w:tcPr>
            <w:tcW w:w="5474" w:type="dxa"/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Supermarchés</w:t>
            </w:r>
          </w:p>
        </w:tc>
        <w:tc>
          <w:tcPr>
            <w:tcW w:w="3826" w:type="dxa"/>
          </w:tcPr>
          <w:p>
            <w:pPr>
              <w:pStyle w:val="TableParagraph"/>
              <w:spacing w:before="68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160</w:t>
            </w:r>
          </w:p>
        </w:tc>
      </w:tr>
      <w:tr>
        <w:trPr>
          <w:trHeight w:val="370" w:hRule="atLeast"/>
        </w:trPr>
        <w:tc>
          <w:tcPr>
            <w:tcW w:w="54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6"/>
              <w:rPr>
                <w:sz w:val="20"/>
              </w:rPr>
            </w:pPr>
            <w:r>
              <w:rPr>
                <w:sz w:val="20"/>
              </w:rPr>
              <w:t>Magasins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proximité</w:t>
            </w:r>
          </w:p>
        </w:tc>
        <w:tc>
          <w:tcPr>
            <w:tcW w:w="3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11</w:t>
            </w:r>
          </w:p>
        </w:tc>
      </w:tr>
      <w:tr>
        <w:trPr>
          <w:trHeight w:val="516" w:hRule="atLeast"/>
        </w:trPr>
        <w:tc>
          <w:tcPr>
            <w:tcW w:w="54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8"/>
              <w:ind w:left="1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Stores</w:t>
            </w:r>
          </w:p>
        </w:tc>
        <w:tc>
          <w:tcPr>
            <w:tcW w:w="3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8"/>
              <w:ind w:left="987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366</w:t>
            </w:r>
          </w:p>
        </w:tc>
      </w:tr>
      <w:tr>
        <w:trPr>
          <w:trHeight w:val="506" w:hRule="atLeast"/>
        </w:trPr>
        <w:tc>
          <w:tcPr>
            <w:tcW w:w="5474" w:type="dxa"/>
          </w:tcPr>
          <w:p>
            <w:pPr>
              <w:pStyle w:val="TableParagraph"/>
              <w:spacing w:before="194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Parking</w:t>
            </w:r>
          </w:p>
        </w:tc>
        <w:tc>
          <w:tcPr>
            <w:tcW w:w="3826" w:type="dxa"/>
          </w:tcPr>
          <w:p>
            <w:pPr>
              <w:pStyle w:val="TableParagraph"/>
              <w:spacing w:before="194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149</w:t>
            </w:r>
          </w:p>
        </w:tc>
      </w:tr>
      <w:tr>
        <w:trPr>
          <w:trHeight w:val="380" w:hRule="atLeast"/>
        </w:trPr>
        <w:tc>
          <w:tcPr>
            <w:tcW w:w="5474" w:type="dxa"/>
          </w:tcPr>
          <w:p>
            <w:pPr>
              <w:pStyle w:val="TableParagraph"/>
              <w:spacing w:before="66"/>
              <w:ind w:left="16"/>
              <w:rPr>
                <w:sz w:val="20"/>
              </w:rPr>
            </w:pPr>
            <w:r>
              <w:rPr>
                <w:spacing w:val="-6"/>
                <w:sz w:val="20"/>
              </w:rPr>
              <w:t>Centres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6"/>
                <w:sz w:val="20"/>
              </w:rPr>
              <w:t>commerciaux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6"/>
                <w:sz w:val="20"/>
              </w:rPr>
              <w:t>et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stations-service</w:t>
            </w:r>
          </w:p>
        </w:tc>
        <w:tc>
          <w:tcPr>
            <w:tcW w:w="3826" w:type="dxa"/>
          </w:tcPr>
          <w:p>
            <w:pPr>
              <w:pStyle w:val="TableParagraph"/>
              <w:spacing w:before="66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133</w:t>
            </w:r>
          </w:p>
        </w:tc>
      </w:tr>
      <w:tr>
        <w:trPr>
          <w:trHeight w:val="380" w:hRule="atLeast"/>
        </w:trPr>
        <w:tc>
          <w:tcPr>
            <w:tcW w:w="5474" w:type="dxa"/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w w:val="85"/>
                <w:sz w:val="20"/>
              </w:rPr>
              <w:t>Terrains</w:t>
            </w:r>
            <w:r>
              <w:rPr>
                <w:sz w:val="20"/>
              </w:rPr>
              <w:t> </w:t>
            </w:r>
            <w:r>
              <w:rPr>
                <w:w w:val="85"/>
                <w:sz w:val="20"/>
              </w:rPr>
              <w:t>et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autres</w:t>
            </w:r>
          </w:p>
        </w:tc>
        <w:tc>
          <w:tcPr>
            <w:tcW w:w="3826" w:type="dxa"/>
          </w:tcPr>
          <w:p>
            <w:pPr>
              <w:pStyle w:val="TableParagraph"/>
              <w:spacing w:before="68"/>
              <w:ind w:left="987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104</w:t>
            </w:r>
          </w:p>
        </w:tc>
      </w:tr>
      <w:tr>
        <w:trPr>
          <w:trHeight w:val="368" w:hRule="atLeast"/>
        </w:trPr>
        <w:tc>
          <w:tcPr>
            <w:tcW w:w="54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7"/>
              <w:ind w:left="1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Autres</w:t>
            </w:r>
          </w:p>
        </w:tc>
        <w:tc>
          <w:tcPr>
            <w:tcW w:w="38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7"/>
              <w:ind w:left="987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385</w:t>
            </w:r>
          </w:p>
        </w:tc>
      </w:tr>
      <w:tr>
        <w:trPr>
          <w:trHeight w:val="324" w:hRule="atLeast"/>
        </w:trPr>
        <w:tc>
          <w:tcPr>
            <w:tcW w:w="54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80"/>
              <w:ind w:left="1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Total</w:t>
            </w:r>
            <w:r>
              <w:rPr>
                <w:rFonts w:ascii="Tahoma"/>
                <w:b/>
                <w:spacing w:val="8"/>
                <w:sz w:val="20"/>
              </w:rPr>
              <w:t> </w:t>
            </w:r>
            <w:r>
              <w:rPr>
                <w:rFonts w:ascii="Tahoma"/>
                <w:b/>
                <w:spacing w:val="-5"/>
                <w:sz w:val="20"/>
              </w:rPr>
              <w:t>IGC</w:t>
            </w:r>
          </w:p>
        </w:tc>
        <w:tc>
          <w:tcPr>
            <w:tcW w:w="3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80"/>
              <w:ind w:left="987" w:right="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752</w:t>
            </w:r>
          </w:p>
        </w:tc>
      </w:tr>
    </w:tbl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272"/>
      </w:pPr>
      <w:r>
        <w:rPr>
          <w:spacing w:val="-6"/>
          <w:u w:val="single"/>
        </w:rPr>
        <w:t>Projection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des</w:t>
      </w:r>
      <w:r>
        <w:rPr>
          <w:spacing w:val="-9"/>
          <w:u w:val="single"/>
        </w:rPr>
        <w:t> </w:t>
      </w:r>
      <w:r>
        <w:rPr>
          <w:spacing w:val="-6"/>
          <w:u w:val="single"/>
        </w:rPr>
        <w:t>loyers</w:t>
      </w:r>
      <w:r>
        <w:rPr>
          <w:spacing w:val="-9"/>
          <w:u w:val="single"/>
        </w:rPr>
        <w:t> </w:t>
      </w:r>
      <w:r>
        <w:rPr>
          <w:spacing w:val="-6"/>
          <w:u w:val="single"/>
        </w:rPr>
        <w:t>et de</w:t>
      </w:r>
      <w:r>
        <w:rPr>
          <w:spacing w:val="-9"/>
          <w:u w:val="single"/>
        </w:rPr>
        <w:t> </w:t>
      </w:r>
      <w:r>
        <w:rPr>
          <w:spacing w:val="-6"/>
          <w:u w:val="single"/>
        </w:rPr>
        <w:t>l'EBITDA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du</w:t>
      </w:r>
      <w:r>
        <w:rPr>
          <w:spacing w:val="-10"/>
          <w:u w:val="single"/>
        </w:rPr>
        <w:t> </w:t>
      </w:r>
      <w:r>
        <w:rPr>
          <w:spacing w:val="-6"/>
          <w:u w:val="single"/>
        </w:rPr>
        <w:t>portefeuille</w:t>
      </w:r>
      <w:r>
        <w:rPr>
          <w:spacing w:val="-9"/>
          <w:u w:val="single"/>
        </w:rPr>
        <w:t> </w:t>
      </w:r>
      <w:r>
        <w:rPr>
          <w:spacing w:val="-6"/>
          <w:u w:val="single"/>
        </w:rPr>
        <w:t>d’actifs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immobiliers</w:t>
      </w:r>
      <w:r>
        <w:rPr>
          <w:spacing w:val="-9"/>
          <w:u w:val="single"/>
        </w:rPr>
        <w:t> </w:t>
      </w:r>
      <w:r>
        <w:rPr>
          <w:spacing w:val="-6"/>
          <w:u w:val="single"/>
        </w:rPr>
        <w:t>ICG</w:t>
      </w:r>
      <w:r>
        <w:rPr>
          <w:spacing w:val="-7"/>
          <w:u w:val="single"/>
        </w:rPr>
        <w:t> </w:t>
      </w:r>
      <w:r>
        <w:rPr>
          <w:spacing w:val="-6"/>
          <w:u w:val="single"/>
        </w:rPr>
        <w:t>(avant plan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de</w:t>
      </w:r>
      <w:r>
        <w:rPr>
          <w:spacing w:val="-8"/>
          <w:u w:val="single"/>
        </w:rPr>
        <w:t> </w:t>
      </w:r>
      <w:r>
        <w:rPr>
          <w:spacing w:val="-6"/>
          <w:u w:val="single"/>
        </w:rPr>
        <w:t>cession)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00"/>
        <w:gridCol w:w="1011"/>
        <w:gridCol w:w="908"/>
        <w:gridCol w:w="908"/>
        <w:gridCol w:w="908"/>
        <w:gridCol w:w="1027"/>
      </w:tblGrid>
      <w:tr>
        <w:trPr>
          <w:trHeight w:val="501" w:hRule="atLeast"/>
        </w:trPr>
        <w:tc>
          <w:tcPr>
            <w:tcW w:w="5200" w:type="dxa"/>
          </w:tcPr>
          <w:p>
            <w:pPr>
              <w:pStyle w:val="TableParagraph"/>
              <w:spacing w:before="140"/>
              <w:ind w:left="14"/>
              <w:rPr>
                <w:rFonts w:ascii="Tahoma" w:hAnsi="Tahoma"/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268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-446</wp:posOffset>
                      </wp:positionV>
                      <wp:extent cx="6249670" cy="31877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249670" cy="318770"/>
                                <a:chExt cx="6249670" cy="31877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6249670" cy="318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49670" h="318770">
                                      <a:moveTo>
                                        <a:pt x="5097450" y="0"/>
                                      </a:moveTo>
                                      <a:lnTo>
                                        <a:pt x="50974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318516"/>
                                      </a:lnTo>
                                      <a:lnTo>
                                        <a:pt x="2717927" y="318516"/>
                                      </a:lnTo>
                                      <a:lnTo>
                                        <a:pt x="5097450" y="318516"/>
                                      </a:lnTo>
                                      <a:lnTo>
                                        <a:pt x="5097450" y="9144"/>
                                      </a:lnTo>
                                      <a:lnTo>
                                        <a:pt x="5097450" y="1524"/>
                                      </a:lnTo>
                                      <a:lnTo>
                                        <a:pt x="5097450" y="0"/>
                                      </a:lnTo>
                                      <a:close/>
                                    </a:path>
                                    <a:path w="6249670" h="318770">
                                      <a:moveTo>
                                        <a:pt x="6249657" y="0"/>
                                      </a:moveTo>
                                      <a:lnTo>
                                        <a:pt x="5673598" y="0"/>
                                      </a:lnTo>
                                      <a:lnTo>
                                        <a:pt x="5097526" y="0"/>
                                      </a:lnTo>
                                      <a:lnTo>
                                        <a:pt x="5097526" y="1524"/>
                                      </a:lnTo>
                                      <a:lnTo>
                                        <a:pt x="5097526" y="9144"/>
                                      </a:lnTo>
                                      <a:lnTo>
                                        <a:pt x="5097526" y="318516"/>
                                      </a:lnTo>
                                      <a:lnTo>
                                        <a:pt x="5673598" y="318516"/>
                                      </a:lnTo>
                                      <a:lnTo>
                                        <a:pt x="6249657" y="318516"/>
                                      </a:lnTo>
                                      <a:lnTo>
                                        <a:pt x="6249657" y="9144"/>
                                      </a:lnTo>
                                      <a:lnTo>
                                        <a:pt x="6249657" y="1524"/>
                                      </a:lnTo>
                                      <a:lnTo>
                                        <a:pt x="62496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EBE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035132pt;width:492.1pt;height:25.1pt;mso-position-horizontal-relative:column;mso-position-vertical-relative:paragraph;z-index:-16089600" id="docshapegroup5" coordorigin="0,-1" coordsize="9842,502">
                      <v:shape style="position:absolute;left:0;top:-1;width:9842;height:502" id="docshape6" coordorigin="0,-1" coordsize="9842,502" path="m8027,-1l7120,-1,6213,-1,6213,-1,5305,-1,4280,-1,0,-1,0,2,0,14,0,501,4280,501,5305,501,6213,501,6213,501,7120,501,8027,501,8027,14,8027,2,8027,-1xm9842,-1l8935,-1,8028,-1,8028,2,8028,14,8028,501,8935,501,9842,501,9842,14,9842,2,9842,-1xe" filled="true" fillcolor="#bebeb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 w:hAnsi="Tahoma"/>
                <w:b/>
                <w:w w:val="90"/>
                <w:sz w:val="20"/>
              </w:rPr>
              <w:t>(En</w:t>
            </w:r>
            <w:r>
              <w:rPr>
                <w:rFonts w:ascii="Tahoma" w:hAnsi="Tahoma"/>
                <w:b/>
                <w:spacing w:val="-9"/>
                <w:w w:val="90"/>
                <w:sz w:val="20"/>
              </w:rPr>
              <w:t> </w:t>
            </w:r>
            <w:r>
              <w:rPr>
                <w:rFonts w:ascii="Tahoma" w:hAnsi="Tahoma"/>
                <w:b/>
                <w:spacing w:val="-5"/>
                <w:w w:val="95"/>
                <w:sz w:val="20"/>
              </w:rPr>
              <w:t>M€)</w:t>
            </w:r>
          </w:p>
        </w:tc>
        <w:tc>
          <w:tcPr>
            <w:tcW w:w="1011" w:type="dxa"/>
          </w:tcPr>
          <w:p>
            <w:pPr>
              <w:pStyle w:val="TableParagraph"/>
              <w:spacing w:before="140"/>
              <w:ind w:left="222" w:right="12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2023P</w:t>
            </w:r>
          </w:p>
        </w:tc>
        <w:tc>
          <w:tcPr>
            <w:tcW w:w="908" w:type="dxa"/>
            <w:shd w:val="clear" w:color="auto" w:fill="BEBEBE"/>
          </w:tcPr>
          <w:p>
            <w:pPr>
              <w:pStyle w:val="TableParagraph"/>
              <w:spacing w:before="140"/>
              <w:ind w:right="174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2024P</w:t>
            </w:r>
          </w:p>
        </w:tc>
        <w:tc>
          <w:tcPr>
            <w:tcW w:w="908" w:type="dxa"/>
            <w:shd w:val="clear" w:color="auto" w:fill="BEBEBE"/>
          </w:tcPr>
          <w:p>
            <w:pPr>
              <w:pStyle w:val="TableParagraph"/>
              <w:spacing w:before="140"/>
              <w:ind w:right="17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2025P</w:t>
            </w:r>
          </w:p>
        </w:tc>
        <w:tc>
          <w:tcPr>
            <w:tcW w:w="908" w:type="dxa"/>
            <w:shd w:val="clear" w:color="auto" w:fill="BEBEBE"/>
          </w:tcPr>
          <w:p>
            <w:pPr>
              <w:pStyle w:val="TableParagraph"/>
              <w:spacing w:before="140"/>
              <w:ind w:right="17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2026P</w:t>
            </w:r>
          </w:p>
        </w:tc>
        <w:tc>
          <w:tcPr>
            <w:tcW w:w="1027" w:type="dxa"/>
            <w:shd w:val="clear" w:color="auto" w:fill="BEBEBE"/>
          </w:tcPr>
          <w:p>
            <w:pPr>
              <w:pStyle w:val="TableParagraph"/>
              <w:spacing w:before="140"/>
              <w:ind w:right="29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2027P</w:t>
            </w:r>
          </w:p>
        </w:tc>
      </w:tr>
      <w:tr>
        <w:trPr>
          <w:trHeight w:val="498" w:hRule="atLeast"/>
        </w:trPr>
        <w:tc>
          <w:tcPr>
            <w:tcW w:w="52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left="14"/>
              <w:rPr>
                <w:sz w:val="20"/>
              </w:rPr>
            </w:pPr>
            <w:r>
              <w:rPr>
                <w:spacing w:val="-6"/>
                <w:sz w:val="20"/>
              </w:rPr>
              <w:t>Loyers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nets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et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revenus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6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6"/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6"/>
                <w:sz w:val="20"/>
              </w:rPr>
              <w:t>promotion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6"/>
                <w:sz w:val="20"/>
              </w:rPr>
              <w:t>Immobilière</w:t>
            </w:r>
          </w:p>
        </w:tc>
        <w:tc>
          <w:tcPr>
            <w:tcW w:w="10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left="222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37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right="222"/>
              <w:jc w:val="righ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39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right="223"/>
              <w:jc w:val="righ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41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right="226"/>
              <w:jc w:val="righ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41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7"/>
              <w:ind w:right="347"/>
              <w:jc w:val="right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41</w:t>
            </w:r>
          </w:p>
        </w:tc>
      </w:tr>
      <w:tr>
        <w:trPr>
          <w:trHeight w:val="384" w:hRule="atLeast"/>
        </w:trPr>
        <w:tc>
          <w:tcPr>
            <w:tcW w:w="52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left="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EBITDA</w:t>
            </w:r>
            <w:r>
              <w:rPr>
                <w:rFonts w:ascii="Tahoma"/>
                <w:b/>
                <w:spacing w:val="-8"/>
                <w:w w:val="90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(avant-</w:t>
            </w:r>
            <w:r>
              <w:rPr>
                <w:rFonts w:ascii="Tahoma"/>
                <w:b/>
                <w:spacing w:val="-2"/>
                <w:w w:val="90"/>
                <w:sz w:val="20"/>
              </w:rPr>
              <w:t>capex)</w:t>
            </w:r>
          </w:p>
        </w:tc>
        <w:tc>
          <w:tcPr>
            <w:tcW w:w="10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left="222" w:right="120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27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left="3"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29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31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left="1" w:right="3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31</w:t>
            </w:r>
          </w:p>
        </w:tc>
        <w:tc>
          <w:tcPr>
            <w:tcW w:w="10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24" w:lineRule="exact" w:before="140"/>
              <w:ind w:left="34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31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pStyle w:val="BodyText"/>
        <w:ind w:left="304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6</w:t>
      </w:r>
    </w:p>
    <w:p>
      <w:pPr>
        <w:spacing w:after="0"/>
        <w:rPr>
          <w:rFonts w:ascii="Tahoma" w:hAnsi="Tahoma"/>
        </w:rPr>
        <w:sectPr>
          <w:pgSz w:w="11910" w:h="16840"/>
          <w:pgMar w:top="1200" w:bottom="0" w:left="860" w:right="860"/>
        </w:sectPr>
      </w:pPr>
    </w:p>
    <w:p>
      <w:pPr>
        <w:pStyle w:val="Heading2"/>
        <w:spacing w:before="80"/>
        <w:jc w:val="left"/>
        <w:rPr>
          <w:rFonts w:ascii="Verdana" w:hAnsi="Verdana"/>
          <w:i/>
          <w:sz w:val="13"/>
        </w:rPr>
      </w:pP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0A9"/>
          <w:spacing w:val="-10"/>
        </w:rPr>
        <w:t>IGC</w:t>
      </w:r>
      <w:r>
        <w:rPr>
          <w:color w:val="6460A9"/>
          <w:spacing w:val="-18"/>
        </w:rPr>
        <w:t> </w:t>
      </w:r>
      <w:r>
        <w:rPr>
          <w:color w:val="6460A9"/>
          <w:spacing w:val="-10"/>
        </w:rPr>
        <w:t>–</w:t>
      </w:r>
      <w:r>
        <w:rPr>
          <w:color w:val="6460A9"/>
          <w:spacing w:val="-11"/>
        </w:rPr>
        <w:t> </w:t>
      </w:r>
      <w:r>
        <w:rPr>
          <w:color w:val="6460A9"/>
          <w:spacing w:val="-10"/>
        </w:rPr>
        <w:t>PLAN</w:t>
      </w:r>
      <w:r>
        <w:rPr>
          <w:color w:val="6460A9"/>
          <w:spacing w:val="-13"/>
        </w:rPr>
        <w:t> </w:t>
      </w:r>
      <w:r>
        <w:rPr>
          <w:color w:val="6460A9"/>
          <w:spacing w:val="-10"/>
        </w:rPr>
        <w:t>DE</w:t>
      </w:r>
      <w:r>
        <w:rPr>
          <w:color w:val="6460A9"/>
          <w:spacing w:val="-11"/>
        </w:rPr>
        <w:t> </w:t>
      </w:r>
      <w:r>
        <w:rPr>
          <w:color w:val="6460A9"/>
          <w:spacing w:val="-10"/>
        </w:rPr>
        <w:t>CESSION</w:t>
      </w:r>
      <w:r>
        <w:rPr>
          <w:color w:val="6460A9"/>
          <w:spacing w:val="-13"/>
        </w:rPr>
        <w:t> </w:t>
      </w:r>
      <w:r>
        <w:rPr>
          <w:color w:val="6460A9"/>
          <w:spacing w:val="-10"/>
        </w:rPr>
        <w:t>DES</w:t>
      </w:r>
      <w:r>
        <w:rPr>
          <w:color w:val="6460A9"/>
          <w:spacing w:val="-9"/>
        </w:rPr>
        <w:t> </w:t>
      </w:r>
      <w:r>
        <w:rPr>
          <w:color w:val="6460A9"/>
          <w:spacing w:val="-10"/>
        </w:rPr>
        <w:t>ACTIFS IMMOBILIERS</w:t>
      </w:r>
      <w:r>
        <w:rPr>
          <w:rFonts w:ascii="Verdana" w:hAnsi="Verdana"/>
          <w:i/>
          <w:spacing w:val="-10"/>
          <w:position w:val="5"/>
          <w:sz w:val="13"/>
        </w:rPr>
        <w:t>1</w:t>
      </w:r>
    </w:p>
    <w:p>
      <w:pPr>
        <w:pStyle w:val="BodyText"/>
        <w:spacing w:before="128"/>
        <w:ind w:left="272"/>
      </w:pPr>
      <w:r>
        <w:rPr>
          <w:spacing w:val="-6"/>
          <w:u w:val="single"/>
        </w:rPr>
        <w:t>Plan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révisé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de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cession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des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actifs</w:t>
      </w:r>
      <w:r>
        <w:rPr>
          <w:spacing w:val="-14"/>
          <w:u w:val="single"/>
        </w:rPr>
        <w:t> </w:t>
      </w:r>
      <w:r>
        <w:rPr>
          <w:spacing w:val="-6"/>
          <w:u w:val="single"/>
        </w:rPr>
        <w:t>immobiliers</w:t>
      </w:r>
      <w:r>
        <w:rPr>
          <w:spacing w:val="-12"/>
          <w:u w:val="single"/>
        </w:rPr>
        <w:t> </w:t>
      </w:r>
      <w:r>
        <w:rPr>
          <w:spacing w:val="-6"/>
          <w:u w:val="single"/>
        </w:rPr>
        <w:t>(en</w:t>
      </w:r>
      <w:r>
        <w:rPr>
          <w:spacing w:val="-13"/>
          <w:u w:val="single"/>
        </w:rPr>
        <w:t> </w:t>
      </w:r>
      <w:r>
        <w:rPr>
          <w:spacing w:val="-6"/>
          <w:u w:val="single"/>
        </w:rPr>
        <w:t>M€)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1607"/>
        <w:gridCol w:w="1606"/>
        <w:gridCol w:w="1604"/>
        <w:gridCol w:w="1607"/>
        <w:gridCol w:w="1606"/>
      </w:tblGrid>
      <w:tr>
        <w:trPr>
          <w:trHeight w:val="486" w:hRule="atLeast"/>
        </w:trPr>
        <w:tc>
          <w:tcPr>
            <w:tcW w:w="1604" w:type="dxa"/>
            <w:shd w:val="clear" w:color="auto" w:fill="BEBEBE"/>
          </w:tcPr>
          <w:p>
            <w:pPr>
              <w:pStyle w:val="TableParagraph"/>
              <w:spacing w:before="122"/>
              <w:ind w:left="14" w:right="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w w:val="80"/>
                <w:sz w:val="20"/>
              </w:rPr>
              <w:t>H2</w:t>
            </w:r>
            <w:r>
              <w:rPr>
                <w:b/>
                <w:i/>
                <w:spacing w:val="-4"/>
                <w:w w:val="80"/>
                <w:sz w:val="20"/>
              </w:rPr>
              <w:t> </w:t>
            </w:r>
            <w:r>
              <w:rPr>
                <w:b/>
                <w:i/>
                <w:spacing w:val="-4"/>
                <w:w w:val="90"/>
                <w:sz w:val="20"/>
              </w:rPr>
              <w:t>2023</w:t>
            </w:r>
          </w:p>
        </w:tc>
        <w:tc>
          <w:tcPr>
            <w:tcW w:w="1607" w:type="dxa"/>
            <w:shd w:val="clear" w:color="auto" w:fill="BEBEBE"/>
          </w:tcPr>
          <w:p>
            <w:pPr>
              <w:pStyle w:val="TableParagraph"/>
              <w:spacing w:before="122"/>
              <w:ind w:left="7" w:right="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w w:val="90"/>
                <w:sz w:val="20"/>
              </w:rPr>
              <w:t>2024</w:t>
            </w:r>
          </w:p>
        </w:tc>
        <w:tc>
          <w:tcPr>
            <w:tcW w:w="1606" w:type="dxa"/>
            <w:shd w:val="clear" w:color="auto" w:fill="BEBEBE"/>
          </w:tcPr>
          <w:p>
            <w:pPr>
              <w:pStyle w:val="TableParagraph"/>
              <w:spacing w:before="122"/>
              <w:ind w:left="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w w:val="90"/>
                <w:sz w:val="20"/>
              </w:rPr>
              <w:t>2025</w:t>
            </w:r>
          </w:p>
        </w:tc>
        <w:tc>
          <w:tcPr>
            <w:tcW w:w="1604" w:type="dxa"/>
            <w:shd w:val="clear" w:color="auto" w:fill="BEBEBE"/>
          </w:tcPr>
          <w:p>
            <w:pPr>
              <w:pStyle w:val="TableParagraph"/>
              <w:spacing w:before="122"/>
              <w:ind w:left="14" w:right="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w w:val="90"/>
                <w:sz w:val="20"/>
              </w:rPr>
              <w:t>2026</w:t>
            </w:r>
          </w:p>
        </w:tc>
        <w:tc>
          <w:tcPr>
            <w:tcW w:w="1607" w:type="dxa"/>
            <w:shd w:val="clear" w:color="auto" w:fill="BEBEBE"/>
          </w:tcPr>
          <w:p>
            <w:pPr>
              <w:pStyle w:val="TableParagraph"/>
              <w:spacing w:before="122"/>
              <w:ind w:left="7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w w:val="90"/>
                <w:sz w:val="20"/>
              </w:rPr>
              <w:t>2027</w:t>
            </w:r>
          </w:p>
        </w:tc>
        <w:tc>
          <w:tcPr>
            <w:tcW w:w="1606" w:type="dxa"/>
            <w:shd w:val="clear" w:color="auto" w:fill="BEBEBE"/>
          </w:tcPr>
          <w:p>
            <w:pPr>
              <w:pStyle w:val="TableParagraph"/>
              <w:spacing w:before="122"/>
              <w:ind w:left="5" w:right="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w w:val="90"/>
                <w:sz w:val="20"/>
              </w:rPr>
              <w:t>2028</w:t>
            </w:r>
          </w:p>
        </w:tc>
      </w:tr>
      <w:tr>
        <w:trPr>
          <w:trHeight w:val="484" w:hRule="atLeast"/>
        </w:trPr>
        <w:tc>
          <w:tcPr>
            <w:tcW w:w="1604" w:type="dxa"/>
          </w:tcPr>
          <w:p>
            <w:pPr>
              <w:pStyle w:val="TableParagraph"/>
              <w:spacing w:before="122"/>
              <w:ind w:left="14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74</w:t>
            </w:r>
          </w:p>
        </w:tc>
        <w:tc>
          <w:tcPr>
            <w:tcW w:w="1607" w:type="dxa"/>
          </w:tcPr>
          <w:p>
            <w:pPr>
              <w:pStyle w:val="TableParagraph"/>
              <w:spacing w:before="122"/>
              <w:ind w:left="7" w:right="2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207</w:t>
            </w:r>
          </w:p>
        </w:tc>
        <w:tc>
          <w:tcPr>
            <w:tcW w:w="1606" w:type="dxa"/>
          </w:tcPr>
          <w:p>
            <w:pPr>
              <w:pStyle w:val="TableParagraph"/>
              <w:spacing w:before="122"/>
              <w:ind w:left="5" w:right="1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73</w:t>
            </w:r>
          </w:p>
        </w:tc>
        <w:tc>
          <w:tcPr>
            <w:tcW w:w="1604" w:type="dxa"/>
          </w:tcPr>
          <w:p>
            <w:pPr>
              <w:pStyle w:val="TableParagraph"/>
              <w:spacing w:before="122"/>
              <w:ind w:left="14" w:right="8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79</w:t>
            </w:r>
          </w:p>
        </w:tc>
        <w:tc>
          <w:tcPr>
            <w:tcW w:w="1607" w:type="dxa"/>
          </w:tcPr>
          <w:p>
            <w:pPr>
              <w:pStyle w:val="TableParagraph"/>
              <w:spacing w:before="122"/>
              <w:ind w:left="7" w:right="1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75</w:t>
            </w:r>
          </w:p>
        </w:tc>
        <w:tc>
          <w:tcPr>
            <w:tcW w:w="1606" w:type="dxa"/>
          </w:tcPr>
          <w:p>
            <w:pPr>
              <w:pStyle w:val="TableParagraph"/>
              <w:spacing w:before="122"/>
              <w:ind w:left="5" w:right="4"/>
              <w:jc w:val="center"/>
              <w:rPr>
                <w:i/>
                <w:sz w:val="20"/>
              </w:rPr>
            </w:pPr>
            <w:r>
              <w:rPr>
                <w:i/>
                <w:spacing w:val="-5"/>
                <w:w w:val="95"/>
                <w:sz w:val="20"/>
              </w:rPr>
              <w:t>72</w:t>
            </w:r>
          </w:p>
        </w:tc>
      </w:tr>
    </w:tbl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272"/>
      </w:pPr>
      <w:r>
        <w:rPr>
          <w:spacing w:val="-4"/>
          <w:u w:val="single"/>
        </w:rPr>
        <w:t>Valeur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théorique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des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actifs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pour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les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porteurs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d’obligations</w:t>
      </w:r>
      <w:r>
        <w:rPr>
          <w:spacing w:val="-16"/>
          <w:u w:val="single"/>
        </w:rPr>
        <w:t> </w:t>
      </w:r>
      <w:r>
        <w:rPr>
          <w:spacing w:val="-4"/>
          <w:u w:val="single"/>
        </w:rPr>
        <w:t>Quatrim</w:t>
      </w:r>
    </w:p>
    <w:p>
      <w:pPr>
        <w:pStyle w:val="BodyText"/>
        <w:spacing w:before="10"/>
        <w:rPr>
          <w:sz w:val="9"/>
        </w:rPr>
      </w:pPr>
    </w:p>
    <w:tbl>
      <w:tblPr>
        <w:tblW w:w="0" w:type="auto"/>
        <w:jc w:val="left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9"/>
        <w:gridCol w:w="877"/>
        <w:gridCol w:w="1924"/>
        <w:gridCol w:w="1921"/>
      </w:tblGrid>
      <w:tr>
        <w:trPr>
          <w:trHeight w:val="609" w:hRule="atLeast"/>
        </w:trPr>
        <w:tc>
          <w:tcPr>
            <w:tcW w:w="4919" w:type="dxa"/>
            <w:shd w:val="clear" w:color="auto" w:fill="BEBEBE"/>
          </w:tcPr>
          <w:p>
            <w:pPr>
              <w:pStyle w:val="TableParagraph"/>
              <w:spacing w:before="186"/>
              <w:ind w:left="2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90"/>
                <w:sz w:val="20"/>
              </w:rPr>
              <w:t>(En</w:t>
            </w:r>
            <w:r>
              <w:rPr>
                <w:rFonts w:ascii="Tahoma" w:hAnsi="Tahoma"/>
                <w:b/>
                <w:spacing w:val="-9"/>
                <w:w w:val="90"/>
                <w:sz w:val="20"/>
              </w:rPr>
              <w:t> </w:t>
            </w:r>
            <w:r>
              <w:rPr>
                <w:rFonts w:ascii="Tahoma" w:hAnsi="Tahoma"/>
                <w:b/>
                <w:spacing w:val="-5"/>
                <w:w w:val="95"/>
                <w:sz w:val="20"/>
              </w:rPr>
              <w:t>M€)</w:t>
            </w:r>
          </w:p>
        </w:tc>
        <w:tc>
          <w:tcPr>
            <w:tcW w:w="877" w:type="dxa"/>
            <w:shd w:val="clear" w:color="auto" w:fill="BEBEBE"/>
          </w:tcPr>
          <w:p>
            <w:pPr>
              <w:pStyle w:val="TableParagraph"/>
              <w:spacing w:line="242" w:lineRule="auto" w:before="63"/>
              <w:ind w:left="107" w:firstLine="1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Valeur </w:t>
            </w:r>
            <w:r>
              <w:rPr>
                <w:rFonts w:ascii="Tahoma"/>
                <w:b/>
                <w:spacing w:val="-2"/>
                <w:w w:val="80"/>
                <w:sz w:val="20"/>
              </w:rPr>
              <w:t>(100%)</w:t>
            </w:r>
          </w:p>
        </w:tc>
        <w:tc>
          <w:tcPr>
            <w:tcW w:w="1924" w:type="dxa"/>
            <w:shd w:val="clear" w:color="auto" w:fill="BEBEBE"/>
          </w:tcPr>
          <w:p>
            <w:pPr>
              <w:pStyle w:val="TableParagraph"/>
              <w:spacing w:before="186"/>
              <w:ind w:left="6" w:right="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0"/>
                <w:sz w:val="20"/>
              </w:rPr>
              <w:t>Part</w:t>
            </w:r>
            <w:r>
              <w:rPr>
                <w:rFonts w:ascii="Tahoma"/>
                <w:b/>
                <w:spacing w:val="4"/>
                <w:sz w:val="20"/>
              </w:rPr>
              <w:t> </w:t>
            </w:r>
            <w:r>
              <w:rPr>
                <w:rFonts w:ascii="Tahoma"/>
                <w:b/>
                <w:w w:val="90"/>
                <w:sz w:val="20"/>
              </w:rPr>
              <w:t>Quatrim</w:t>
            </w:r>
            <w:r>
              <w:rPr>
                <w:rFonts w:ascii="Tahoma"/>
                <w:b/>
                <w:spacing w:val="4"/>
                <w:sz w:val="20"/>
              </w:rPr>
              <w:t> </w:t>
            </w:r>
            <w:r>
              <w:rPr>
                <w:rFonts w:ascii="Tahoma"/>
                <w:b/>
                <w:spacing w:val="-5"/>
                <w:w w:val="90"/>
                <w:sz w:val="20"/>
              </w:rPr>
              <w:t>(%)</w:t>
            </w:r>
          </w:p>
        </w:tc>
        <w:tc>
          <w:tcPr>
            <w:tcW w:w="1921" w:type="dxa"/>
            <w:shd w:val="clear" w:color="auto" w:fill="BEBEBE"/>
          </w:tcPr>
          <w:p>
            <w:pPr>
              <w:pStyle w:val="TableParagraph"/>
              <w:spacing w:before="186"/>
              <w:ind w:left="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Total</w:t>
            </w:r>
          </w:p>
        </w:tc>
      </w:tr>
      <w:tr>
        <w:trPr>
          <w:trHeight w:val="366" w:hRule="atLeast"/>
        </w:trPr>
        <w:tc>
          <w:tcPr>
            <w:tcW w:w="4919" w:type="dxa"/>
          </w:tcPr>
          <w:p>
            <w:pPr>
              <w:pStyle w:val="TableParagraph"/>
              <w:spacing w:before="62"/>
              <w:ind w:left="107"/>
              <w:rPr>
                <w:sz w:val="13"/>
              </w:rPr>
            </w:pPr>
            <w:r>
              <w:rPr>
                <w:w w:val="90"/>
                <w:sz w:val="20"/>
              </w:rPr>
              <w:t>Périmètre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Quatrim</w:t>
            </w:r>
            <w:r>
              <w:rPr>
                <w:spacing w:val="-2"/>
                <w:position w:val="5"/>
                <w:sz w:val="13"/>
              </w:rPr>
              <w:t>2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732</w:t>
            </w:r>
          </w:p>
        </w:tc>
        <w:tc>
          <w:tcPr>
            <w:tcW w:w="1924" w:type="dxa"/>
          </w:tcPr>
          <w:p>
            <w:pPr>
              <w:pStyle w:val="TableParagraph"/>
              <w:spacing w:before="62"/>
              <w:ind w:left="6" w:right="2"/>
              <w:jc w:val="center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100%</w:t>
            </w:r>
          </w:p>
        </w:tc>
        <w:tc>
          <w:tcPr>
            <w:tcW w:w="1921" w:type="dxa"/>
          </w:tcPr>
          <w:p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732</w:t>
            </w:r>
          </w:p>
        </w:tc>
      </w:tr>
      <w:tr>
        <w:trPr>
          <w:trHeight w:val="364" w:hRule="atLeast"/>
        </w:trPr>
        <w:tc>
          <w:tcPr>
            <w:tcW w:w="4919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Cash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dans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les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comptes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séquestres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20</w:t>
            </w:r>
          </w:p>
        </w:tc>
        <w:tc>
          <w:tcPr>
            <w:tcW w:w="1924" w:type="dxa"/>
          </w:tcPr>
          <w:p>
            <w:pPr>
              <w:pStyle w:val="TableParagraph"/>
              <w:spacing w:before="62"/>
              <w:ind w:left="6" w:right="2"/>
              <w:jc w:val="center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100%</w:t>
            </w:r>
          </w:p>
        </w:tc>
        <w:tc>
          <w:tcPr>
            <w:tcW w:w="1921" w:type="dxa"/>
          </w:tcPr>
          <w:p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20</w:t>
            </w:r>
          </w:p>
        </w:tc>
      </w:tr>
      <w:tr>
        <w:trPr>
          <w:trHeight w:val="365" w:hRule="atLeast"/>
        </w:trPr>
        <w:tc>
          <w:tcPr>
            <w:tcW w:w="4919" w:type="dxa"/>
          </w:tcPr>
          <w:p>
            <w:pPr>
              <w:pStyle w:val="TableParagraph"/>
              <w:spacing w:before="63"/>
              <w:ind w:left="107"/>
              <w:rPr>
                <w:sz w:val="20"/>
              </w:rPr>
            </w:pPr>
            <w:r>
              <w:rPr>
                <w:w w:val="90"/>
                <w:sz w:val="20"/>
              </w:rPr>
              <w:t>Actifs</w:t>
            </w:r>
            <w:r>
              <w:rPr>
                <w:spacing w:val="2"/>
                <w:sz w:val="20"/>
              </w:rPr>
              <w:t> </w:t>
            </w:r>
            <w:r>
              <w:rPr>
                <w:w w:val="90"/>
                <w:sz w:val="20"/>
              </w:rPr>
              <w:t>immobiliers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5"/>
                <w:w w:val="90"/>
                <w:sz w:val="20"/>
              </w:rPr>
              <w:t>CPF</w:t>
            </w:r>
          </w:p>
        </w:tc>
        <w:tc>
          <w:tcPr>
            <w:tcW w:w="877" w:type="dxa"/>
          </w:tcPr>
          <w:p>
            <w:pPr>
              <w:pStyle w:val="TableParagraph"/>
              <w:spacing w:before="63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64</w:t>
            </w:r>
          </w:p>
        </w:tc>
        <w:tc>
          <w:tcPr>
            <w:tcW w:w="1924" w:type="dxa"/>
          </w:tcPr>
          <w:p>
            <w:pPr>
              <w:pStyle w:val="TableParagraph"/>
              <w:spacing w:before="63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33.3%</w:t>
            </w:r>
          </w:p>
        </w:tc>
        <w:tc>
          <w:tcPr>
            <w:tcW w:w="1921" w:type="dxa"/>
          </w:tcPr>
          <w:p>
            <w:pPr>
              <w:pStyle w:val="TableParagraph"/>
              <w:spacing w:before="63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21</w:t>
            </w:r>
          </w:p>
        </w:tc>
      </w:tr>
      <w:tr>
        <w:trPr>
          <w:trHeight w:val="366" w:hRule="atLeast"/>
        </w:trPr>
        <w:tc>
          <w:tcPr>
            <w:tcW w:w="4919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z w:val="20"/>
              </w:rPr>
              <w:t>Green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Yellow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135</w:t>
            </w:r>
          </w:p>
        </w:tc>
        <w:tc>
          <w:tcPr>
            <w:tcW w:w="1924" w:type="dxa"/>
          </w:tcPr>
          <w:p>
            <w:pPr>
              <w:pStyle w:val="TableParagraph"/>
              <w:spacing w:before="62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33.3%</w:t>
            </w:r>
          </w:p>
        </w:tc>
        <w:tc>
          <w:tcPr>
            <w:tcW w:w="1921" w:type="dxa"/>
          </w:tcPr>
          <w:p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45</w:t>
            </w:r>
          </w:p>
        </w:tc>
      </w:tr>
      <w:tr>
        <w:trPr>
          <w:trHeight w:val="364" w:hRule="atLeast"/>
        </w:trPr>
        <w:tc>
          <w:tcPr>
            <w:tcW w:w="4919" w:type="dxa"/>
          </w:tcPr>
          <w:p>
            <w:pPr>
              <w:pStyle w:val="TableParagraph"/>
              <w:spacing w:before="62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Autres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actifs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CPF</w:t>
            </w:r>
            <w:r>
              <w:rPr>
                <w:spacing w:val="-4"/>
                <w:position w:val="5"/>
                <w:sz w:val="13"/>
              </w:rPr>
              <w:t>3</w:t>
            </w:r>
            <w:r>
              <w:rPr>
                <w:spacing w:val="-6"/>
                <w:position w:val="5"/>
                <w:sz w:val="13"/>
              </w:rPr>
              <w:t> </w:t>
            </w:r>
            <w:r>
              <w:rPr>
                <w:spacing w:val="-4"/>
                <w:sz w:val="20"/>
              </w:rPr>
              <w:t>(Casino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Participations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4"/>
                <w:sz w:val="20"/>
              </w:rPr>
              <w:t>France)</w:t>
            </w:r>
          </w:p>
        </w:tc>
        <w:tc>
          <w:tcPr>
            <w:tcW w:w="877" w:type="dxa"/>
          </w:tcPr>
          <w:p>
            <w:pPr>
              <w:pStyle w:val="TableParagraph"/>
              <w:spacing w:before="62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96</w:t>
            </w:r>
          </w:p>
        </w:tc>
        <w:tc>
          <w:tcPr>
            <w:tcW w:w="1924" w:type="dxa"/>
          </w:tcPr>
          <w:p>
            <w:pPr>
              <w:pStyle w:val="TableParagraph"/>
              <w:spacing w:before="62"/>
              <w:ind w:left="7" w:right="1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33.3%</w:t>
            </w:r>
          </w:p>
        </w:tc>
        <w:tc>
          <w:tcPr>
            <w:tcW w:w="1921" w:type="dxa"/>
          </w:tcPr>
          <w:p>
            <w:pPr>
              <w:pStyle w:val="TableParagraph"/>
              <w:spacing w:before="62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32</w:t>
            </w:r>
          </w:p>
        </w:tc>
      </w:tr>
      <w:tr>
        <w:trPr>
          <w:trHeight w:val="609" w:hRule="atLeast"/>
        </w:trPr>
        <w:tc>
          <w:tcPr>
            <w:tcW w:w="4919" w:type="dxa"/>
          </w:tcPr>
          <w:p>
            <w:pPr>
              <w:pStyle w:val="TableParagraph"/>
              <w:spacing w:before="62"/>
              <w:ind w:left="107"/>
              <w:rPr>
                <w:sz w:val="13"/>
              </w:rPr>
            </w:pPr>
            <w:r>
              <w:rPr>
                <w:sz w:val="20"/>
              </w:rPr>
              <w:t>Segisor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attendue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cession Latam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excédentaires</w:t>
            </w:r>
            <w:r>
              <w:rPr>
                <w:position w:val="5"/>
                <w:sz w:val="13"/>
              </w:rPr>
              <w:t>4</w:t>
            </w:r>
          </w:p>
        </w:tc>
        <w:tc>
          <w:tcPr>
            <w:tcW w:w="877" w:type="dxa"/>
          </w:tcPr>
          <w:p>
            <w:pPr>
              <w:pStyle w:val="TableParagraph"/>
              <w:spacing w:before="64"/>
              <w:rPr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46</w:t>
            </w:r>
          </w:p>
        </w:tc>
        <w:tc>
          <w:tcPr>
            <w:tcW w:w="1924" w:type="dxa"/>
          </w:tcPr>
          <w:p>
            <w:pPr>
              <w:pStyle w:val="TableParagraph"/>
              <w:spacing w:before="64"/>
              <w:rPr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n.m.</w:t>
            </w:r>
          </w:p>
        </w:tc>
        <w:tc>
          <w:tcPr>
            <w:tcW w:w="1921" w:type="dxa"/>
          </w:tcPr>
          <w:p>
            <w:pPr>
              <w:pStyle w:val="TableParagraph"/>
              <w:spacing w:before="64"/>
              <w:rPr>
                <w:sz w:val="20"/>
              </w:rPr>
            </w:pPr>
          </w:p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46</w:t>
            </w:r>
          </w:p>
        </w:tc>
      </w:tr>
      <w:tr>
        <w:trPr>
          <w:trHeight w:val="366" w:hRule="atLeast"/>
        </w:trPr>
        <w:tc>
          <w:tcPr>
            <w:tcW w:w="4919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Garantie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Monoprix</w:t>
            </w:r>
          </w:p>
        </w:tc>
        <w:tc>
          <w:tcPr>
            <w:tcW w:w="877" w:type="dxa"/>
          </w:tcPr>
          <w:p>
            <w:pPr>
              <w:pStyle w:val="TableParagraph"/>
              <w:spacing w:before="65"/>
              <w:ind w:left="6" w:right="1"/>
              <w:jc w:val="center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-</w:t>
            </w:r>
          </w:p>
        </w:tc>
        <w:tc>
          <w:tcPr>
            <w:tcW w:w="1924" w:type="dxa"/>
          </w:tcPr>
          <w:p>
            <w:pPr>
              <w:pStyle w:val="TableParagraph"/>
              <w:spacing w:before="65"/>
              <w:ind w:left="6" w:right="4"/>
              <w:jc w:val="center"/>
              <w:rPr>
                <w:sz w:val="20"/>
              </w:rPr>
            </w:pPr>
            <w:r>
              <w:rPr>
                <w:spacing w:val="-10"/>
                <w:w w:val="80"/>
                <w:sz w:val="20"/>
              </w:rPr>
              <w:t>-</w:t>
            </w:r>
          </w:p>
        </w:tc>
        <w:tc>
          <w:tcPr>
            <w:tcW w:w="1921" w:type="dxa"/>
          </w:tcPr>
          <w:p>
            <w:pPr>
              <w:pStyle w:val="TableParagraph"/>
              <w:spacing w:before="65"/>
              <w:ind w:left="4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50</w:t>
            </w:r>
          </w:p>
        </w:tc>
      </w:tr>
      <w:tr>
        <w:trPr>
          <w:trHeight w:val="364" w:hRule="atLeast"/>
        </w:trPr>
        <w:tc>
          <w:tcPr>
            <w:tcW w:w="4919" w:type="dxa"/>
          </w:tcPr>
          <w:p>
            <w:pPr>
              <w:pStyle w:val="TableParagraph"/>
              <w:spacing w:before="63"/>
              <w:ind w:left="10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w w:val="95"/>
                <w:sz w:val="20"/>
              </w:rPr>
              <w:t>Total</w:t>
            </w:r>
          </w:p>
        </w:tc>
        <w:tc>
          <w:tcPr>
            <w:tcW w:w="8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63"/>
              <w:ind w:left="4" w:right="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946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719327</wp:posOffset>
                </wp:positionH>
                <wp:positionV relativeFrom="paragraph">
                  <wp:posOffset>278598</wp:posOffset>
                </wp:positionV>
                <wp:extent cx="1829435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9435" y="6096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1.936913pt;width:144.050pt;height:.48004pt;mso-position-horizontal-relative:page;mso-position-vertical-relative:paragraph;z-index:-1572300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200"/>
        <w:ind w:left="272" w:right="280" w:firstLine="0"/>
        <w:jc w:val="both"/>
        <w:rPr>
          <w:sz w:val="18"/>
        </w:rPr>
      </w:pPr>
      <w:r>
        <w:rPr>
          <w:color w:val="0D0D0D"/>
          <w:position w:val="5"/>
          <w:sz w:val="12"/>
        </w:rPr>
        <w:t>1</w:t>
      </w:r>
      <w:r>
        <w:rPr>
          <w:color w:val="0D0D0D"/>
          <w:spacing w:val="27"/>
          <w:position w:val="5"/>
          <w:sz w:val="12"/>
        </w:rPr>
        <w:t> </w:t>
      </w:r>
      <w:r>
        <w:rPr>
          <w:color w:val="0D0D0D"/>
          <w:sz w:val="18"/>
        </w:rPr>
        <w:t>Produits de cession d’actifs basés sur les valeurs de marché (voir également note 2), incluant les actifs immobiliers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CPF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qui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sont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hors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du</w:t>
      </w:r>
      <w:r>
        <w:rPr>
          <w:color w:val="0D0D0D"/>
          <w:spacing w:val="-15"/>
          <w:sz w:val="18"/>
        </w:rPr>
        <w:t> </w:t>
      </w:r>
      <w:r>
        <w:rPr>
          <w:color w:val="0D0D0D"/>
          <w:sz w:val="18"/>
        </w:rPr>
        <w:t>périmètre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actuel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16"/>
          <w:sz w:val="18"/>
        </w:rPr>
        <w:t> </w:t>
      </w:r>
      <w:r>
        <w:rPr>
          <w:color w:val="0D0D0D"/>
          <w:sz w:val="18"/>
        </w:rPr>
        <w:t>Quatrim</w:t>
      </w:r>
    </w:p>
    <w:p>
      <w:pPr>
        <w:spacing w:line="242" w:lineRule="auto" w:before="0"/>
        <w:ind w:left="272" w:right="278" w:firstLine="0"/>
        <w:jc w:val="both"/>
        <w:rPr>
          <w:sz w:val="18"/>
        </w:rPr>
      </w:pPr>
      <w:r>
        <w:rPr>
          <w:color w:val="0D0D0D"/>
          <w:position w:val="5"/>
          <w:sz w:val="12"/>
        </w:rPr>
        <w:t>2</w:t>
      </w:r>
      <w:r>
        <w:rPr>
          <w:color w:val="0D0D0D"/>
          <w:spacing w:val="35"/>
          <w:position w:val="5"/>
          <w:sz w:val="12"/>
        </w:rPr>
        <w:t> </w:t>
      </w:r>
      <w:r>
        <w:rPr>
          <w:color w:val="0D0D0D"/>
          <w:sz w:val="18"/>
        </w:rPr>
        <w:t>Basé sur la valeur de marché (après droits de mutation) à fin décembre 2022, la grande majorité des </w:t>
      </w:r>
      <w:r>
        <w:rPr>
          <w:color w:val="0D0D0D"/>
          <w:spacing w:val="-2"/>
          <w:sz w:val="18"/>
        </w:rPr>
        <w:t>évaluations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étant</w:t>
      </w:r>
      <w:r>
        <w:rPr>
          <w:color w:val="0D0D0D"/>
          <w:spacing w:val="-8"/>
          <w:sz w:val="18"/>
        </w:rPr>
        <w:t> </w:t>
      </w:r>
      <w:r>
        <w:rPr>
          <w:color w:val="0D0D0D"/>
          <w:spacing w:val="-2"/>
          <w:sz w:val="18"/>
        </w:rPr>
        <w:t>réalisée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2"/>
          <w:sz w:val="18"/>
        </w:rPr>
        <w:t>par</w:t>
      </w:r>
      <w:r>
        <w:rPr>
          <w:color w:val="0D0D0D"/>
          <w:spacing w:val="-6"/>
          <w:sz w:val="18"/>
        </w:rPr>
        <w:t> </w:t>
      </w:r>
      <w:r>
        <w:rPr>
          <w:color w:val="0D0D0D"/>
          <w:spacing w:val="-2"/>
          <w:sz w:val="18"/>
        </w:rPr>
        <w:t>des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sociétés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d'évaluation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immobilière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externes,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2"/>
          <w:sz w:val="18"/>
        </w:rPr>
        <w:t>après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déduction</w:t>
      </w:r>
      <w:r>
        <w:rPr>
          <w:color w:val="0D0D0D"/>
          <w:spacing w:val="-7"/>
          <w:sz w:val="18"/>
        </w:rPr>
        <w:t> </w:t>
      </w:r>
      <w:r>
        <w:rPr>
          <w:color w:val="0D0D0D"/>
          <w:spacing w:val="-2"/>
          <w:sz w:val="18"/>
        </w:rPr>
        <w:t>de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2"/>
          <w:sz w:val="18"/>
        </w:rPr>
        <w:t>20</w:t>
      </w:r>
      <w:r>
        <w:rPr>
          <w:color w:val="0D0D0D"/>
          <w:spacing w:val="-6"/>
          <w:sz w:val="18"/>
        </w:rPr>
        <w:t> </w:t>
      </w:r>
      <w:r>
        <w:rPr>
          <w:color w:val="0D0D0D"/>
          <w:spacing w:val="-2"/>
          <w:sz w:val="18"/>
        </w:rPr>
        <w:t>millions </w:t>
      </w:r>
      <w:r>
        <w:rPr>
          <w:color w:val="0D0D0D"/>
          <w:spacing w:val="-4"/>
          <w:sz w:val="18"/>
        </w:rPr>
        <w:t>d'euros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4"/>
          <w:sz w:val="18"/>
        </w:rPr>
        <w:t>produits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nets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en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numéraire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4"/>
          <w:sz w:val="18"/>
        </w:rPr>
        <w:t>provenant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4"/>
          <w:sz w:val="18"/>
        </w:rPr>
        <w:t>cessions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d'actifs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réalisées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après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le</w:t>
      </w:r>
      <w:r>
        <w:rPr>
          <w:color w:val="0D0D0D"/>
          <w:spacing w:val="-10"/>
          <w:sz w:val="18"/>
        </w:rPr>
        <w:t> </w:t>
      </w:r>
      <w:r>
        <w:rPr>
          <w:color w:val="0D0D0D"/>
          <w:spacing w:val="-4"/>
          <w:sz w:val="18"/>
        </w:rPr>
        <w:t>31/12/2022,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qui</w:t>
      </w:r>
      <w:r>
        <w:rPr>
          <w:color w:val="0D0D0D"/>
          <w:spacing w:val="-9"/>
          <w:sz w:val="18"/>
        </w:rPr>
        <w:t> </w:t>
      </w:r>
      <w:r>
        <w:rPr>
          <w:color w:val="0D0D0D"/>
          <w:spacing w:val="-4"/>
          <w:sz w:val="18"/>
        </w:rPr>
        <w:t>ont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été </w:t>
      </w:r>
      <w:r>
        <w:rPr>
          <w:color w:val="0D0D0D"/>
          <w:sz w:val="18"/>
        </w:rPr>
        <w:t>placés sur un compte distinct.</w:t>
      </w:r>
    </w:p>
    <w:p>
      <w:pPr>
        <w:spacing w:line="242" w:lineRule="auto" w:before="0"/>
        <w:ind w:left="272" w:right="273" w:firstLine="0"/>
        <w:jc w:val="both"/>
        <w:rPr>
          <w:sz w:val="18"/>
        </w:rPr>
      </w:pPr>
      <w:r>
        <w:rPr>
          <w:color w:val="0D0D0D"/>
          <w:position w:val="5"/>
          <w:sz w:val="12"/>
        </w:rPr>
        <w:t>3</w:t>
      </w:r>
      <w:r>
        <w:rPr>
          <w:color w:val="0D0D0D"/>
          <w:spacing w:val="12"/>
          <w:position w:val="5"/>
          <w:sz w:val="12"/>
        </w:rPr>
        <w:t> </w:t>
      </w:r>
      <w:r>
        <w:rPr>
          <w:color w:val="0D0D0D"/>
          <w:sz w:val="18"/>
        </w:rPr>
        <w:t>Société</w:t>
      </w:r>
      <w:r>
        <w:rPr>
          <w:color w:val="0D0D0D"/>
          <w:spacing w:val="-9"/>
          <w:sz w:val="18"/>
        </w:rPr>
        <w:t> </w:t>
      </w:r>
      <w:r>
        <w:rPr>
          <w:color w:val="0D0D0D"/>
          <w:sz w:val="18"/>
        </w:rPr>
        <w:t>holding</w:t>
      </w:r>
      <w:r>
        <w:rPr>
          <w:color w:val="0D0D0D"/>
          <w:spacing w:val="-12"/>
          <w:sz w:val="18"/>
        </w:rPr>
        <w:t> </w:t>
      </w:r>
      <w:r>
        <w:rPr>
          <w:color w:val="0D0D0D"/>
          <w:sz w:val="18"/>
        </w:rPr>
        <w:t>intermédiaire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qui</w:t>
      </w:r>
      <w:r>
        <w:rPr>
          <w:color w:val="0D0D0D"/>
          <w:spacing w:val="-9"/>
          <w:sz w:val="18"/>
        </w:rPr>
        <w:t> </w:t>
      </w:r>
      <w:r>
        <w:rPr>
          <w:color w:val="0D0D0D"/>
          <w:sz w:val="18"/>
        </w:rPr>
        <w:t>détient</w:t>
      </w:r>
      <w:r>
        <w:rPr>
          <w:color w:val="0D0D0D"/>
          <w:spacing w:val="-10"/>
          <w:sz w:val="18"/>
        </w:rPr>
        <w:t> </w:t>
      </w:r>
      <w:r>
        <w:rPr>
          <w:color w:val="0D0D0D"/>
          <w:sz w:val="18"/>
        </w:rPr>
        <w:t>100</w:t>
      </w:r>
      <w:r>
        <w:rPr>
          <w:color w:val="0D0D0D"/>
          <w:spacing w:val="-10"/>
          <w:sz w:val="18"/>
        </w:rPr>
        <w:t> </w:t>
      </w:r>
      <w:r>
        <w:rPr>
          <w:color w:val="0D0D0D"/>
          <w:sz w:val="18"/>
        </w:rPr>
        <w:t>%</w:t>
      </w:r>
      <w:r>
        <w:rPr>
          <w:color w:val="0D0D0D"/>
          <w:spacing w:val="-9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12"/>
          <w:sz w:val="18"/>
        </w:rPr>
        <w:t> </w:t>
      </w:r>
      <w:r>
        <w:rPr>
          <w:color w:val="0D0D0D"/>
          <w:sz w:val="18"/>
        </w:rPr>
        <w:t>Quatrim,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ainsi</w:t>
      </w:r>
      <w:r>
        <w:rPr>
          <w:color w:val="0D0D0D"/>
          <w:spacing w:val="-9"/>
          <w:sz w:val="18"/>
        </w:rPr>
        <w:t> </w:t>
      </w:r>
      <w:r>
        <w:rPr>
          <w:color w:val="0D0D0D"/>
          <w:sz w:val="18"/>
        </w:rPr>
        <w:t>que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d'autres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actifs,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y</w:t>
      </w:r>
      <w:r>
        <w:rPr>
          <w:color w:val="0D0D0D"/>
          <w:spacing w:val="-10"/>
          <w:sz w:val="18"/>
        </w:rPr>
        <w:t> </w:t>
      </w:r>
      <w:r>
        <w:rPr>
          <w:color w:val="0D0D0D"/>
          <w:sz w:val="18"/>
        </w:rPr>
        <w:t>compris</w:t>
      </w:r>
      <w:r>
        <w:rPr>
          <w:color w:val="0D0D0D"/>
          <w:spacing w:val="-11"/>
          <w:sz w:val="18"/>
        </w:rPr>
        <w:t> </w:t>
      </w:r>
      <w:r>
        <w:rPr>
          <w:color w:val="0D0D0D"/>
          <w:sz w:val="18"/>
        </w:rPr>
        <w:t>RelevanC </w:t>
      </w:r>
      <w:r>
        <w:rPr>
          <w:color w:val="0D0D0D"/>
          <w:spacing w:val="-4"/>
          <w:sz w:val="18"/>
        </w:rPr>
        <w:t>(participation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100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%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;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services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d'extraction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données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et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d'analyse),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Perspecteev</w:t>
      </w:r>
      <w:r>
        <w:rPr>
          <w:color w:val="0D0D0D"/>
          <w:spacing w:val="-11"/>
          <w:sz w:val="18"/>
        </w:rPr>
        <w:t> </w:t>
      </w:r>
      <w:r>
        <w:rPr>
          <w:color w:val="0D0D0D"/>
          <w:spacing w:val="-4"/>
          <w:sz w:val="18"/>
        </w:rPr>
        <w:t>(participation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c.40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%</w:t>
      </w:r>
      <w:r>
        <w:rPr>
          <w:color w:val="0D0D0D"/>
          <w:spacing w:val="-12"/>
          <w:sz w:val="18"/>
        </w:rPr>
        <w:t> </w:t>
      </w:r>
      <w:r>
        <w:rPr>
          <w:color w:val="0D0D0D"/>
          <w:spacing w:val="-4"/>
          <w:sz w:val="18"/>
        </w:rPr>
        <w:t>; </w:t>
      </w:r>
      <w:r>
        <w:rPr>
          <w:color w:val="0D0D0D"/>
          <w:sz w:val="18"/>
        </w:rPr>
        <w:t>société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développement</w:t>
      </w:r>
      <w:r>
        <w:rPr>
          <w:color w:val="0D0D0D"/>
          <w:spacing w:val="-6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logiciels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fintech),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Robin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Investments</w:t>
      </w:r>
      <w:r>
        <w:rPr>
          <w:color w:val="0D0D0D"/>
          <w:spacing w:val="-4"/>
          <w:sz w:val="18"/>
        </w:rPr>
        <w:t> </w:t>
      </w:r>
      <w:r>
        <w:rPr>
          <w:color w:val="0D0D0D"/>
          <w:sz w:val="18"/>
        </w:rPr>
        <w:t>(participation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de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45</w:t>
      </w:r>
      <w:r>
        <w:rPr>
          <w:color w:val="0D0D0D"/>
          <w:spacing w:val="-6"/>
          <w:sz w:val="18"/>
        </w:rPr>
        <w:t> </w:t>
      </w:r>
      <w:r>
        <w:rPr>
          <w:color w:val="0D0D0D"/>
          <w:sz w:val="18"/>
        </w:rPr>
        <w:t>%</w:t>
      </w:r>
      <w:r>
        <w:rPr>
          <w:color w:val="0D0D0D"/>
          <w:spacing w:val="-5"/>
          <w:sz w:val="18"/>
        </w:rPr>
        <w:t> </w:t>
      </w:r>
      <w:r>
        <w:rPr>
          <w:color w:val="0D0D0D"/>
          <w:sz w:val="18"/>
        </w:rPr>
        <w:t>;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société</w:t>
      </w:r>
      <w:r>
        <w:rPr>
          <w:color w:val="0D0D0D"/>
          <w:spacing w:val="-7"/>
          <w:sz w:val="18"/>
        </w:rPr>
        <w:t> </w:t>
      </w:r>
      <w:r>
        <w:rPr>
          <w:color w:val="0D0D0D"/>
          <w:sz w:val="18"/>
        </w:rPr>
        <w:t>holding </w:t>
      </w:r>
      <w:r>
        <w:rPr>
          <w:color w:val="0D0D0D"/>
          <w:spacing w:val="-2"/>
          <w:sz w:val="18"/>
        </w:rPr>
        <w:t>immobilière)</w:t>
      </w:r>
    </w:p>
    <w:p>
      <w:pPr>
        <w:spacing w:before="0"/>
        <w:ind w:left="272" w:right="0" w:firstLine="0"/>
        <w:jc w:val="both"/>
        <w:rPr>
          <w:sz w:val="18"/>
        </w:rPr>
      </w:pPr>
      <w:r>
        <w:rPr>
          <w:color w:val="0D0D0D"/>
          <w:spacing w:val="-4"/>
          <w:position w:val="5"/>
          <w:sz w:val="12"/>
        </w:rPr>
        <w:t>4</w:t>
      </w:r>
      <w:r>
        <w:rPr>
          <w:color w:val="0D0D0D"/>
          <w:spacing w:val="5"/>
          <w:position w:val="5"/>
          <w:sz w:val="12"/>
        </w:rPr>
        <w:t> </w:t>
      </w:r>
      <w:r>
        <w:rPr>
          <w:color w:val="0D0D0D"/>
          <w:spacing w:val="-4"/>
          <w:sz w:val="18"/>
        </w:rPr>
        <w:t>Sous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4"/>
          <w:sz w:val="18"/>
        </w:rPr>
        <w:t>réserve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4"/>
          <w:sz w:val="18"/>
        </w:rPr>
        <w:t>la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4"/>
          <w:sz w:val="18"/>
        </w:rPr>
        <w:t>valeur</w:t>
      </w:r>
      <w:r>
        <w:rPr>
          <w:color w:val="0D0D0D"/>
          <w:spacing w:val="-15"/>
          <w:sz w:val="18"/>
        </w:rPr>
        <w:t> </w:t>
      </w:r>
      <w:r>
        <w:rPr>
          <w:color w:val="0D0D0D"/>
          <w:spacing w:val="-4"/>
          <w:sz w:val="18"/>
        </w:rPr>
        <w:t>finale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4"/>
          <w:sz w:val="18"/>
        </w:rPr>
        <w:t>de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4"/>
          <w:sz w:val="18"/>
        </w:rPr>
        <w:t>cession</w:t>
      </w:r>
      <w:r>
        <w:rPr>
          <w:color w:val="0D0D0D"/>
          <w:spacing w:val="-13"/>
          <w:sz w:val="18"/>
        </w:rPr>
        <w:t> </w:t>
      </w:r>
      <w:r>
        <w:rPr>
          <w:color w:val="0D0D0D"/>
          <w:spacing w:val="-4"/>
          <w:sz w:val="18"/>
        </w:rPr>
        <w:t>des</w:t>
      </w:r>
      <w:r>
        <w:rPr>
          <w:color w:val="0D0D0D"/>
          <w:spacing w:val="-14"/>
          <w:sz w:val="18"/>
        </w:rPr>
        <w:t> </w:t>
      </w:r>
      <w:r>
        <w:rPr>
          <w:color w:val="0D0D0D"/>
          <w:spacing w:val="-4"/>
          <w:sz w:val="18"/>
        </w:rPr>
        <w:t>actifs</w:t>
      </w:r>
    </w:p>
    <w:p>
      <w:pPr>
        <w:pStyle w:val="BodyText"/>
        <w:spacing w:before="178"/>
        <w:ind w:left="304"/>
        <w:jc w:val="both"/>
        <w:rPr>
          <w:rFonts w:ascii="Tahoma" w:hAnsi="Tahoma"/>
          <w:b/>
        </w:rPr>
      </w:pPr>
      <w:r>
        <w:rPr>
          <w:w w:val="90"/>
        </w:rPr>
        <w:t>Lundi</w:t>
      </w:r>
      <w:r>
        <w:rPr>
          <w:spacing w:val="2"/>
        </w:rPr>
        <w:t> </w:t>
      </w:r>
      <w:r>
        <w:rPr>
          <w:w w:val="90"/>
        </w:rPr>
        <w:t>18</w:t>
      </w:r>
      <w:r>
        <w:rPr>
          <w:spacing w:val="3"/>
        </w:rPr>
        <w:t> </w:t>
      </w:r>
      <w:r>
        <w:rPr>
          <w:w w:val="90"/>
        </w:rPr>
        <w:t>septembre</w:t>
      </w:r>
      <w:r>
        <w:rPr/>
        <w:t> </w:t>
      </w:r>
      <w:r>
        <w:rPr>
          <w:w w:val="90"/>
        </w:rPr>
        <w:t>2023</w:t>
      </w:r>
      <w:r>
        <w:rPr>
          <w:spacing w:val="3"/>
        </w:rPr>
        <w:t> </w:t>
      </w:r>
      <w:r>
        <w:rPr>
          <w:rFonts w:ascii="Tahoma" w:hAnsi="Tahoma"/>
          <w:b/>
          <w:color w:val="3CA05A"/>
          <w:w w:val="90"/>
        </w:rPr>
        <w:t>▪</w:t>
      </w:r>
      <w:r>
        <w:rPr>
          <w:rFonts w:ascii="Tahoma" w:hAnsi="Tahoma"/>
          <w:b/>
          <w:color w:val="3CA05A"/>
          <w:spacing w:val="13"/>
        </w:rPr>
        <w:t> </w:t>
      </w:r>
      <w:r>
        <w:rPr>
          <w:rFonts w:ascii="Tahoma" w:hAnsi="Tahoma"/>
          <w:b/>
          <w:color w:val="3CA05A"/>
          <w:spacing w:val="-10"/>
          <w:w w:val="90"/>
        </w:rPr>
        <w:t>7</w:t>
      </w:r>
    </w:p>
    <w:sectPr>
      <w:pgSz w:w="11910" w:h="16840"/>
      <w:pgMar w:top="1200" w:bottom="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0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0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45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59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0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9" w:hanging="360"/>
      </w:pPr>
      <w:rPr>
        <w:rFonts w:hint="default"/>
        <w:lang w:val="fr-FR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292" w:right="294"/>
      <w:jc w:val="center"/>
      <w:outlineLvl w:val="1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272"/>
      <w:jc w:val="center"/>
      <w:outlineLvl w:val="2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left="272"/>
      <w:outlineLvl w:val="3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293" w:right="294"/>
      <w:jc w:val="center"/>
      <w:outlineLvl w:val="4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9/230918-Quatrim-Cleansing-Presentation-vFR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nboudot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2023-12-04T15:07:00Z</dcterms:created>
  <dcterms:modified xsi:type="dcterms:W3CDTF">2023-12-04T15:07:00Z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2023-12-04T00:00:00Z</vt:filetime>
  </property>
</Properties>
</file>