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.4499pt;margin-top:16.924824pt;width:593.9pt;height:825pt;mso-position-horizontal-relative:page;mso-position-vertical-relative:page;z-index:-15765504" coordorigin="29,338" coordsize="11878,16500">
            <v:shape style="position:absolute;left:29;top:338;width:11878;height:16500" type="#_x0000_t75" stroked="false">
              <v:imagedata r:id="rId5" o:title=""/>
            </v:shape>
            <v:rect style="position:absolute;left:775;top:1396;width:10365;height:6458" filled="false" stroked="true" strokeweight="2pt" strokecolor="#6460a9">
              <v:stroke dashstyle="solid"/>
            </v:rect>
            <v:rect style="position:absolute;left:3622;top:12339;width:2434;height:10" filled="true" fillcolor="#000000" stroked="false">
              <v:fill type="solid"/>
            </v:rect>
            <w10:wrap type="none"/>
          </v:group>
        </w:pict>
      </w:r>
      <w:r>
        <w:rPr>
          <w:color w:val="6460A9"/>
        </w:rPr>
        <w:t>Extension de la période d’adhésion à l’accord de lock-up relatif à la</w:t>
      </w:r>
      <w:r>
        <w:rPr>
          <w:color w:val="6460A9"/>
          <w:spacing w:val="-75"/>
        </w:rPr>
        <w:t> </w:t>
      </w:r>
      <w:r>
        <w:rPr>
          <w:color w:val="6460A9"/>
        </w:rPr>
        <w:t>restructuration</w:t>
      </w:r>
      <w:r>
        <w:rPr>
          <w:color w:val="6460A9"/>
          <w:spacing w:val="-1"/>
        </w:rPr>
        <w:t> </w:t>
      </w:r>
      <w:r>
        <w:rPr>
          <w:color w:val="6460A9"/>
        </w:rPr>
        <w:t>financière</w:t>
      </w:r>
      <w:r>
        <w:rPr>
          <w:color w:val="6460A9"/>
          <w:spacing w:val="1"/>
        </w:rPr>
        <w:t> </w:t>
      </w:r>
      <w:r>
        <w:rPr>
          <w:color w:val="6460A9"/>
        </w:rPr>
        <w:t>du Groupe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39"/>
        <w:ind w:left="112"/>
        <w:jc w:val="both"/>
      </w:pPr>
      <w:r>
        <w:rPr>
          <w:w w:val="90"/>
        </w:rPr>
        <w:t>Paris,</w:t>
      </w:r>
      <w:r>
        <w:rPr>
          <w:spacing w:val="5"/>
          <w:w w:val="90"/>
        </w:rPr>
        <w:t> </w:t>
      </w:r>
      <w:r>
        <w:rPr>
          <w:w w:val="90"/>
        </w:rPr>
        <w:t>le</w:t>
      </w:r>
      <w:r>
        <w:rPr>
          <w:spacing w:val="8"/>
          <w:w w:val="90"/>
        </w:rPr>
        <w:t> </w:t>
      </w:r>
      <w:r>
        <w:rPr>
          <w:w w:val="90"/>
        </w:rPr>
        <w:t>11</w:t>
      </w:r>
      <w:r>
        <w:rPr>
          <w:spacing w:val="7"/>
          <w:w w:val="90"/>
        </w:rPr>
        <w:t> </w:t>
      </w:r>
      <w:r>
        <w:rPr>
          <w:w w:val="90"/>
        </w:rPr>
        <w:t>octobre</w:t>
      </w:r>
      <w:r>
        <w:rPr>
          <w:spacing w:val="8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09"/>
        <w:jc w:val="both"/>
      </w:pPr>
      <w:r>
        <w:rPr>
          <w:spacing w:val="-1"/>
        </w:rPr>
        <w:t>Dans</w:t>
      </w:r>
      <w:r>
        <w:rPr>
          <w:spacing w:val="-17"/>
        </w:rPr>
        <w:t> </w:t>
      </w:r>
      <w:r>
        <w:rPr>
          <w:spacing w:val="-1"/>
        </w:rPr>
        <w:t>le</w:t>
      </w:r>
      <w:r>
        <w:rPr>
          <w:spacing w:val="-17"/>
        </w:rPr>
        <w:t> </w:t>
      </w:r>
      <w:r>
        <w:rPr>
          <w:spacing w:val="-1"/>
        </w:rPr>
        <w:t>prolongement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son</w:t>
      </w:r>
      <w:r>
        <w:rPr>
          <w:spacing w:val="-21"/>
        </w:rPr>
        <w:t> </w:t>
      </w:r>
      <w:r>
        <w:rPr>
          <w:spacing w:val="-1"/>
        </w:rPr>
        <w:t>communiqué</w:t>
      </w:r>
      <w:r>
        <w:rPr>
          <w:spacing w:val="-17"/>
        </w:rPr>
        <w:t> </w:t>
      </w:r>
      <w:r>
        <w:rPr/>
        <w:t>du</w:t>
      </w:r>
      <w:r>
        <w:rPr>
          <w:spacing w:val="-18"/>
        </w:rPr>
        <w:t> </w:t>
      </w:r>
      <w:r>
        <w:rPr/>
        <w:t>5</w:t>
      </w:r>
      <w:r>
        <w:rPr>
          <w:spacing w:val="-16"/>
        </w:rPr>
        <w:t> </w:t>
      </w:r>
      <w:r>
        <w:rPr/>
        <w:t>octobre</w:t>
      </w:r>
      <w:r>
        <w:rPr>
          <w:spacing w:val="-17"/>
        </w:rPr>
        <w:t> </w:t>
      </w:r>
      <w:r>
        <w:rPr/>
        <w:t>2023,</w:t>
      </w:r>
      <w:r>
        <w:rPr>
          <w:spacing w:val="-19"/>
        </w:rPr>
        <w:t> </w:t>
      </w:r>
      <w:r>
        <w:rPr/>
        <w:t>le</w:t>
      </w:r>
      <w:r>
        <w:rPr>
          <w:spacing w:val="-17"/>
        </w:rPr>
        <w:t> </w:t>
      </w:r>
      <w:r>
        <w:rPr/>
        <w:t>groupe</w:t>
      </w:r>
      <w:r>
        <w:rPr>
          <w:spacing w:val="-19"/>
        </w:rPr>
        <w:t> </w:t>
      </w:r>
      <w:r>
        <w:rPr/>
        <w:t>Casino</w:t>
      </w:r>
      <w:r>
        <w:rPr>
          <w:spacing w:val="-19"/>
        </w:rPr>
        <w:t> </w:t>
      </w:r>
      <w:r>
        <w:rPr/>
        <w:t>annonce</w:t>
      </w:r>
      <w:r>
        <w:rPr>
          <w:spacing w:val="-75"/>
        </w:rPr>
        <w:t> </w:t>
      </w:r>
      <w:r>
        <w:rPr>
          <w:w w:val="95"/>
        </w:rPr>
        <w:t>étendre au vendredi 13 octobre 2023 à 18h00 (CET) la date butoir pour adhérer à l’accord</w:t>
      </w:r>
      <w:r>
        <w:rPr>
          <w:spacing w:val="1"/>
          <w:w w:val="95"/>
        </w:rPr>
        <w:t> </w:t>
      </w:r>
      <w:r>
        <w:rPr>
          <w:w w:val="95"/>
        </w:rPr>
        <w:t>intitulé accord de </w:t>
      </w:r>
      <w:r>
        <w:rPr>
          <w:i/>
          <w:w w:val="95"/>
        </w:rPr>
        <w:t>lock-up </w:t>
      </w:r>
      <w:r>
        <w:rPr>
          <w:w w:val="95"/>
        </w:rPr>
        <w:t>(l’« </w:t>
      </w:r>
      <w:r>
        <w:rPr>
          <w:rFonts w:ascii="Tahoma" w:hAnsi="Tahoma"/>
          <w:b/>
          <w:w w:val="95"/>
        </w:rPr>
        <w:t>Accord de Lock-up </w:t>
      </w:r>
      <w:r>
        <w:rPr>
          <w:w w:val="95"/>
        </w:rPr>
        <w:t>») relatif à sa restructuration financière</w:t>
      </w:r>
      <w:r>
        <w:rPr>
          <w:spacing w:val="1"/>
          <w:w w:val="95"/>
        </w:rPr>
        <w:t> </w:t>
      </w:r>
      <w:r>
        <w:rPr/>
        <w:t>conclu le 5 octobre 2023, afin de bénéficier de la commission d’adhésion à l’Accord de</w:t>
      </w:r>
      <w:r>
        <w:rPr>
          <w:spacing w:val="1"/>
        </w:rPr>
        <w:t> </w:t>
      </w:r>
      <w:r>
        <w:rPr>
          <w:spacing w:val="-1"/>
          <w:w w:val="95"/>
        </w:rPr>
        <w:t>Lock-up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(s’agissant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des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créanciers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non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sécurisés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des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porteurs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TSSDI</w:t>
      </w:r>
      <w:r>
        <w:rPr>
          <w:spacing w:val="-9"/>
          <w:w w:val="95"/>
        </w:rPr>
        <w:t> </w:t>
      </w:r>
      <w:r>
        <w:rPr>
          <w:w w:val="95"/>
        </w:rPr>
        <w:t>exclusivement)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71"/>
          <w:w w:val="95"/>
        </w:rPr>
        <w:t> </w:t>
      </w:r>
      <w:r>
        <w:rPr/>
        <w:t>du droit de souscrire à l'augmentation de capital garantie de 275 millions d'euros (cf.</w:t>
      </w:r>
      <w:r>
        <w:rPr>
          <w:spacing w:val="1"/>
        </w:rPr>
        <w:t> </w:t>
      </w:r>
      <w:r>
        <w:rPr/>
        <w:t>communiqué de presse du 5 octobre 2023). Cette extension vise à répondre à des</w:t>
      </w:r>
      <w:r>
        <w:rPr>
          <w:spacing w:val="1"/>
        </w:rPr>
        <w:t> </w:t>
      </w:r>
      <w:r>
        <w:rPr/>
        <w:t>demandes</w:t>
      </w:r>
      <w:r>
        <w:rPr>
          <w:spacing w:val="-18"/>
        </w:rPr>
        <w:t> </w:t>
      </w:r>
      <w:r>
        <w:rPr/>
        <w:t>techniques.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8" w:lineRule="auto"/>
        <w:ind w:left="112" w:right="116"/>
        <w:jc w:val="both"/>
      </w:pPr>
      <w:r>
        <w:rPr/>
        <w:t>Les créanciers sont invités à se reporter au communiqué de presse du 5 octobre 2023</w:t>
      </w:r>
      <w:r>
        <w:rPr>
          <w:spacing w:val="1"/>
        </w:rPr>
        <w:t> </w:t>
      </w:r>
      <w:r>
        <w:rPr/>
        <w:t>s’agissant</w:t>
      </w:r>
      <w:r>
        <w:rPr>
          <w:spacing w:val="-19"/>
        </w:rPr>
        <w:t> </w:t>
      </w:r>
      <w:r>
        <w:rPr/>
        <w:t>des</w:t>
      </w:r>
      <w:r>
        <w:rPr>
          <w:spacing w:val="-17"/>
        </w:rPr>
        <w:t> </w:t>
      </w:r>
      <w:r>
        <w:rPr/>
        <w:t>modalités</w:t>
      </w:r>
      <w:r>
        <w:rPr>
          <w:spacing w:val="-17"/>
        </w:rPr>
        <w:t> </w:t>
      </w:r>
      <w:r>
        <w:rPr/>
        <w:t>d’adhésion</w:t>
      </w:r>
      <w:r>
        <w:rPr>
          <w:spacing w:val="-19"/>
        </w:rPr>
        <w:t> </w:t>
      </w:r>
      <w:r>
        <w:rPr/>
        <w:t>à</w:t>
      </w:r>
      <w:r>
        <w:rPr>
          <w:spacing w:val="-17"/>
        </w:rPr>
        <w:t> </w:t>
      </w:r>
      <w:r>
        <w:rPr/>
        <w:t>l’Accord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Lock-up.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spacing w:line="278" w:lineRule="auto" w:before="1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0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0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9"/>
        <w:rPr>
          <w:i/>
          <w:sz w:val="8"/>
        </w:rPr>
      </w:pPr>
    </w:p>
    <w:p>
      <w:pPr>
        <w:spacing w:before="92"/>
        <w:ind w:left="1297" w:right="12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***</w:t>
      </w:r>
    </w:p>
    <w:p>
      <w:pPr>
        <w:pStyle w:val="BodyText"/>
        <w:rPr>
          <w:rFonts w:ascii="Arial"/>
          <w:b/>
          <w:sz w:val="21"/>
        </w:rPr>
      </w:pPr>
    </w:p>
    <w:p>
      <w:pPr>
        <w:spacing w:before="0"/>
        <w:ind w:left="1295" w:right="130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1"/>
          <w:sz w:val="20"/>
        </w:rPr>
        <w:t> </w:t>
      </w:r>
      <w:r>
        <w:rPr>
          <w:rFonts w:ascii="Arial"/>
          <w:b/>
          <w:color w:val="6460A9"/>
          <w:sz w:val="20"/>
        </w:rPr>
        <w:t>ANALYSTES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ET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INVESTISSEURS</w:t>
      </w:r>
    </w:p>
    <w:p>
      <w:pPr>
        <w:spacing w:line="242" w:lineRule="exact" w:before="160"/>
        <w:ind w:left="1297" w:right="1300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5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5"/>
          <w:w w:val="90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6">
        <w:r>
          <w:rPr>
            <w:w w:val="90"/>
            <w:sz w:val="18"/>
            <w:u w:val="single"/>
          </w:rPr>
          <w:t>cwelton.exterieur@groupe-casino.fr</w:t>
        </w:r>
        <w:r>
          <w:rPr>
            <w:spacing w:val="-3"/>
            <w:w w:val="90"/>
            <w:sz w:val="18"/>
          </w:rPr>
          <w:t> </w:t>
        </w:r>
      </w:hyperlink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17</w:t>
      </w:r>
    </w:p>
    <w:p>
      <w:pPr>
        <w:spacing w:line="217" w:lineRule="exact" w:before="0"/>
        <w:ind w:left="1297" w:right="1297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6"/>
        <w:ind w:left="1297" w:right="1298" w:firstLine="0"/>
        <w:jc w:val="center"/>
        <w:rPr>
          <w:sz w:val="18"/>
        </w:rPr>
      </w:pPr>
      <w:hyperlink r:id="rId7">
        <w:r>
          <w:rPr>
            <w:spacing w:val="2"/>
            <w:w w:val="53"/>
            <w:sz w:val="18"/>
          </w:rPr>
          <w:t>I</w:t>
        </w:r>
        <w:r>
          <w:rPr>
            <w:spacing w:val="-2"/>
            <w:w w:val="87"/>
            <w:sz w:val="18"/>
          </w:rPr>
          <w:t>R</w:t>
        </w:r>
        <w:r>
          <w:rPr>
            <w:spacing w:val="1"/>
            <w:w w:val="78"/>
            <w:sz w:val="18"/>
          </w:rPr>
          <w:t>_</w:t>
        </w:r>
        <w:r>
          <w:rPr>
            <w:w w:val="103"/>
            <w:sz w:val="18"/>
          </w:rPr>
          <w:t>Ca</w:t>
        </w:r>
        <w:r>
          <w:rPr>
            <w:spacing w:val="-4"/>
            <w:w w:val="103"/>
            <w:sz w:val="18"/>
          </w:rPr>
          <w:t>s</w:t>
        </w:r>
        <w:r>
          <w:rPr>
            <w:spacing w:val="2"/>
            <w:w w:val="72"/>
            <w:sz w:val="18"/>
          </w:rPr>
          <w:t>i</w:t>
        </w:r>
        <w:r>
          <w:rPr>
            <w:w w:val="96"/>
            <w:sz w:val="18"/>
          </w:rPr>
          <w:t>n</w:t>
        </w:r>
        <w:r>
          <w:rPr>
            <w:w w:val="98"/>
            <w:sz w:val="18"/>
          </w:rPr>
          <w:t>o@</w:t>
        </w:r>
        <w:r>
          <w:rPr>
            <w:spacing w:val="-2"/>
            <w:w w:val="98"/>
            <w:sz w:val="18"/>
          </w:rPr>
          <w:t>g</w:t>
        </w:r>
        <w:r>
          <w:rPr>
            <w:w w:val="70"/>
            <w:sz w:val="18"/>
          </w:rPr>
          <w:t>r</w:t>
        </w:r>
        <w:r>
          <w:rPr>
            <w:w w:val="101"/>
            <w:sz w:val="18"/>
          </w:rPr>
          <w:t>ou</w:t>
        </w:r>
        <w:r>
          <w:rPr>
            <w:spacing w:val="-1"/>
            <w:w w:val="109"/>
            <w:sz w:val="18"/>
          </w:rPr>
          <w:t>p</w:t>
        </w:r>
        <w:r>
          <w:rPr>
            <w:spacing w:val="1"/>
            <w:w w:val="109"/>
            <w:sz w:val="18"/>
          </w:rPr>
          <w:t>e</w:t>
        </w:r>
        <w:r>
          <w:rPr>
            <w:spacing w:val="-3"/>
            <w:w w:val="73"/>
            <w:sz w:val="18"/>
          </w:rPr>
          <w:t>-</w:t>
        </w:r>
        <w:r>
          <w:rPr>
            <w:w w:val="124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1"/>
            <w:w w:val="88"/>
            <w:sz w:val="18"/>
          </w:rPr>
          <w:t>sino</w:t>
        </w:r>
        <w:r>
          <w:rPr>
            <w:spacing w:val="-2"/>
            <w:w w:val="88"/>
            <w:sz w:val="18"/>
          </w:rPr>
          <w:t>.</w:t>
        </w:r>
        <w:r>
          <w:rPr>
            <w:w w:val="89"/>
            <w:sz w:val="18"/>
          </w:rPr>
          <w:t>f</w:t>
        </w:r>
        <w:r>
          <w:rPr>
            <w:w w:val="70"/>
            <w:sz w:val="18"/>
          </w:rPr>
          <w:t>r</w:t>
        </w:r>
        <w:r>
          <w:rPr>
            <w:spacing w:val="-14"/>
            <w:sz w:val="18"/>
          </w:rPr>
          <w:t> </w:t>
        </w:r>
      </w:hyperlink>
      <w:r>
        <w:rPr>
          <w:w w:val="73"/>
          <w:sz w:val="18"/>
        </w:rPr>
        <w:t>-</w:t>
      </w:r>
      <w:r>
        <w:rPr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6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w w:val="87"/>
          <w:sz w:val="18"/>
        </w:rPr>
        <w:t>33</w:t>
      </w:r>
      <w:r>
        <w:rPr>
          <w:spacing w:val="-13"/>
          <w:sz w:val="18"/>
        </w:rPr>
        <w:t> </w:t>
      </w:r>
      <w:r>
        <w:rPr>
          <w:spacing w:val="-6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3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3"/>
          <w:sz w:val="18"/>
        </w:rPr>
        <w:t> </w:t>
      </w:r>
      <w:r>
        <w:rPr>
          <w:spacing w:val="-1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w w:val="87"/>
          <w:sz w:val="18"/>
        </w:rPr>
        <w:t>24</w:t>
      </w:r>
      <w:r>
        <w:rPr>
          <w:spacing w:val="-15"/>
          <w:sz w:val="18"/>
        </w:rPr>
        <w:t> </w:t>
      </w:r>
      <w:r>
        <w:rPr>
          <w:w w:val="87"/>
          <w:sz w:val="18"/>
        </w:rPr>
        <w:t>17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297" w:right="129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PRESSE</w:t>
      </w:r>
    </w:p>
    <w:p>
      <w:pPr>
        <w:spacing w:before="159"/>
        <w:ind w:left="1297" w:right="1298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Groupe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Casino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Direction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Communication</w:t>
      </w:r>
    </w:p>
    <w:p>
      <w:pPr>
        <w:spacing w:before="123"/>
        <w:ind w:left="1297" w:right="1298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8">
        <w:r>
          <w:rPr>
            <w:w w:val="90"/>
            <w:sz w:val="18"/>
            <w:u w:val="single"/>
          </w:rPr>
          <w:t>nboudot@groupe-casino.fr</w:t>
        </w:r>
        <w:r>
          <w:rPr>
            <w:spacing w:val="3"/>
            <w:w w:val="90"/>
            <w:sz w:val="18"/>
          </w:rPr>
          <w:t> </w:t>
        </w:r>
      </w:hyperlink>
      <w:r>
        <w:rPr>
          <w:w w:val="90"/>
          <w:sz w:val="18"/>
        </w:rPr>
        <w:t>- Tél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79 61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3"/>
        <w:ind w:left="1297" w:right="1297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2"/>
        <w:ind w:left="1297" w:right="1298" w:firstLine="0"/>
        <w:jc w:val="center"/>
        <w:rPr>
          <w:sz w:val="18"/>
        </w:rPr>
      </w:pPr>
      <w:hyperlink r:id="rId9">
        <w:r>
          <w:rPr>
            <w:w w:val="90"/>
            <w:sz w:val="18"/>
            <w:u w:val="single"/>
          </w:rPr>
          <w:t>directiondelacommunication@groupe-casino.fr</w:t>
        </w:r>
        <w:r>
          <w:rPr>
            <w:spacing w:val="17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0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5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pStyle w:val="BodyText"/>
        <w:spacing w:before="6"/>
        <w:rPr>
          <w:sz w:val="11"/>
        </w:rPr>
      </w:pPr>
    </w:p>
    <w:p>
      <w:pPr>
        <w:spacing w:before="101"/>
        <w:ind w:left="1297" w:right="1297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7</w:t>
      </w:r>
    </w:p>
    <w:p>
      <w:pPr>
        <w:spacing w:before="123"/>
        <w:ind w:left="1297" w:right="1298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hyperlink r:id="rId10">
        <w:r>
          <w:rPr>
            <w:w w:val="85"/>
            <w:sz w:val="18"/>
            <w:u w:val="single"/>
          </w:rPr>
          <w:t>kallouis@image7.fr</w:t>
        </w:r>
        <w:r>
          <w:rPr>
            <w:spacing w:val="12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4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297" w:right="1300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9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1">
        <w:r>
          <w:rPr>
            <w:spacing w:val="-1"/>
            <w:w w:val="90"/>
            <w:sz w:val="18"/>
            <w:u w:val="single"/>
          </w:rPr>
          <w:t>lpoinsot@image7.fr</w:t>
        </w:r>
        <w:r>
          <w:rPr>
            <w:spacing w:val="-5"/>
            <w:w w:val="90"/>
            <w:sz w:val="18"/>
          </w:rPr>
          <w:t> </w:t>
        </w:r>
      </w:hyperlink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Tél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297" w:right="1299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w w:val="90"/>
            <w:sz w:val="18"/>
            <w:u w:val="single"/>
          </w:rPr>
          <w:t>fpasquier@image7.fr</w:t>
        </w:r>
        <w:r>
          <w:rPr>
            <w:spacing w:val="-4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Mercredi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11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4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▪</w:t>
      </w:r>
      <w:r>
        <w:rPr>
          <w:rFonts w:ascii="Tahoma" w:hAnsi="Tahoma"/>
          <w:b/>
          <w:color w:val="3CA05A"/>
          <w:spacing w:val="8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2489" w:right="447" w:hanging="2033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2023-12-04T15:09:50Z</dcterms:created>
  <dcterms:modified xsi:type="dcterms:W3CDTF">2023-12-04T15:09:50Z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LastSaved">
    <vt:filetime>2023-12-04T00:00:00Z</vt:filetime>
  </property>
</Properties>
</file>