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17184">
            <wp:simplePos x="0" y="0"/>
            <wp:positionH relativeFrom="page">
              <wp:posOffset>21463</wp:posOffset>
            </wp:positionH>
            <wp:positionV relativeFrom="page">
              <wp:posOffset>219518</wp:posOffset>
            </wp:positionV>
            <wp:extent cx="7539100" cy="1047286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9100" cy="1047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44.700001pt;margin-top:65.149986pt;width:518.25pt;height:591.6pt;mso-position-horizontal-relative:page;mso-position-vertical-relative:page;z-index:-15798784" filled="false" stroked="true" strokeweight="2pt" strokecolor="#6460a9">
            <v:stroke dashstyle="solid"/>
            <w10:wrap type="none"/>
          </v:rect>
        </w:pict>
      </w:r>
    </w:p>
    <w:p>
      <w:pPr>
        <w:pStyle w:val="BodyText"/>
        <w:spacing w:before="6"/>
        <w:rPr>
          <w:rFonts w:ascii="Times New Roman"/>
          <w:sz w:val="23"/>
        </w:rPr>
      </w:pPr>
    </w:p>
    <w:p>
      <w:pPr>
        <w:pStyle w:val="Title"/>
        <w:ind w:left="199"/>
      </w:pPr>
      <w:r>
        <w:rPr>
          <w:color w:val="6460A9"/>
        </w:rPr>
        <w:t>Point sur les adhésions à l’accord de lock-up relatif à la restructuration</w:t>
      </w:r>
      <w:r>
        <w:rPr>
          <w:color w:val="6460A9"/>
          <w:spacing w:val="-75"/>
        </w:rPr>
        <w:t> </w:t>
      </w:r>
      <w:r>
        <w:rPr>
          <w:color w:val="6460A9"/>
        </w:rPr>
        <w:t>financière du</w:t>
      </w:r>
      <w:r>
        <w:rPr>
          <w:color w:val="6460A9"/>
          <w:spacing w:val="-3"/>
        </w:rPr>
        <w:t> </w:t>
      </w:r>
      <w:r>
        <w:rPr>
          <w:color w:val="6460A9"/>
        </w:rPr>
        <w:t>Groupe</w:t>
      </w:r>
    </w:p>
    <w:p>
      <w:pPr>
        <w:pStyle w:val="BodyText"/>
        <w:spacing w:before="9"/>
        <w:rPr>
          <w:rFonts w:ascii="Arial"/>
          <w:b/>
          <w:sz w:val="41"/>
        </w:rPr>
      </w:pPr>
    </w:p>
    <w:p>
      <w:pPr>
        <w:pStyle w:val="Title"/>
      </w:pPr>
      <w:r>
        <w:rPr>
          <w:color w:val="6460A9"/>
        </w:rPr>
        <w:t>Désignation</w:t>
      </w:r>
      <w:r>
        <w:rPr>
          <w:color w:val="6460A9"/>
          <w:spacing w:val="-5"/>
        </w:rPr>
        <w:t> </w:t>
      </w:r>
      <w:r>
        <w:rPr>
          <w:color w:val="6460A9"/>
        </w:rPr>
        <w:t>d’un</w:t>
      </w:r>
      <w:r>
        <w:rPr>
          <w:color w:val="6460A9"/>
          <w:spacing w:val="-7"/>
        </w:rPr>
        <w:t> </w:t>
      </w:r>
      <w:r>
        <w:rPr>
          <w:color w:val="6460A9"/>
        </w:rPr>
        <w:t>expert</w:t>
      </w:r>
      <w:r>
        <w:rPr>
          <w:color w:val="6460A9"/>
          <w:spacing w:val="-6"/>
        </w:rPr>
        <w:t> </w:t>
      </w:r>
      <w:r>
        <w:rPr>
          <w:color w:val="6460A9"/>
        </w:rPr>
        <w:t>indépendant</w:t>
      </w:r>
    </w:p>
    <w:p>
      <w:pPr>
        <w:pStyle w:val="BodyText"/>
        <w:spacing w:before="245"/>
        <w:ind w:left="112"/>
        <w:jc w:val="both"/>
      </w:pPr>
      <w:r>
        <w:rPr>
          <w:w w:val="90"/>
        </w:rPr>
        <w:t>Paris,</w:t>
      </w:r>
      <w:r>
        <w:rPr>
          <w:spacing w:val="4"/>
          <w:w w:val="90"/>
        </w:rPr>
        <w:t> </w:t>
      </w:r>
      <w:r>
        <w:rPr>
          <w:w w:val="90"/>
        </w:rPr>
        <w:t>le</w:t>
      </w:r>
      <w:r>
        <w:rPr>
          <w:spacing w:val="7"/>
          <w:w w:val="90"/>
        </w:rPr>
        <w:t> </w:t>
      </w:r>
      <w:r>
        <w:rPr>
          <w:w w:val="90"/>
        </w:rPr>
        <w:t>17</w:t>
      </w:r>
      <w:r>
        <w:rPr>
          <w:spacing w:val="6"/>
          <w:w w:val="90"/>
        </w:rPr>
        <w:t> </w:t>
      </w:r>
      <w:r>
        <w:rPr>
          <w:w w:val="90"/>
        </w:rPr>
        <w:t>octobre</w:t>
      </w:r>
      <w:r>
        <w:rPr>
          <w:spacing w:val="7"/>
          <w:w w:val="90"/>
        </w:rPr>
        <w:t> </w:t>
      </w:r>
      <w:r>
        <w:rPr>
          <w:w w:val="90"/>
        </w:rPr>
        <w:t>2023</w:t>
      </w:r>
    </w:p>
    <w:p>
      <w:pPr>
        <w:pStyle w:val="BodyText"/>
        <w:spacing w:before="1"/>
        <w:rPr>
          <w:sz w:val="33"/>
        </w:rPr>
      </w:pPr>
    </w:p>
    <w:p>
      <w:pPr>
        <w:pStyle w:val="BodyText"/>
        <w:spacing w:line="278" w:lineRule="auto"/>
        <w:ind w:left="112" w:right="113"/>
        <w:jc w:val="both"/>
      </w:pPr>
      <w:r>
        <w:rPr/>
        <w:t>Dans</w:t>
      </w:r>
      <w:r>
        <w:rPr>
          <w:spacing w:val="-28"/>
        </w:rPr>
        <w:t> </w:t>
      </w:r>
      <w:r>
        <w:rPr/>
        <w:t>le</w:t>
      </w:r>
      <w:r>
        <w:rPr>
          <w:spacing w:val="-27"/>
        </w:rPr>
        <w:t> </w:t>
      </w:r>
      <w:r>
        <w:rPr/>
        <w:t>prolongement</w:t>
      </w:r>
      <w:r>
        <w:rPr>
          <w:spacing w:val="-29"/>
        </w:rPr>
        <w:t> </w:t>
      </w:r>
      <w:r>
        <w:rPr/>
        <w:t>de</w:t>
      </w:r>
      <w:r>
        <w:rPr>
          <w:spacing w:val="-27"/>
        </w:rPr>
        <w:t> </w:t>
      </w:r>
      <w:r>
        <w:rPr/>
        <w:t>ses</w:t>
      </w:r>
      <w:r>
        <w:rPr>
          <w:spacing w:val="-30"/>
        </w:rPr>
        <w:t> </w:t>
      </w:r>
      <w:r>
        <w:rPr/>
        <w:t>précédents</w:t>
      </w:r>
      <w:r>
        <w:rPr>
          <w:spacing w:val="-28"/>
        </w:rPr>
        <w:t> </w:t>
      </w:r>
      <w:r>
        <w:rPr/>
        <w:t>communiqués</w:t>
      </w:r>
      <w:hyperlink w:history="true" w:anchor="_bookmark0">
        <w:r>
          <w:rPr>
            <w:position w:val="6"/>
            <w:sz w:val="14"/>
          </w:rPr>
          <w:t>1</w:t>
        </w:r>
      </w:hyperlink>
      <w:r>
        <w:rPr/>
        <w:t>,</w:t>
      </w:r>
      <w:r>
        <w:rPr>
          <w:spacing w:val="-29"/>
        </w:rPr>
        <w:t> </w:t>
      </w:r>
      <w:r>
        <w:rPr/>
        <w:t>le</w:t>
      </w:r>
      <w:r>
        <w:rPr>
          <w:spacing w:val="-28"/>
        </w:rPr>
        <w:t> </w:t>
      </w:r>
      <w:r>
        <w:rPr/>
        <w:t>groupe</w:t>
      </w:r>
      <w:r>
        <w:rPr>
          <w:spacing w:val="-30"/>
        </w:rPr>
        <w:t> </w:t>
      </w:r>
      <w:r>
        <w:rPr/>
        <w:t>Casino</w:t>
      </w:r>
      <w:r>
        <w:rPr>
          <w:spacing w:val="-29"/>
        </w:rPr>
        <w:t> </w:t>
      </w:r>
      <w:r>
        <w:rPr/>
        <w:t>annonce</w:t>
      </w:r>
      <w:r>
        <w:rPr>
          <w:spacing w:val="-27"/>
        </w:rPr>
        <w:t> </w:t>
      </w:r>
      <w:r>
        <w:rPr/>
        <w:t>qu’au</w:t>
      </w:r>
      <w:r>
        <w:rPr>
          <w:spacing w:val="-75"/>
        </w:rPr>
        <w:t> </w:t>
      </w:r>
      <w:r>
        <w:rPr>
          <w:w w:val="95"/>
        </w:rPr>
        <w:t>17 octobre 2023, date butoir pour adhérer à l’accord du 5 octobre 2023, dit « </w:t>
      </w:r>
      <w:r>
        <w:rPr>
          <w:rFonts w:ascii="Tahoma" w:hAnsi="Tahoma"/>
          <w:b/>
          <w:w w:val="95"/>
        </w:rPr>
        <w:t>Accord de</w:t>
      </w:r>
      <w:r>
        <w:rPr>
          <w:rFonts w:ascii="Tahoma" w:hAnsi="Tahoma"/>
          <w:b/>
          <w:spacing w:val="1"/>
          <w:w w:val="95"/>
        </w:rPr>
        <w:t> </w:t>
      </w:r>
      <w:r>
        <w:rPr>
          <w:b/>
          <w:i/>
          <w:w w:val="95"/>
        </w:rPr>
        <w:t>Lock-up </w:t>
      </w:r>
      <w:r>
        <w:rPr>
          <w:w w:val="95"/>
        </w:rPr>
        <w:t>») relatif à sa restructuration financière, les créanciers suivants ont adhéré à</w:t>
      </w:r>
      <w:r>
        <w:rPr>
          <w:spacing w:val="1"/>
          <w:w w:val="95"/>
        </w:rPr>
        <w:t> </w:t>
      </w:r>
      <w:r>
        <w:rPr/>
        <w:t>l’Accord</w:t>
      </w:r>
      <w:r>
        <w:rPr>
          <w:spacing w:val="-18"/>
        </w:rPr>
        <w:t> </w:t>
      </w:r>
      <w:r>
        <w:rPr/>
        <w:t>de</w:t>
      </w:r>
      <w:r>
        <w:rPr>
          <w:spacing w:val="-17"/>
        </w:rPr>
        <w:t> </w:t>
      </w:r>
      <w:r>
        <w:rPr/>
        <w:t>Lock-up</w:t>
      </w:r>
      <w:r>
        <w:rPr>
          <w:spacing w:val="-17"/>
        </w:rPr>
        <w:t> </w:t>
      </w:r>
      <w:r>
        <w:rPr/>
        <w:t>:</w:t>
      </w:r>
    </w:p>
    <w:p>
      <w:pPr>
        <w:pStyle w:val="BodyText"/>
        <w:spacing w:before="8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4" w:val="left" w:leader="none"/>
        </w:tabs>
        <w:spacing w:line="240" w:lineRule="auto" w:before="0" w:after="0"/>
        <w:ind w:left="833" w:right="0" w:hanging="361"/>
        <w:jc w:val="left"/>
        <w:rPr>
          <w:sz w:val="22"/>
        </w:rPr>
      </w:pPr>
      <w:r>
        <w:rPr>
          <w:w w:val="95"/>
          <w:sz w:val="22"/>
        </w:rPr>
        <w:t>des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créanciers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détenant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économiquement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98,6%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du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Term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Loan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B</w:t>
      </w:r>
      <w:hyperlink w:history="true" w:anchor="_bookmark1">
        <w:r>
          <w:rPr>
            <w:w w:val="95"/>
            <w:position w:val="6"/>
            <w:sz w:val="14"/>
          </w:rPr>
          <w:t>2</w:t>
        </w:r>
        <w:r>
          <w:rPr>
            <w:spacing w:val="24"/>
            <w:w w:val="95"/>
            <w:position w:val="6"/>
            <w:sz w:val="14"/>
          </w:rPr>
          <w:t> </w:t>
        </w:r>
      </w:hyperlink>
      <w:r>
        <w:rPr>
          <w:w w:val="95"/>
          <w:sz w:val="22"/>
        </w:rPr>
        <w:t>;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78" w:lineRule="auto" w:before="40" w:after="0"/>
        <w:ind w:left="832" w:right="111" w:hanging="360"/>
        <w:jc w:val="left"/>
        <w:rPr>
          <w:sz w:val="22"/>
        </w:rPr>
      </w:pPr>
      <w:r>
        <w:rPr>
          <w:w w:val="95"/>
          <w:sz w:val="22"/>
        </w:rPr>
        <w:t>des</w:t>
      </w:r>
      <w:r>
        <w:rPr>
          <w:spacing w:val="20"/>
          <w:w w:val="95"/>
          <w:sz w:val="22"/>
        </w:rPr>
        <w:t> </w:t>
      </w:r>
      <w:r>
        <w:rPr>
          <w:w w:val="95"/>
          <w:sz w:val="22"/>
        </w:rPr>
        <w:t>principaux</w:t>
      </w:r>
      <w:r>
        <w:rPr>
          <w:spacing w:val="18"/>
          <w:w w:val="95"/>
          <w:sz w:val="22"/>
        </w:rPr>
        <w:t> </w:t>
      </w:r>
      <w:r>
        <w:rPr>
          <w:w w:val="95"/>
          <w:sz w:val="22"/>
        </w:rPr>
        <w:t>groupes</w:t>
      </w:r>
      <w:r>
        <w:rPr>
          <w:spacing w:val="21"/>
          <w:w w:val="95"/>
          <w:sz w:val="22"/>
        </w:rPr>
        <w:t> </w:t>
      </w:r>
      <w:r>
        <w:rPr>
          <w:w w:val="95"/>
          <w:sz w:val="22"/>
        </w:rPr>
        <w:t>bancaires</w:t>
      </w:r>
      <w:r>
        <w:rPr>
          <w:spacing w:val="20"/>
          <w:w w:val="95"/>
          <w:sz w:val="22"/>
        </w:rPr>
        <w:t> </w:t>
      </w:r>
      <w:r>
        <w:rPr>
          <w:w w:val="95"/>
          <w:sz w:val="22"/>
        </w:rPr>
        <w:t>commerciaux</w:t>
      </w:r>
      <w:r>
        <w:rPr>
          <w:spacing w:val="18"/>
          <w:w w:val="95"/>
          <w:sz w:val="22"/>
        </w:rPr>
        <w:t> </w:t>
      </w:r>
      <w:r>
        <w:rPr>
          <w:w w:val="95"/>
          <w:sz w:val="22"/>
        </w:rPr>
        <w:t>et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certains</w:t>
      </w:r>
      <w:r>
        <w:rPr>
          <w:spacing w:val="20"/>
          <w:w w:val="95"/>
          <w:sz w:val="22"/>
        </w:rPr>
        <w:t> </w:t>
      </w:r>
      <w:r>
        <w:rPr>
          <w:w w:val="95"/>
          <w:sz w:val="22"/>
        </w:rPr>
        <w:t>des</w:t>
      </w:r>
      <w:r>
        <w:rPr>
          <w:spacing w:val="20"/>
          <w:w w:val="95"/>
          <w:sz w:val="22"/>
        </w:rPr>
        <w:t> </w:t>
      </w:r>
      <w:r>
        <w:rPr>
          <w:w w:val="95"/>
          <w:sz w:val="22"/>
        </w:rPr>
        <w:t>créanciers</w:t>
      </w:r>
      <w:r>
        <w:rPr>
          <w:spacing w:val="20"/>
          <w:w w:val="95"/>
          <w:sz w:val="22"/>
        </w:rPr>
        <w:t> </w:t>
      </w:r>
      <w:r>
        <w:rPr>
          <w:w w:val="95"/>
          <w:sz w:val="22"/>
        </w:rPr>
        <w:t>susvisés</w:t>
      </w:r>
      <w:r>
        <w:rPr>
          <w:spacing w:val="-70"/>
          <w:w w:val="95"/>
          <w:sz w:val="22"/>
        </w:rPr>
        <w:t> </w:t>
      </w:r>
      <w:r>
        <w:rPr>
          <w:w w:val="95"/>
          <w:sz w:val="22"/>
        </w:rPr>
        <w:t>détenant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économiquement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90,0%</w:t>
      </w:r>
      <w:r>
        <w:rPr>
          <w:spacing w:val="47"/>
          <w:w w:val="95"/>
          <w:sz w:val="22"/>
        </w:rPr>
        <w:t> </w:t>
      </w:r>
      <w:r>
        <w:rPr>
          <w:w w:val="95"/>
          <w:sz w:val="22"/>
        </w:rPr>
        <w:t>du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RCF</w:t>
      </w:r>
      <w:hyperlink w:history="true" w:anchor="_bookmark2">
        <w:r>
          <w:rPr>
            <w:w w:val="95"/>
            <w:position w:val="6"/>
            <w:sz w:val="14"/>
          </w:rPr>
          <w:t>3</w:t>
        </w:r>
        <w:r>
          <w:rPr>
            <w:spacing w:val="14"/>
            <w:w w:val="95"/>
            <w:position w:val="6"/>
            <w:sz w:val="14"/>
          </w:rPr>
          <w:t> </w:t>
        </w:r>
      </w:hyperlink>
      <w:r>
        <w:rPr>
          <w:w w:val="95"/>
          <w:sz w:val="22"/>
        </w:rPr>
        <w:t>;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76" w:lineRule="auto" w:before="0" w:after="0"/>
        <w:ind w:left="832" w:right="111" w:hanging="361"/>
        <w:jc w:val="left"/>
        <w:rPr>
          <w:sz w:val="22"/>
        </w:rPr>
      </w:pPr>
      <w:r>
        <w:rPr>
          <w:sz w:val="22"/>
        </w:rPr>
        <w:t>des</w:t>
      </w:r>
      <w:r>
        <w:rPr>
          <w:spacing w:val="43"/>
          <w:sz w:val="22"/>
        </w:rPr>
        <w:t> </w:t>
      </w:r>
      <w:r>
        <w:rPr>
          <w:sz w:val="22"/>
        </w:rPr>
        <w:t>porteurs</w:t>
      </w:r>
      <w:r>
        <w:rPr>
          <w:spacing w:val="44"/>
          <w:sz w:val="22"/>
        </w:rPr>
        <w:t> </w:t>
      </w:r>
      <w:r>
        <w:rPr>
          <w:sz w:val="22"/>
        </w:rPr>
        <w:t>des</w:t>
      </w:r>
      <w:r>
        <w:rPr>
          <w:spacing w:val="44"/>
          <w:sz w:val="22"/>
        </w:rPr>
        <w:t> </w:t>
      </w:r>
      <w:r>
        <w:rPr>
          <w:sz w:val="22"/>
        </w:rPr>
        <w:t>obligations</w:t>
      </w:r>
      <w:r>
        <w:rPr>
          <w:spacing w:val="41"/>
          <w:sz w:val="22"/>
        </w:rPr>
        <w:t> </w:t>
      </w:r>
      <w:r>
        <w:rPr>
          <w:sz w:val="22"/>
        </w:rPr>
        <w:t>émises</w:t>
      </w:r>
      <w:r>
        <w:rPr>
          <w:spacing w:val="42"/>
          <w:sz w:val="22"/>
        </w:rPr>
        <w:t> </w:t>
      </w:r>
      <w:r>
        <w:rPr>
          <w:sz w:val="22"/>
        </w:rPr>
        <w:t>par</w:t>
      </w:r>
      <w:r>
        <w:rPr>
          <w:spacing w:val="41"/>
          <w:sz w:val="22"/>
        </w:rPr>
        <w:t> </w:t>
      </w:r>
      <w:r>
        <w:rPr>
          <w:sz w:val="22"/>
        </w:rPr>
        <w:t>Quatrim</w:t>
      </w:r>
      <w:r>
        <w:rPr>
          <w:spacing w:val="42"/>
          <w:sz w:val="22"/>
        </w:rPr>
        <w:t> </w:t>
      </w:r>
      <w:r>
        <w:rPr>
          <w:sz w:val="22"/>
        </w:rPr>
        <w:t>représentant</w:t>
      </w:r>
      <w:r>
        <w:rPr>
          <w:spacing w:val="42"/>
          <w:sz w:val="22"/>
        </w:rPr>
        <w:t> </w:t>
      </w:r>
      <w:r>
        <w:rPr>
          <w:sz w:val="22"/>
        </w:rPr>
        <w:t>78,0%</w:t>
      </w:r>
      <w:r>
        <w:rPr>
          <w:spacing w:val="43"/>
          <w:sz w:val="22"/>
        </w:rPr>
        <w:t> </w:t>
      </w:r>
      <w:r>
        <w:rPr>
          <w:sz w:val="22"/>
        </w:rPr>
        <w:t>de</w:t>
      </w:r>
      <w:r>
        <w:rPr>
          <w:spacing w:val="43"/>
          <w:sz w:val="22"/>
        </w:rPr>
        <w:t> </w:t>
      </w:r>
      <w:r>
        <w:rPr>
          <w:sz w:val="22"/>
        </w:rPr>
        <w:t>ces</w:t>
      </w:r>
      <w:r>
        <w:rPr>
          <w:spacing w:val="-75"/>
          <w:sz w:val="22"/>
        </w:rPr>
        <w:t> </w:t>
      </w:r>
      <w:r>
        <w:rPr>
          <w:sz w:val="22"/>
        </w:rPr>
        <w:t>obligations</w:t>
      </w:r>
      <w:r>
        <w:rPr>
          <w:spacing w:val="-18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78" w:lineRule="auto" w:before="0" w:after="0"/>
        <w:ind w:left="832" w:right="111" w:hanging="360"/>
        <w:jc w:val="left"/>
        <w:rPr>
          <w:sz w:val="22"/>
        </w:rPr>
      </w:pPr>
      <w:r>
        <w:rPr>
          <w:spacing w:val="-1"/>
          <w:sz w:val="22"/>
        </w:rPr>
        <w:t>51,0% des créanciers financiers non sécurisés (obligations </w:t>
      </w:r>
      <w:r>
        <w:rPr>
          <w:i/>
          <w:spacing w:val="-1"/>
          <w:sz w:val="22"/>
        </w:rPr>
        <w:t>high yield</w:t>
      </w:r>
      <w:r>
        <w:rPr>
          <w:spacing w:val="-1"/>
          <w:sz w:val="22"/>
        </w:rPr>
        <w:t>, obligations</w:t>
      </w:r>
      <w:r>
        <w:rPr>
          <w:spacing w:val="-75"/>
          <w:sz w:val="22"/>
        </w:rPr>
        <w:t> </w:t>
      </w:r>
      <w:r>
        <w:rPr>
          <w:sz w:val="22"/>
        </w:rPr>
        <w:t>EMTN,</w:t>
      </w:r>
      <w:r>
        <w:rPr>
          <w:spacing w:val="-21"/>
          <w:sz w:val="22"/>
        </w:rPr>
        <w:t> </w:t>
      </w:r>
      <w:r>
        <w:rPr>
          <w:sz w:val="22"/>
        </w:rPr>
        <w:t>et</w:t>
      </w:r>
      <w:r>
        <w:rPr>
          <w:spacing w:val="-19"/>
          <w:sz w:val="22"/>
        </w:rPr>
        <w:t> </w:t>
      </w:r>
      <w:r>
        <w:rPr>
          <w:sz w:val="22"/>
        </w:rPr>
        <w:t>NEU</w:t>
      </w:r>
      <w:r>
        <w:rPr>
          <w:spacing w:val="-19"/>
          <w:sz w:val="22"/>
        </w:rPr>
        <w:t> </w:t>
      </w:r>
      <w:r>
        <w:rPr>
          <w:sz w:val="22"/>
        </w:rPr>
        <w:t>CP)</w:t>
      </w:r>
      <w:r>
        <w:rPr>
          <w:spacing w:val="-19"/>
          <w:sz w:val="22"/>
        </w:rPr>
        <w:t> </w:t>
      </w:r>
      <w:r>
        <w:rPr>
          <w:sz w:val="22"/>
        </w:rPr>
        <w:t>;</w:t>
      </w:r>
      <w:r>
        <w:rPr>
          <w:spacing w:val="-20"/>
          <w:sz w:val="22"/>
        </w:rPr>
        <w:t> </w:t>
      </w:r>
      <w:r>
        <w:rPr>
          <w:sz w:val="22"/>
        </w:rPr>
        <w:t>et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68" w:lineRule="exact" w:before="0" w:after="0"/>
        <w:ind w:left="833" w:right="0" w:hanging="360"/>
        <w:jc w:val="left"/>
        <w:rPr>
          <w:sz w:val="22"/>
        </w:rPr>
      </w:pPr>
      <w:r>
        <w:rPr>
          <w:w w:val="85"/>
          <w:sz w:val="22"/>
        </w:rPr>
        <w:t>44,3%</w:t>
      </w:r>
      <w:r>
        <w:rPr>
          <w:spacing w:val="9"/>
          <w:w w:val="85"/>
          <w:sz w:val="22"/>
        </w:rPr>
        <w:t> </w:t>
      </w:r>
      <w:r>
        <w:rPr>
          <w:w w:val="85"/>
          <w:sz w:val="22"/>
        </w:rPr>
        <w:t>des</w:t>
      </w:r>
      <w:r>
        <w:rPr>
          <w:spacing w:val="12"/>
          <w:w w:val="85"/>
          <w:sz w:val="22"/>
        </w:rPr>
        <w:t> </w:t>
      </w:r>
      <w:r>
        <w:rPr>
          <w:w w:val="85"/>
          <w:sz w:val="22"/>
        </w:rPr>
        <w:t>porteurs</w:t>
      </w:r>
      <w:r>
        <w:rPr>
          <w:spacing w:val="11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spacing w:val="7"/>
          <w:w w:val="85"/>
          <w:sz w:val="22"/>
        </w:rPr>
        <w:t> </w:t>
      </w:r>
      <w:r>
        <w:rPr>
          <w:w w:val="85"/>
          <w:sz w:val="22"/>
        </w:rPr>
        <w:t>TSSDI.</w:t>
      </w:r>
    </w:p>
    <w:p>
      <w:pPr>
        <w:pStyle w:val="BodyText"/>
        <w:spacing w:before="11"/>
        <w:rPr>
          <w:sz w:val="32"/>
        </w:rPr>
      </w:pPr>
    </w:p>
    <w:p>
      <w:pPr>
        <w:pStyle w:val="BodyText"/>
        <w:spacing w:line="278" w:lineRule="auto" w:before="1"/>
        <w:ind w:left="112" w:right="112"/>
        <w:jc w:val="both"/>
      </w:pPr>
      <w:r>
        <w:rPr/>
        <w:t>Les autres créanciers financiers du Groupe peuvent encore adhérer à l’Accord de Lock-</w:t>
      </w:r>
      <w:r>
        <w:rPr>
          <w:spacing w:val="-75"/>
        </w:rPr>
        <w:t> </w:t>
      </w:r>
      <w:r>
        <w:rPr/>
        <w:t>up,</w:t>
      </w:r>
      <w:r>
        <w:rPr>
          <w:spacing w:val="-16"/>
        </w:rPr>
        <w:t> </w:t>
      </w:r>
      <w:r>
        <w:rPr/>
        <w:t>mais</w:t>
      </w:r>
      <w:r>
        <w:rPr>
          <w:spacing w:val="-15"/>
        </w:rPr>
        <w:t> </w:t>
      </w:r>
      <w:r>
        <w:rPr/>
        <w:t>ils</w:t>
      </w:r>
      <w:r>
        <w:rPr>
          <w:spacing w:val="-14"/>
        </w:rPr>
        <w:t> </w:t>
      </w:r>
      <w:r>
        <w:rPr/>
        <w:t>ne</w:t>
      </w:r>
      <w:r>
        <w:rPr>
          <w:spacing w:val="-14"/>
        </w:rPr>
        <w:t> </w:t>
      </w:r>
      <w:r>
        <w:rPr/>
        <w:t>bénéficieront</w:t>
      </w:r>
      <w:r>
        <w:rPr>
          <w:spacing w:val="-15"/>
        </w:rPr>
        <w:t> </w:t>
      </w:r>
      <w:r>
        <w:rPr/>
        <w:t>ni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la</w:t>
      </w:r>
      <w:r>
        <w:rPr>
          <w:spacing w:val="-17"/>
        </w:rPr>
        <w:t> </w:t>
      </w:r>
      <w:r>
        <w:rPr/>
        <w:t>commission</w:t>
      </w:r>
      <w:r>
        <w:rPr>
          <w:spacing w:val="-15"/>
        </w:rPr>
        <w:t> </w:t>
      </w:r>
      <w:r>
        <w:rPr/>
        <w:t>d’adhésion</w:t>
      </w:r>
      <w:r>
        <w:rPr>
          <w:spacing w:val="-15"/>
        </w:rPr>
        <w:t> </w:t>
      </w:r>
      <w:r>
        <w:rPr/>
        <w:t>à</w:t>
      </w:r>
      <w:r>
        <w:rPr>
          <w:spacing w:val="-14"/>
        </w:rPr>
        <w:t> </w:t>
      </w:r>
      <w:r>
        <w:rPr/>
        <w:t>l’Accord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Lock-up</w:t>
      </w:r>
      <w:hyperlink w:history="true" w:anchor="_bookmark3">
        <w:r>
          <w:rPr>
            <w:position w:val="6"/>
            <w:sz w:val="14"/>
          </w:rPr>
          <w:t>4</w:t>
        </w:r>
        <w:r>
          <w:rPr>
            <w:spacing w:val="12"/>
            <w:position w:val="6"/>
            <w:sz w:val="14"/>
          </w:rPr>
          <w:t> </w:t>
        </w:r>
      </w:hyperlink>
      <w:r>
        <w:rPr/>
        <w:t>ni</w:t>
      </w:r>
      <w:r>
        <w:rPr>
          <w:spacing w:val="-13"/>
        </w:rPr>
        <w:t> </w:t>
      </w:r>
      <w:r>
        <w:rPr/>
        <w:t>du</w:t>
      </w:r>
      <w:r>
        <w:rPr>
          <w:spacing w:val="-75"/>
        </w:rPr>
        <w:t> </w:t>
      </w:r>
      <w:r>
        <w:rPr/>
        <w:t>droit de souscrire à l'augmentation de capital garantie de 275 millions d'euros (cf.</w:t>
      </w:r>
      <w:r>
        <w:rPr>
          <w:spacing w:val="1"/>
        </w:rPr>
        <w:t> </w:t>
      </w:r>
      <w:r>
        <w:rPr>
          <w:w w:val="95"/>
        </w:rPr>
        <w:t>communiqué</w:t>
      </w:r>
      <w:r>
        <w:rPr>
          <w:spacing w:val="-12"/>
          <w:w w:val="95"/>
        </w:rPr>
        <w:t> </w:t>
      </w:r>
      <w:r>
        <w:rPr>
          <w:w w:val="95"/>
        </w:rPr>
        <w:t>de</w:t>
      </w:r>
      <w:r>
        <w:rPr>
          <w:spacing w:val="-12"/>
          <w:w w:val="95"/>
        </w:rPr>
        <w:t> </w:t>
      </w:r>
      <w:r>
        <w:rPr>
          <w:w w:val="95"/>
        </w:rPr>
        <w:t>presse</w:t>
      </w:r>
      <w:r>
        <w:rPr>
          <w:spacing w:val="-12"/>
          <w:w w:val="95"/>
        </w:rPr>
        <w:t> </w:t>
      </w:r>
      <w:r>
        <w:rPr>
          <w:w w:val="95"/>
        </w:rPr>
        <w:t>du</w:t>
      </w:r>
      <w:r>
        <w:rPr>
          <w:spacing w:val="-13"/>
          <w:w w:val="95"/>
        </w:rPr>
        <w:t> </w:t>
      </w:r>
      <w:r>
        <w:rPr>
          <w:w w:val="95"/>
        </w:rPr>
        <w:t>5</w:t>
      </w:r>
      <w:r>
        <w:rPr>
          <w:spacing w:val="-13"/>
          <w:w w:val="95"/>
        </w:rPr>
        <w:t> </w:t>
      </w:r>
      <w:r>
        <w:rPr>
          <w:w w:val="95"/>
        </w:rPr>
        <w:t>octobre</w:t>
      </w:r>
      <w:r>
        <w:rPr>
          <w:spacing w:val="-11"/>
          <w:w w:val="95"/>
        </w:rPr>
        <w:t> </w:t>
      </w:r>
      <w:r>
        <w:rPr>
          <w:w w:val="95"/>
        </w:rPr>
        <w:t>2023).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278" w:lineRule="auto"/>
        <w:ind w:left="112" w:right="109" w:hanging="1"/>
        <w:jc w:val="both"/>
      </w:pPr>
      <w:r>
        <w:rPr>
          <w:w w:val="95"/>
        </w:rPr>
        <w:t>Dans</w:t>
      </w:r>
      <w:r>
        <w:rPr>
          <w:spacing w:val="14"/>
          <w:w w:val="95"/>
        </w:rPr>
        <w:t> </w:t>
      </w:r>
      <w:r>
        <w:rPr>
          <w:w w:val="95"/>
        </w:rPr>
        <w:t>le</w:t>
      </w:r>
      <w:r>
        <w:rPr>
          <w:spacing w:val="14"/>
          <w:w w:val="95"/>
        </w:rPr>
        <w:t> </w:t>
      </w:r>
      <w:r>
        <w:rPr>
          <w:w w:val="95"/>
        </w:rPr>
        <w:t>cadre</w:t>
      </w:r>
      <w:r>
        <w:rPr>
          <w:spacing w:val="14"/>
          <w:w w:val="95"/>
        </w:rPr>
        <w:t> </w:t>
      </w:r>
      <w:r>
        <w:rPr>
          <w:w w:val="95"/>
        </w:rPr>
        <w:t>des</w:t>
      </w:r>
      <w:r>
        <w:rPr>
          <w:spacing w:val="14"/>
          <w:w w:val="95"/>
        </w:rPr>
        <w:t> </w:t>
      </w:r>
      <w:r>
        <w:rPr>
          <w:w w:val="95"/>
        </w:rPr>
        <w:t>différentes</w:t>
      </w:r>
      <w:r>
        <w:rPr>
          <w:spacing w:val="14"/>
          <w:w w:val="95"/>
        </w:rPr>
        <w:t> </w:t>
      </w:r>
      <w:r>
        <w:rPr>
          <w:w w:val="95"/>
        </w:rPr>
        <w:t>augmentations</w:t>
      </w:r>
      <w:r>
        <w:rPr>
          <w:spacing w:val="14"/>
          <w:w w:val="95"/>
        </w:rPr>
        <w:t> </w:t>
      </w:r>
      <w:r>
        <w:rPr>
          <w:w w:val="95"/>
        </w:rPr>
        <w:t>de</w:t>
      </w:r>
      <w:r>
        <w:rPr>
          <w:spacing w:val="11"/>
          <w:w w:val="95"/>
        </w:rPr>
        <w:t> </w:t>
      </w:r>
      <w:r>
        <w:rPr>
          <w:w w:val="95"/>
        </w:rPr>
        <w:t>capital</w:t>
      </w:r>
      <w:r>
        <w:rPr>
          <w:spacing w:val="16"/>
          <w:w w:val="95"/>
        </w:rPr>
        <w:t> </w:t>
      </w:r>
      <w:r>
        <w:rPr>
          <w:w w:val="95"/>
        </w:rPr>
        <w:t>devant</w:t>
      </w:r>
      <w:r>
        <w:rPr>
          <w:spacing w:val="13"/>
          <w:w w:val="95"/>
        </w:rPr>
        <w:t> </w:t>
      </w:r>
      <w:r>
        <w:rPr>
          <w:w w:val="95"/>
        </w:rPr>
        <w:t>être</w:t>
      </w:r>
      <w:r>
        <w:rPr>
          <w:spacing w:val="14"/>
          <w:w w:val="95"/>
        </w:rPr>
        <w:t> </w:t>
      </w:r>
      <w:r>
        <w:rPr>
          <w:w w:val="95"/>
        </w:rPr>
        <w:t>mises</w:t>
      </w:r>
      <w:r>
        <w:rPr>
          <w:spacing w:val="11"/>
          <w:w w:val="95"/>
        </w:rPr>
        <w:t> </w:t>
      </w:r>
      <w:r>
        <w:rPr>
          <w:w w:val="95"/>
        </w:rPr>
        <w:t>en</w:t>
      </w:r>
      <w:r>
        <w:rPr>
          <w:spacing w:val="13"/>
          <w:w w:val="95"/>
        </w:rPr>
        <w:t> </w:t>
      </w:r>
      <w:r>
        <w:rPr>
          <w:w w:val="95"/>
        </w:rPr>
        <w:t>œuvre</w:t>
      </w:r>
      <w:r>
        <w:rPr>
          <w:spacing w:val="14"/>
          <w:w w:val="95"/>
        </w:rPr>
        <w:t> </w:t>
      </w:r>
      <w:r>
        <w:rPr>
          <w:w w:val="95"/>
        </w:rPr>
        <w:t>dans</w:t>
      </w:r>
      <w:r>
        <w:rPr>
          <w:spacing w:val="-71"/>
          <w:w w:val="95"/>
        </w:rPr>
        <w:t> </w:t>
      </w:r>
      <w:r>
        <w:rPr>
          <w:w w:val="95"/>
        </w:rPr>
        <w:t>le cadre de sa restructuration financière et dans la perspective (i) du vote de la classe des</w:t>
      </w:r>
      <w:r>
        <w:rPr>
          <w:spacing w:val="1"/>
          <w:w w:val="95"/>
        </w:rPr>
        <w:t> </w:t>
      </w:r>
      <w:r>
        <w:rPr>
          <w:w w:val="95"/>
        </w:rPr>
        <w:t>actionnaires</w:t>
      </w:r>
      <w:r>
        <w:rPr>
          <w:spacing w:val="-17"/>
          <w:w w:val="95"/>
        </w:rPr>
        <w:t> </w:t>
      </w:r>
      <w:r>
        <w:rPr>
          <w:w w:val="95"/>
        </w:rPr>
        <w:t>et</w:t>
      </w:r>
      <w:r>
        <w:rPr>
          <w:spacing w:val="-19"/>
          <w:w w:val="95"/>
        </w:rPr>
        <w:t> </w:t>
      </w:r>
      <w:r>
        <w:rPr>
          <w:w w:val="95"/>
        </w:rPr>
        <w:t>(ii)</w:t>
      </w:r>
      <w:r>
        <w:rPr>
          <w:spacing w:val="-21"/>
          <w:w w:val="95"/>
        </w:rPr>
        <w:t> </w:t>
      </w:r>
      <w:r>
        <w:rPr>
          <w:w w:val="95"/>
        </w:rPr>
        <w:t>de</w:t>
      </w:r>
      <w:r>
        <w:rPr>
          <w:spacing w:val="-18"/>
          <w:w w:val="95"/>
        </w:rPr>
        <w:t> </w:t>
      </w:r>
      <w:r>
        <w:rPr>
          <w:w w:val="95"/>
        </w:rPr>
        <w:t>l’examen,</w:t>
      </w:r>
      <w:r>
        <w:rPr>
          <w:spacing w:val="-19"/>
          <w:w w:val="95"/>
        </w:rPr>
        <w:t> </w:t>
      </w:r>
      <w:r>
        <w:rPr>
          <w:w w:val="95"/>
        </w:rPr>
        <w:t>par</w:t>
      </w:r>
      <w:r>
        <w:rPr>
          <w:spacing w:val="-16"/>
          <w:w w:val="95"/>
        </w:rPr>
        <w:t> </w:t>
      </w:r>
      <w:r>
        <w:rPr>
          <w:w w:val="95"/>
        </w:rPr>
        <w:t>l’Autorité</w:t>
      </w:r>
      <w:r>
        <w:rPr>
          <w:spacing w:val="-18"/>
          <w:w w:val="95"/>
        </w:rPr>
        <w:t> </w:t>
      </w:r>
      <w:r>
        <w:rPr>
          <w:w w:val="95"/>
        </w:rPr>
        <w:t>des</w:t>
      </w:r>
      <w:r>
        <w:rPr>
          <w:spacing w:val="-16"/>
          <w:w w:val="95"/>
        </w:rPr>
        <w:t> </w:t>
      </w:r>
      <w:r>
        <w:rPr>
          <w:w w:val="95"/>
        </w:rPr>
        <w:t>marchés</w:t>
      </w:r>
      <w:r>
        <w:rPr>
          <w:spacing w:val="-17"/>
          <w:w w:val="95"/>
        </w:rPr>
        <w:t> </w:t>
      </w:r>
      <w:r>
        <w:rPr>
          <w:w w:val="95"/>
        </w:rPr>
        <w:t>financiers,</w:t>
      </w:r>
      <w:r>
        <w:rPr>
          <w:spacing w:val="-18"/>
          <w:w w:val="95"/>
        </w:rPr>
        <w:t> </w:t>
      </w:r>
      <w:r>
        <w:rPr>
          <w:w w:val="95"/>
        </w:rPr>
        <w:t>des</w:t>
      </w:r>
      <w:r>
        <w:rPr>
          <w:spacing w:val="-17"/>
          <w:w w:val="95"/>
        </w:rPr>
        <w:t> </w:t>
      </w:r>
      <w:r>
        <w:rPr>
          <w:w w:val="95"/>
        </w:rPr>
        <w:t>prospectus</w:t>
      </w:r>
      <w:r>
        <w:rPr>
          <w:spacing w:val="-18"/>
          <w:w w:val="95"/>
        </w:rPr>
        <w:t> </w:t>
      </w:r>
      <w:r>
        <w:rPr>
          <w:w w:val="95"/>
        </w:rPr>
        <w:t>relatifs</w:t>
      </w:r>
      <w:r>
        <w:rPr>
          <w:spacing w:val="-71"/>
          <w:w w:val="95"/>
        </w:rPr>
        <w:t> </w:t>
      </w:r>
      <w:r>
        <w:rPr/>
        <w:t>aux augmentations de capital envisagées, le groupe Casino annonce que le conseil</w:t>
      </w:r>
      <w:r>
        <w:rPr>
          <w:spacing w:val="1"/>
        </w:rPr>
        <w:t> </w:t>
      </w:r>
      <w:r>
        <w:rPr>
          <w:w w:val="95"/>
        </w:rPr>
        <w:t>d’administration de la Société a, après étude de la proposition d’intervention par le comité</w:t>
      </w:r>
      <w:r>
        <w:rPr>
          <w:spacing w:val="1"/>
          <w:w w:val="95"/>
        </w:rPr>
        <w:t> </w:t>
      </w:r>
      <w:r>
        <w:rPr>
          <w:i/>
          <w:spacing w:val="-1"/>
        </w:rPr>
        <w:t>ad</w:t>
      </w:r>
      <w:r>
        <w:rPr>
          <w:i/>
          <w:spacing w:val="-32"/>
        </w:rPr>
        <w:t> </w:t>
      </w:r>
      <w:r>
        <w:rPr>
          <w:i/>
          <w:spacing w:val="-1"/>
        </w:rPr>
        <w:t>hoc</w:t>
      </w:r>
      <w:r>
        <w:rPr>
          <w:i/>
          <w:spacing w:val="-31"/>
        </w:rPr>
        <w:t> </w:t>
      </w:r>
      <w:r>
        <w:rPr>
          <w:spacing w:val="-1"/>
        </w:rPr>
        <w:t>et</w:t>
      </w:r>
      <w:r>
        <w:rPr>
          <w:spacing w:val="-33"/>
        </w:rPr>
        <w:t> </w:t>
      </w:r>
      <w:r>
        <w:rPr>
          <w:spacing w:val="-1"/>
        </w:rPr>
        <w:t>en</w:t>
      </w:r>
      <w:r>
        <w:rPr>
          <w:spacing w:val="-32"/>
        </w:rPr>
        <w:t> </w:t>
      </w:r>
      <w:r>
        <w:rPr>
          <w:spacing w:val="-1"/>
        </w:rPr>
        <w:t>application</w:t>
      </w:r>
      <w:r>
        <w:rPr>
          <w:spacing w:val="-32"/>
        </w:rPr>
        <w:t> </w:t>
      </w:r>
      <w:r>
        <w:rPr>
          <w:spacing w:val="-1"/>
        </w:rPr>
        <w:t>de</w:t>
      </w:r>
      <w:r>
        <w:rPr>
          <w:spacing w:val="-32"/>
        </w:rPr>
        <w:t> </w:t>
      </w:r>
      <w:r>
        <w:rPr/>
        <w:t>l’article</w:t>
      </w:r>
      <w:r>
        <w:rPr>
          <w:spacing w:val="-32"/>
        </w:rPr>
        <w:t> </w:t>
      </w:r>
      <w:r>
        <w:rPr/>
        <w:t>261-3</w:t>
      </w:r>
      <w:r>
        <w:rPr>
          <w:spacing w:val="-32"/>
        </w:rPr>
        <w:t> </w:t>
      </w:r>
      <w:r>
        <w:rPr/>
        <w:t>du</w:t>
      </w:r>
      <w:r>
        <w:rPr>
          <w:spacing w:val="-32"/>
        </w:rPr>
        <w:t> </w:t>
      </w:r>
      <w:r>
        <w:rPr/>
        <w:t>Règlement</w:t>
      </w:r>
      <w:r>
        <w:rPr>
          <w:spacing w:val="-33"/>
        </w:rPr>
        <w:t> </w:t>
      </w:r>
      <w:r>
        <w:rPr/>
        <w:t>général</w:t>
      </w:r>
      <w:r>
        <w:rPr>
          <w:spacing w:val="-31"/>
        </w:rPr>
        <w:t> </w:t>
      </w:r>
      <w:r>
        <w:rPr/>
        <w:t>de</w:t>
      </w:r>
      <w:r>
        <w:rPr>
          <w:spacing w:val="-32"/>
        </w:rPr>
        <w:t> </w:t>
      </w:r>
      <w:r>
        <w:rPr/>
        <w:t>l’AMF,</w:t>
      </w:r>
      <w:r>
        <w:rPr>
          <w:spacing w:val="-33"/>
        </w:rPr>
        <w:t> </w:t>
      </w:r>
      <w:r>
        <w:rPr/>
        <w:t>désigné</w:t>
      </w:r>
      <w:r>
        <w:rPr>
          <w:spacing w:val="-32"/>
        </w:rPr>
        <w:t> </w:t>
      </w:r>
      <w:r>
        <w:rPr/>
        <w:t>Sorgem</w:t>
      </w:r>
      <w:r>
        <w:rPr>
          <w:spacing w:val="-75"/>
        </w:rPr>
        <w:t> </w:t>
      </w:r>
      <w:r>
        <w:rPr/>
        <w:t>Evaluation,</w:t>
      </w:r>
      <w:r>
        <w:rPr>
          <w:spacing w:val="-14"/>
        </w:rPr>
        <w:t> </w:t>
      </w:r>
      <w:r>
        <w:rPr/>
        <w:t>représentée</w:t>
      </w:r>
      <w:r>
        <w:rPr>
          <w:spacing w:val="-13"/>
        </w:rPr>
        <w:t> </w:t>
      </w:r>
      <w:r>
        <w:rPr/>
        <w:t>par</w:t>
      </w:r>
      <w:r>
        <w:rPr>
          <w:spacing w:val="-12"/>
        </w:rPr>
        <w:t> </w:t>
      </w:r>
      <w:r>
        <w:rPr/>
        <w:t>Maurice</w:t>
      </w:r>
      <w:r>
        <w:rPr>
          <w:spacing w:val="-13"/>
        </w:rPr>
        <w:t> </w:t>
      </w:r>
      <w:r>
        <w:rPr/>
        <w:t>Nussenbaum,</w:t>
      </w:r>
      <w:r>
        <w:rPr>
          <w:spacing w:val="-13"/>
        </w:rPr>
        <w:t> </w:t>
      </w:r>
      <w:r>
        <w:rPr/>
        <w:t>comme</w:t>
      </w:r>
      <w:r>
        <w:rPr>
          <w:spacing w:val="-13"/>
        </w:rPr>
        <w:t> </w:t>
      </w:r>
      <w:r>
        <w:rPr/>
        <w:t>expert</w:t>
      </w:r>
      <w:r>
        <w:rPr>
          <w:spacing w:val="-15"/>
        </w:rPr>
        <w:t> </w:t>
      </w:r>
      <w:r>
        <w:rPr/>
        <w:t>indépendant</w:t>
      </w:r>
      <w:r>
        <w:rPr>
          <w:spacing w:val="-13"/>
        </w:rPr>
        <w:t> </w:t>
      </w:r>
      <w:r>
        <w:rPr/>
        <w:t>afin</w:t>
      </w:r>
      <w:r>
        <w:rPr>
          <w:spacing w:val="-13"/>
        </w:rPr>
        <w:t> </w:t>
      </w:r>
      <w:r>
        <w:rPr/>
        <w:t>qu’il</w:t>
      </w:r>
      <w:r>
        <w:rPr>
          <w:spacing w:val="-75"/>
        </w:rPr>
        <w:t> </w:t>
      </w:r>
      <w:r>
        <w:rPr/>
        <w:t>se</w:t>
      </w:r>
      <w:r>
        <w:rPr>
          <w:spacing w:val="1"/>
        </w:rPr>
        <w:t> </w:t>
      </w:r>
      <w:r>
        <w:rPr/>
        <w:t>prononce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caractère</w:t>
      </w:r>
      <w:r>
        <w:rPr>
          <w:spacing w:val="1"/>
        </w:rPr>
        <w:t> </w:t>
      </w:r>
      <w:r>
        <w:rPr/>
        <w:t>équitable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financières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plan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>
          <w:w w:val="95"/>
        </w:rPr>
        <w:t>restructuration</w:t>
      </w:r>
      <w:r>
        <w:rPr>
          <w:spacing w:val="-13"/>
          <w:w w:val="95"/>
        </w:rPr>
        <w:t> </w:t>
      </w:r>
      <w:r>
        <w:rPr>
          <w:w w:val="95"/>
        </w:rPr>
        <w:t>pour</w:t>
      </w:r>
      <w:r>
        <w:rPr>
          <w:spacing w:val="-12"/>
          <w:w w:val="95"/>
        </w:rPr>
        <w:t> </w:t>
      </w:r>
      <w:r>
        <w:rPr>
          <w:w w:val="95"/>
        </w:rPr>
        <w:t>les</w:t>
      </w:r>
      <w:r>
        <w:rPr>
          <w:spacing w:val="-13"/>
          <w:w w:val="95"/>
        </w:rPr>
        <w:t> </w:t>
      </w:r>
      <w:r>
        <w:rPr>
          <w:w w:val="95"/>
        </w:rPr>
        <w:t>actionnaires</w:t>
      </w:r>
      <w:r>
        <w:rPr>
          <w:spacing w:val="-12"/>
          <w:w w:val="95"/>
        </w:rPr>
        <w:t> </w:t>
      </w:r>
      <w:r>
        <w:rPr>
          <w:w w:val="95"/>
        </w:rPr>
        <w:t>actuels</w:t>
      </w:r>
      <w:r>
        <w:rPr>
          <w:spacing w:val="-12"/>
          <w:w w:val="95"/>
        </w:rPr>
        <w:t> </w:t>
      </w:r>
      <w:r>
        <w:rPr>
          <w:w w:val="95"/>
        </w:rPr>
        <w:t>de</w:t>
      </w:r>
      <w:r>
        <w:rPr>
          <w:spacing w:val="-11"/>
          <w:w w:val="95"/>
        </w:rPr>
        <w:t> </w:t>
      </w:r>
      <w:r>
        <w:rPr>
          <w:w w:val="95"/>
        </w:rPr>
        <w:t>la</w:t>
      </w:r>
      <w:r>
        <w:rPr>
          <w:spacing w:val="-12"/>
          <w:w w:val="95"/>
        </w:rPr>
        <w:t> </w:t>
      </w:r>
      <w:r>
        <w:rPr>
          <w:w w:val="95"/>
        </w:rPr>
        <w:t>Société.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2"/>
        </w:rPr>
      </w:pPr>
      <w:r>
        <w:rPr/>
        <w:pict>
          <v:rect style="position:absolute;margin-left:56.639999pt;margin-top:9.685843pt;width:144pt;height:.48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"/>
        <w:rPr>
          <w:sz w:val="6"/>
        </w:rPr>
      </w:pPr>
    </w:p>
    <w:p>
      <w:pPr>
        <w:spacing w:before="101"/>
        <w:ind w:left="112" w:right="0" w:firstLine="0"/>
        <w:jc w:val="left"/>
        <w:rPr>
          <w:sz w:val="16"/>
        </w:rPr>
      </w:pPr>
      <w:bookmarkStart w:name="_bookmark0" w:id="1"/>
      <w:bookmarkEnd w:id="1"/>
      <w:r>
        <w:rPr/>
      </w:r>
      <w:r>
        <w:rPr>
          <w:color w:val="0D0D0D"/>
          <w:w w:val="95"/>
          <w:position w:val="4"/>
          <w:sz w:val="10"/>
        </w:rPr>
        <w:t>1</w:t>
      </w:r>
      <w:r>
        <w:rPr>
          <w:color w:val="0D0D0D"/>
          <w:spacing w:val="18"/>
          <w:w w:val="95"/>
          <w:position w:val="4"/>
          <w:sz w:val="10"/>
        </w:rPr>
        <w:t> </w:t>
      </w:r>
      <w:r>
        <w:rPr>
          <w:color w:val="0D0D0D"/>
          <w:w w:val="95"/>
          <w:sz w:val="16"/>
        </w:rPr>
        <w:t>Communiqués</w:t>
      </w:r>
      <w:r>
        <w:rPr>
          <w:color w:val="0D0D0D"/>
          <w:spacing w:val="-4"/>
          <w:w w:val="95"/>
          <w:sz w:val="16"/>
        </w:rPr>
        <w:t> </w:t>
      </w:r>
      <w:r>
        <w:rPr>
          <w:color w:val="0D0D0D"/>
          <w:w w:val="95"/>
          <w:sz w:val="16"/>
        </w:rPr>
        <w:t>du</w:t>
      </w:r>
      <w:r>
        <w:rPr>
          <w:color w:val="0D0D0D"/>
          <w:spacing w:val="-3"/>
          <w:w w:val="95"/>
          <w:sz w:val="16"/>
        </w:rPr>
        <w:t> </w:t>
      </w:r>
      <w:r>
        <w:rPr>
          <w:color w:val="0D0D0D"/>
          <w:w w:val="95"/>
          <w:sz w:val="16"/>
        </w:rPr>
        <w:t>5</w:t>
      </w:r>
      <w:r>
        <w:rPr>
          <w:color w:val="0D0D0D"/>
          <w:spacing w:val="-5"/>
          <w:w w:val="95"/>
          <w:sz w:val="16"/>
        </w:rPr>
        <w:t> </w:t>
      </w:r>
      <w:r>
        <w:rPr>
          <w:color w:val="0D0D0D"/>
          <w:w w:val="95"/>
          <w:sz w:val="16"/>
        </w:rPr>
        <w:t>octobre</w:t>
      </w:r>
      <w:r>
        <w:rPr>
          <w:color w:val="0D0D0D"/>
          <w:spacing w:val="-1"/>
          <w:w w:val="95"/>
          <w:sz w:val="16"/>
        </w:rPr>
        <w:t> </w:t>
      </w:r>
      <w:r>
        <w:rPr>
          <w:color w:val="0D0D0D"/>
          <w:w w:val="95"/>
          <w:sz w:val="16"/>
        </w:rPr>
        <w:t>2023,</w:t>
      </w:r>
      <w:r>
        <w:rPr>
          <w:color w:val="0D0D0D"/>
          <w:spacing w:val="-2"/>
          <w:w w:val="95"/>
          <w:sz w:val="16"/>
        </w:rPr>
        <w:t> </w:t>
      </w:r>
      <w:r>
        <w:rPr>
          <w:color w:val="0D0D0D"/>
          <w:w w:val="95"/>
          <w:sz w:val="16"/>
        </w:rPr>
        <w:t>du</w:t>
      </w:r>
      <w:r>
        <w:rPr>
          <w:color w:val="0D0D0D"/>
          <w:spacing w:val="-3"/>
          <w:w w:val="95"/>
          <w:sz w:val="16"/>
        </w:rPr>
        <w:t> </w:t>
      </w:r>
      <w:r>
        <w:rPr>
          <w:color w:val="0D0D0D"/>
          <w:w w:val="95"/>
          <w:sz w:val="16"/>
        </w:rPr>
        <w:t>11</w:t>
      </w:r>
      <w:r>
        <w:rPr>
          <w:color w:val="0D0D0D"/>
          <w:spacing w:val="-4"/>
          <w:w w:val="95"/>
          <w:sz w:val="16"/>
        </w:rPr>
        <w:t> </w:t>
      </w:r>
      <w:r>
        <w:rPr>
          <w:color w:val="0D0D0D"/>
          <w:w w:val="95"/>
          <w:sz w:val="16"/>
        </w:rPr>
        <w:t>octobre</w:t>
      </w:r>
      <w:r>
        <w:rPr>
          <w:color w:val="0D0D0D"/>
          <w:spacing w:val="-2"/>
          <w:w w:val="95"/>
          <w:sz w:val="16"/>
        </w:rPr>
        <w:t> </w:t>
      </w:r>
      <w:r>
        <w:rPr>
          <w:color w:val="0D0D0D"/>
          <w:w w:val="95"/>
          <w:sz w:val="16"/>
        </w:rPr>
        <w:t>2023</w:t>
      </w:r>
      <w:r>
        <w:rPr>
          <w:color w:val="0D0D0D"/>
          <w:spacing w:val="-4"/>
          <w:w w:val="95"/>
          <w:sz w:val="16"/>
        </w:rPr>
        <w:t> </w:t>
      </w:r>
      <w:r>
        <w:rPr>
          <w:color w:val="0D0D0D"/>
          <w:w w:val="95"/>
          <w:sz w:val="16"/>
        </w:rPr>
        <w:t>et</w:t>
      </w:r>
      <w:r>
        <w:rPr>
          <w:color w:val="0D0D0D"/>
          <w:spacing w:val="-5"/>
          <w:w w:val="95"/>
          <w:sz w:val="16"/>
        </w:rPr>
        <w:t> </w:t>
      </w:r>
      <w:r>
        <w:rPr>
          <w:color w:val="0D0D0D"/>
          <w:w w:val="95"/>
          <w:sz w:val="16"/>
        </w:rPr>
        <w:t>du</w:t>
      </w:r>
      <w:r>
        <w:rPr>
          <w:color w:val="0D0D0D"/>
          <w:spacing w:val="-3"/>
          <w:w w:val="95"/>
          <w:sz w:val="16"/>
        </w:rPr>
        <w:t> </w:t>
      </w:r>
      <w:r>
        <w:rPr>
          <w:color w:val="0D0D0D"/>
          <w:w w:val="95"/>
          <w:sz w:val="16"/>
        </w:rPr>
        <w:t>13</w:t>
      </w:r>
      <w:r>
        <w:rPr>
          <w:color w:val="0D0D0D"/>
          <w:spacing w:val="-2"/>
          <w:w w:val="95"/>
          <w:sz w:val="16"/>
        </w:rPr>
        <w:t> </w:t>
      </w:r>
      <w:r>
        <w:rPr>
          <w:color w:val="0D0D0D"/>
          <w:w w:val="95"/>
          <w:sz w:val="16"/>
        </w:rPr>
        <w:t>octobre 2023</w:t>
      </w:r>
    </w:p>
    <w:p>
      <w:pPr>
        <w:spacing w:line="242" w:lineRule="auto" w:before="0"/>
        <w:ind w:left="112" w:right="0" w:firstLine="0"/>
        <w:jc w:val="left"/>
        <w:rPr>
          <w:sz w:val="16"/>
        </w:rPr>
      </w:pPr>
      <w:bookmarkStart w:name="_bookmark1" w:id="2"/>
      <w:bookmarkEnd w:id="2"/>
      <w:r>
        <w:rPr/>
      </w:r>
      <w:r>
        <w:rPr>
          <w:color w:val="0D0D0D"/>
          <w:w w:val="95"/>
          <w:position w:val="4"/>
          <w:sz w:val="10"/>
        </w:rPr>
        <w:t>2</w:t>
      </w:r>
      <w:r>
        <w:rPr>
          <w:color w:val="0D0D0D"/>
          <w:spacing w:val="27"/>
          <w:w w:val="95"/>
          <w:position w:val="4"/>
          <w:sz w:val="10"/>
        </w:rPr>
        <w:t> </w:t>
      </w:r>
      <w:r>
        <w:rPr>
          <w:color w:val="0D0D0D"/>
          <w:w w:val="95"/>
          <w:sz w:val="16"/>
        </w:rPr>
        <w:t>Etant</w:t>
      </w:r>
      <w:r>
        <w:rPr>
          <w:color w:val="0D0D0D"/>
          <w:spacing w:val="6"/>
          <w:w w:val="95"/>
          <w:sz w:val="16"/>
        </w:rPr>
        <w:t> </w:t>
      </w:r>
      <w:r>
        <w:rPr>
          <w:color w:val="0D0D0D"/>
          <w:w w:val="95"/>
          <w:sz w:val="16"/>
        </w:rPr>
        <w:t>précisé</w:t>
      </w:r>
      <w:r>
        <w:rPr>
          <w:color w:val="0D0D0D"/>
          <w:spacing w:val="6"/>
          <w:w w:val="95"/>
          <w:sz w:val="16"/>
        </w:rPr>
        <w:t> </w:t>
      </w:r>
      <w:r>
        <w:rPr>
          <w:color w:val="0D0D0D"/>
          <w:w w:val="95"/>
          <w:sz w:val="16"/>
        </w:rPr>
        <w:t>que</w:t>
      </w:r>
      <w:r>
        <w:rPr>
          <w:color w:val="0D0D0D"/>
          <w:spacing w:val="9"/>
          <w:w w:val="95"/>
          <w:sz w:val="16"/>
        </w:rPr>
        <w:t> </w:t>
      </w:r>
      <w:r>
        <w:rPr>
          <w:color w:val="0D0D0D"/>
          <w:w w:val="95"/>
          <w:sz w:val="16"/>
        </w:rPr>
        <w:t>des</w:t>
      </w:r>
      <w:r>
        <w:rPr>
          <w:color w:val="0D0D0D"/>
          <w:spacing w:val="7"/>
          <w:w w:val="95"/>
          <w:sz w:val="16"/>
        </w:rPr>
        <w:t> </w:t>
      </w:r>
      <w:r>
        <w:rPr>
          <w:color w:val="0D0D0D"/>
          <w:w w:val="95"/>
          <w:sz w:val="16"/>
        </w:rPr>
        <w:t>créanciers</w:t>
      </w:r>
      <w:r>
        <w:rPr>
          <w:color w:val="0D0D0D"/>
          <w:spacing w:val="7"/>
          <w:w w:val="95"/>
          <w:sz w:val="16"/>
        </w:rPr>
        <w:t> </w:t>
      </w:r>
      <w:r>
        <w:rPr>
          <w:color w:val="0D0D0D"/>
          <w:w w:val="95"/>
          <w:sz w:val="16"/>
        </w:rPr>
        <w:t>détenant</w:t>
      </w:r>
      <w:r>
        <w:rPr>
          <w:color w:val="0D0D0D"/>
          <w:spacing w:val="6"/>
          <w:w w:val="95"/>
          <w:sz w:val="16"/>
        </w:rPr>
        <w:t> </w:t>
      </w:r>
      <w:r>
        <w:rPr>
          <w:color w:val="0D0D0D"/>
          <w:w w:val="95"/>
          <w:sz w:val="16"/>
        </w:rPr>
        <w:t>85,4%</w:t>
      </w:r>
      <w:r>
        <w:rPr>
          <w:color w:val="0D0D0D"/>
          <w:spacing w:val="8"/>
          <w:w w:val="95"/>
          <w:sz w:val="16"/>
        </w:rPr>
        <w:t> </w:t>
      </w:r>
      <w:r>
        <w:rPr>
          <w:color w:val="0D0D0D"/>
          <w:w w:val="95"/>
          <w:sz w:val="16"/>
        </w:rPr>
        <w:t>du</w:t>
      </w:r>
      <w:r>
        <w:rPr>
          <w:color w:val="0D0D0D"/>
          <w:spacing w:val="6"/>
          <w:w w:val="95"/>
          <w:sz w:val="16"/>
        </w:rPr>
        <w:t> </w:t>
      </w:r>
      <w:r>
        <w:rPr>
          <w:color w:val="0D0D0D"/>
          <w:w w:val="95"/>
          <w:sz w:val="16"/>
        </w:rPr>
        <w:t>Term</w:t>
      </w:r>
      <w:r>
        <w:rPr>
          <w:color w:val="0D0D0D"/>
          <w:spacing w:val="8"/>
          <w:w w:val="95"/>
          <w:sz w:val="16"/>
        </w:rPr>
        <w:t> </w:t>
      </w:r>
      <w:r>
        <w:rPr>
          <w:color w:val="0D0D0D"/>
          <w:w w:val="95"/>
          <w:sz w:val="16"/>
        </w:rPr>
        <w:t>Loan</w:t>
      </w:r>
      <w:r>
        <w:rPr>
          <w:color w:val="0D0D0D"/>
          <w:spacing w:val="8"/>
          <w:w w:val="95"/>
          <w:sz w:val="16"/>
        </w:rPr>
        <w:t> </w:t>
      </w:r>
      <w:r>
        <w:rPr>
          <w:color w:val="0D0D0D"/>
          <w:w w:val="95"/>
          <w:sz w:val="16"/>
        </w:rPr>
        <w:t>B</w:t>
      </w:r>
      <w:r>
        <w:rPr>
          <w:color w:val="0D0D0D"/>
          <w:spacing w:val="6"/>
          <w:w w:val="95"/>
          <w:sz w:val="16"/>
        </w:rPr>
        <w:t> </w:t>
      </w:r>
      <w:r>
        <w:rPr>
          <w:color w:val="0D0D0D"/>
          <w:w w:val="95"/>
          <w:sz w:val="16"/>
        </w:rPr>
        <w:t>se</w:t>
      </w:r>
      <w:r>
        <w:rPr>
          <w:color w:val="0D0D0D"/>
          <w:spacing w:val="10"/>
          <w:w w:val="95"/>
          <w:sz w:val="16"/>
        </w:rPr>
        <w:t> </w:t>
      </w:r>
      <w:r>
        <w:rPr>
          <w:color w:val="0D0D0D"/>
          <w:w w:val="95"/>
          <w:sz w:val="16"/>
        </w:rPr>
        <w:t>sont</w:t>
      </w:r>
      <w:r>
        <w:rPr>
          <w:color w:val="0D0D0D"/>
          <w:spacing w:val="6"/>
          <w:w w:val="95"/>
          <w:sz w:val="16"/>
        </w:rPr>
        <w:t> </w:t>
      </w:r>
      <w:r>
        <w:rPr>
          <w:color w:val="0D0D0D"/>
          <w:w w:val="95"/>
          <w:sz w:val="16"/>
        </w:rPr>
        <w:t>engagés</w:t>
      </w:r>
      <w:r>
        <w:rPr>
          <w:color w:val="0D0D0D"/>
          <w:spacing w:val="4"/>
          <w:w w:val="95"/>
          <w:sz w:val="16"/>
        </w:rPr>
        <w:t> </w:t>
      </w:r>
      <w:r>
        <w:rPr>
          <w:color w:val="0D0D0D"/>
          <w:w w:val="95"/>
          <w:sz w:val="16"/>
        </w:rPr>
        <w:t>à</w:t>
      </w:r>
      <w:r>
        <w:rPr>
          <w:color w:val="0D0D0D"/>
          <w:spacing w:val="9"/>
          <w:w w:val="95"/>
          <w:sz w:val="16"/>
        </w:rPr>
        <w:t> </w:t>
      </w:r>
      <w:r>
        <w:rPr>
          <w:color w:val="0D0D0D"/>
          <w:w w:val="95"/>
          <w:sz w:val="16"/>
        </w:rPr>
        <w:t>voter</w:t>
      </w:r>
      <w:r>
        <w:rPr>
          <w:color w:val="0D0D0D"/>
          <w:spacing w:val="5"/>
          <w:w w:val="95"/>
          <w:sz w:val="16"/>
        </w:rPr>
        <w:t> </w:t>
      </w:r>
      <w:r>
        <w:rPr>
          <w:color w:val="0D0D0D"/>
          <w:w w:val="95"/>
          <w:sz w:val="16"/>
        </w:rPr>
        <w:t>en</w:t>
      </w:r>
      <w:r>
        <w:rPr>
          <w:color w:val="0D0D0D"/>
          <w:spacing w:val="8"/>
          <w:w w:val="95"/>
          <w:sz w:val="16"/>
        </w:rPr>
        <w:t> </w:t>
      </w:r>
      <w:r>
        <w:rPr>
          <w:color w:val="0D0D0D"/>
          <w:w w:val="95"/>
          <w:sz w:val="16"/>
        </w:rPr>
        <w:t>faveur</w:t>
      </w:r>
      <w:r>
        <w:rPr>
          <w:color w:val="0D0D0D"/>
          <w:spacing w:val="5"/>
          <w:w w:val="95"/>
          <w:sz w:val="16"/>
        </w:rPr>
        <w:t> </w:t>
      </w:r>
      <w:r>
        <w:rPr>
          <w:color w:val="0D0D0D"/>
          <w:w w:val="95"/>
          <w:sz w:val="16"/>
        </w:rPr>
        <w:t>de</w:t>
      </w:r>
      <w:r>
        <w:rPr>
          <w:color w:val="0D0D0D"/>
          <w:spacing w:val="5"/>
          <w:w w:val="95"/>
          <w:sz w:val="16"/>
        </w:rPr>
        <w:t> </w:t>
      </w:r>
      <w:r>
        <w:rPr>
          <w:color w:val="0D0D0D"/>
          <w:w w:val="95"/>
          <w:sz w:val="16"/>
        </w:rPr>
        <w:t>la</w:t>
      </w:r>
      <w:r>
        <w:rPr>
          <w:color w:val="0D0D0D"/>
          <w:spacing w:val="6"/>
          <w:w w:val="95"/>
          <w:sz w:val="16"/>
        </w:rPr>
        <w:t> </w:t>
      </w:r>
      <w:r>
        <w:rPr>
          <w:color w:val="0D0D0D"/>
          <w:w w:val="95"/>
          <w:sz w:val="16"/>
        </w:rPr>
        <w:t>restructuration</w:t>
      </w:r>
      <w:r>
        <w:rPr>
          <w:color w:val="0D0D0D"/>
          <w:spacing w:val="1"/>
          <w:w w:val="95"/>
          <w:sz w:val="16"/>
        </w:rPr>
        <w:t> </w:t>
      </w:r>
      <w:r>
        <w:rPr>
          <w:color w:val="0D0D0D"/>
          <w:sz w:val="16"/>
        </w:rPr>
        <w:t>financière</w:t>
      </w:r>
      <w:r>
        <w:rPr>
          <w:color w:val="0D0D0D"/>
          <w:spacing w:val="-11"/>
          <w:sz w:val="16"/>
        </w:rPr>
        <w:t> </w:t>
      </w:r>
      <w:r>
        <w:rPr>
          <w:color w:val="0D0D0D"/>
          <w:sz w:val="16"/>
        </w:rPr>
        <w:t>dans</w:t>
      </w:r>
      <w:r>
        <w:rPr>
          <w:color w:val="0D0D0D"/>
          <w:spacing w:val="-15"/>
          <w:sz w:val="16"/>
        </w:rPr>
        <w:t> </w:t>
      </w:r>
      <w:r>
        <w:rPr>
          <w:color w:val="0D0D0D"/>
          <w:sz w:val="16"/>
        </w:rPr>
        <w:t>le</w:t>
      </w:r>
      <w:r>
        <w:rPr>
          <w:color w:val="0D0D0D"/>
          <w:spacing w:val="-11"/>
          <w:sz w:val="16"/>
        </w:rPr>
        <w:t> </w:t>
      </w:r>
      <w:r>
        <w:rPr>
          <w:color w:val="0D0D0D"/>
          <w:sz w:val="16"/>
        </w:rPr>
        <w:t>cadre</w:t>
      </w:r>
      <w:r>
        <w:rPr>
          <w:color w:val="0D0D0D"/>
          <w:spacing w:val="-11"/>
          <w:sz w:val="16"/>
        </w:rPr>
        <w:t> </w:t>
      </w:r>
      <w:r>
        <w:rPr>
          <w:color w:val="0D0D0D"/>
          <w:sz w:val="16"/>
        </w:rPr>
        <w:t>de</w:t>
      </w:r>
      <w:r>
        <w:rPr>
          <w:color w:val="0D0D0D"/>
          <w:spacing w:val="-11"/>
          <w:sz w:val="16"/>
        </w:rPr>
        <w:t> </w:t>
      </w:r>
      <w:r>
        <w:rPr>
          <w:color w:val="0D0D0D"/>
          <w:sz w:val="16"/>
        </w:rPr>
        <w:t>la</w:t>
      </w:r>
      <w:r>
        <w:rPr>
          <w:color w:val="0D0D0D"/>
          <w:spacing w:val="-14"/>
          <w:sz w:val="16"/>
        </w:rPr>
        <w:t> </w:t>
      </w:r>
      <w:r>
        <w:rPr>
          <w:color w:val="0D0D0D"/>
          <w:sz w:val="16"/>
        </w:rPr>
        <w:t>procédure</w:t>
      </w:r>
      <w:r>
        <w:rPr>
          <w:color w:val="0D0D0D"/>
          <w:spacing w:val="-11"/>
          <w:sz w:val="16"/>
        </w:rPr>
        <w:t> </w:t>
      </w:r>
      <w:r>
        <w:rPr>
          <w:color w:val="0D0D0D"/>
          <w:sz w:val="16"/>
        </w:rPr>
        <w:t>de</w:t>
      </w:r>
      <w:r>
        <w:rPr>
          <w:color w:val="0D0D0D"/>
          <w:spacing w:val="-11"/>
          <w:sz w:val="16"/>
        </w:rPr>
        <w:t> </w:t>
      </w:r>
      <w:r>
        <w:rPr>
          <w:color w:val="0D0D0D"/>
          <w:sz w:val="16"/>
        </w:rPr>
        <w:t>sauvegarde</w:t>
      </w:r>
      <w:r>
        <w:rPr>
          <w:color w:val="0D0D0D"/>
          <w:spacing w:val="-11"/>
          <w:sz w:val="16"/>
        </w:rPr>
        <w:t> </w:t>
      </w:r>
      <w:r>
        <w:rPr>
          <w:color w:val="0D0D0D"/>
          <w:sz w:val="16"/>
        </w:rPr>
        <w:t>accélérée.</w:t>
      </w:r>
    </w:p>
    <w:p>
      <w:pPr>
        <w:spacing w:line="242" w:lineRule="auto" w:before="0"/>
        <w:ind w:left="112" w:right="0" w:firstLine="0"/>
        <w:jc w:val="left"/>
        <w:rPr>
          <w:sz w:val="16"/>
        </w:rPr>
      </w:pPr>
      <w:bookmarkStart w:name="_bookmark2" w:id="3"/>
      <w:bookmarkEnd w:id="3"/>
      <w:r>
        <w:rPr/>
      </w:r>
      <w:r>
        <w:rPr>
          <w:color w:val="0D0D0D"/>
          <w:w w:val="95"/>
          <w:position w:val="4"/>
          <w:sz w:val="10"/>
        </w:rPr>
        <w:t>3</w:t>
      </w:r>
      <w:r>
        <w:rPr>
          <w:color w:val="0D0D0D"/>
          <w:spacing w:val="1"/>
          <w:w w:val="95"/>
          <w:position w:val="4"/>
          <w:sz w:val="10"/>
        </w:rPr>
        <w:t> </w:t>
      </w:r>
      <w:r>
        <w:rPr>
          <w:color w:val="0D0D0D"/>
          <w:w w:val="95"/>
          <w:sz w:val="16"/>
        </w:rPr>
        <w:t>Etant précisé que des créanciers détenant 88,8% du RCF se sont engagés à voter en faveur de la restructuration financière</w:t>
      </w:r>
      <w:r>
        <w:rPr>
          <w:color w:val="0D0D0D"/>
          <w:spacing w:val="1"/>
          <w:w w:val="95"/>
          <w:sz w:val="16"/>
        </w:rPr>
        <w:t> </w:t>
      </w:r>
      <w:r>
        <w:rPr>
          <w:color w:val="0D0D0D"/>
          <w:sz w:val="16"/>
        </w:rPr>
        <w:t>dans</w:t>
      </w:r>
      <w:r>
        <w:rPr>
          <w:color w:val="0D0D0D"/>
          <w:spacing w:val="-16"/>
          <w:sz w:val="16"/>
        </w:rPr>
        <w:t> </w:t>
      </w:r>
      <w:r>
        <w:rPr>
          <w:color w:val="0D0D0D"/>
          <w:sz w:val="16"/>
        </w:rPr>
        <w:t>le</w:t>
      </w:r>
      <w:r>
        <w:rPr>
          <w:color w:val="0D0D0D"/>
          <w:spacing w:val="-10"/>
          <w:sz w:val="16"/>
        </w:rPr>
        <w:t> </w:t>
      </w:r>
      <w:r>
        <w:rPr>
          <w:color w:val="0D0D0D"/>
          <w:sz w:val="16"/>
        </w:rPr>
        <w:t>cadre</w:t>
      </w:r>
      <w:r>
        <w:rPr>
          <w:color w:val="0D0D0D"/>
          <w:spacing w:val="-11"/>
          <w:sz w:val="16"/>
        </w:rPr>
        <w:t> </w:t>
      </w:r>
      <w:r>
        <w:rPr>
          <w:color w:val="0D0D0D"/>
          <w:sz w:val="16"/>
        </w:rPr>
        <w:t>de</w:t>
      </w:r>
      <w:r>
        <w:rPr>
          <w:color w:val="0D0D0D"/>
          <w:spacing w:val="-14"/>
          <w:sz w:val="16"/>
        </w:rPr>
        <w:t> </w:t>
      </w:r>
      <w:r>
        <w:rPr>
          <w:color w:val="0D0D0D"/>
          <w:sz w:val="16"/>
        </w:rPr>
        <w:t>la</w:t>
      </w:r>
      <w:r>
        <w:rPr>
          <w:color w:val="0D0D0D"/>
          <w:spacing w:val="-12"/>
          <w:sz w:val="16"/>
        </w:rPr>
        <w:t> </w:t>
      </w:r>
      <w:r>
        <w:rPr>
          <w:color w:val="0D0D0D"/>
          <w:sz w:val="16"/>
        </w:rPr>
        <w:t>procédure</w:t>
      </w:r>
      <w:r>
        <w:rPr>
          <w:color w:val="0D0D0D"/>
          <w:spacing w:val="-14"/>
          <w:sz w:val="16"/>
        </w:rPr>
        <w:t> </w:t>
      </w:r>
      <w:r>
        <w:rPr>
          <w:color w:val="0D0D0D"/>
          <w:sz w:val="16"/>
        </w:rPr>
        <w:t>de</w:t>
      </w:r>
      <w:r>
        <w:rPr>
          <w:color w:val="0D0D0D"/>
          <w:spacing w:val="-11"/>
          <w:sz w:val="16"/>
        </w:rPr>
        <w:t> </w:t>
      </w:r>
      <w:r>
        <w:rPr>
          <w:color w:val="0D0D0D"/>
          <w:sz w:val="16"/>
        </w:rPr>
        <w:t>sauvegarde</w:t>
      </w:r>
      <w:r>
        <w:rPr>
          <w:color w:val="0D0D0D"/>
          <w:spacing w:val="-11"/>
          <w:sz w:val="16"/>
        </w:rPr>
        <w:t> </w:t>
      </w:r>
      <w:r>
        <w:rPr>
          <w:color w:val="0D0D0D"/>
          <w:sz w:val="16"/>
        </w:rPr>
        <w:t>accélérée.</w:t>
      </w:r>
    </w:p>
    <w:p>
      <w:pPr>
        <w:spacing w:line="242" w:lineRule="auto" w:before="0"/>
        <w:ind w:left="112" w:right="0" w:firstLine="0"/>
        <w:jc w:val="left"/>
        <w:rPr>
          <w:sz w:val="16"/>
        </w:rPr>
      </w:pPr>
      <w:bookmarkStart w:name="_bookmark3" w:id="4"/>
      <w:bookmarkEnd w:id="4"/>
      <w:r>
        <w:rPr/>
      </w:r>
      <w:r>
        <w:rPr>
          <w:color w:val="0D0D0D"/>
          <w:spacing w:val="-1"/>
          <w:position w:val="4"/>
          <w:sz w:val="10"/>
        </w:rPr>
        <w:t>4</w:t>
      </w:r>
      <w:r>
        <w:rPr>
          <w:color w:val="0D0D0D"/>
          <w:spacing w:val="11"/>
          <w:position w:val="4"/>
          <w:sz w:val="10"/>
        </w:rPr>
        <w:t> </w:t>
      </w:r>
      <w:r>
        <w:rPr>
          <w:color w:val="0D0D0D"/>
          <w:spacing w:val="-1"/>
          <w:sz w:val="16"/>
        </w:rPr>
        <w:t>Etant</w:t>
      </w:r>
      <w:r>
        <w:rPr>
          <w:color w:val="0D0D0D"/>
          <w:spacing w:val="-10"/>
          <w:sz w:val="16"/>
        </w:rPr>
        <w:t> </w:t>
      </w:r>
      <w:r>
        <w:rPr>
          <w:color w:val="0D0D0D"/>
          <w:spacing w:val="-1"/>
          <w:sz w:val="16"/>
        </w:rPr>
        <w:t>précisé</w:t>
      </w:r>
      <w:r>
        <w:rPr>
          <w:color w:val="0D0D0D"/>
          <w:spacing w:val="-10"/>
          <w:sz w:val="16"/>
        </w:rPr>
        <w:t> </w:t>
      </w:r>
      <w:r>
        <w:rPr>
          <w:color w:val="0D0D0D"/>
          <w:spacing w:val="-1"/>
          <w:sz w:val="16"/>
        </w:rPr>
        <w:t>que</w:t>
      </w:r>
      <w:r>
        <w:rPr>
          <w:color w:val="0D0D0D"/>
          <w:spacing w:val="-12"/>
          <w:sz w:val="16"/>
        </w:rPr>
        <w:t> </w:t>
      </w:r>
      <w:r>
        <w:rPr>
          <w:color w:val="0D0D0D"/>
          <w:spacing w:val="-1"/>
          <w:sz w:val="16"/>
        </w:rPr>
        <w:t>la</w:t>
      </w:r>
      <w:r>
        <w:rPr>
          <w:color w:val="0D0D0D"/>
          <w:spacing w:val="-10"/>
          <w:sz w:val="16"/>
        </w:rPr>
        <w:t> </w:t>
      </w:r>
      <w:r>
        <w:rPr>
          <w:color w:val="0D0D0D"/>
          <w:spacing w:val="-1"/>
          <w:sz w:val="16"/>
        </w:rPr>
        <w:t>commission</w:t>
      </w:r>
      <w:r>
        <w:rPr>
          <w:color w:val="0D0D0D"/>
          <w:spacing w:val="-11"/>
          <w:sz w:val="16"/>
        </w:rPr>
        <w:t> </w:t>
      </w:r>
      <w:r>
        <w:rPr>
          <w:color w:val="0D0D0D"/>
          <w:spacing w:val="-1"/>
          <w:sz w:val="16"/>
        </w:rPr>
        <w:t>d’adhésion</w:t>
      </w:r>
      <w:r>
        <w:rPr>
          <w:color w:val="0D0D0D"/>
          <w:spacing w:val="-13"/>
          <w:sz w:val="16"/>
        </w:rPr>
        <w:t> </w:t>
      </w:r>
      <w:r>
        <w:rPr>
          <w:color w:val="0D0D0D"/>
          <w:spacing w:val="-1"/>
          <w:sz w:val="16"/>
        </w:rPr>
        <w:t>est</w:t>
      </w:r>
      <w:r>
        <w:rPr>
          <w:color w:val="0D0D0D"/>
          <w:spacing w:val="-10"/>
          <w:sz w:val="16"/>
        </w:rPr>
        <w:t> </w:t>
      </w:r>
      <w:r>
        <w:rPr>
          <w:color w:val="0D0D0D"/>
          <w:spacing w:val="-1"/>
          <w:sz w:val="16"/>
        </w:rPr>
        <w:t>exclusivement</w:t>
      </w:r>
      <w:r>
        <w:rPr>
          <w:color w:val="0D0D0D"/>
          <w:spacing w:val="-10"/>
          <w:sz w:val="16"/>
        </w:rPr>
        <w:t> </w:t>
      </w:r>
      <w:r>
        <w:rPr>
          <w:color w:val="0D0D0D"/>
          <w:sz w:val="16"/>
        </w:rPr>
        <w:t>accordée</w:t>
      </w:r>
      <w:r>
        <w:rPr>
          <w:color w:val="0D0D0D"/>
          <w:spacing w:val="-10"/>
          <w:sz w:val="16"/>
        </w:rPr>
        <w:t> </w:t>
      </w:r>
      <w:r>
        <w:rPr>
          <w:color w:val="0D0D0D"/>
          <w:sz w:val="16"/>
        </w:rPr>
        <w:t>aux</w:t>
      </w:r>
      <w:r>
        <w:rPr>
          <w:color w:val="0D0D0D"/>
          <w:spacing w:val="-9"/>
          <w:sz w:val="16"/>
        </w:rPr>
        <w:t> </w:t>
      </w:r>
      <w:r>
        <w:rPr>
          <w:color w:val="0D0D0D"/>
          <w:sz w:val="16"/>
        </w:rPr>
        <w:t>créanciers</w:t>
      </w:r>
      <w:r>
        <w:rPr>
          <w:color w:val="0D0D0D"/>
          <w:spacing w:val="-11"/>
          <w:sz w:val="16"/>
        </w:rPr>
        <w:t> </w:t>
      </w:r>
      <w:r>
        <w:rPr>
          <w:color w:val="0D0D0D"/>
          <w:sz w:val="16"/>
        </w:rPr>
        <w:t>non</w:t>
      </w:r>
      <w:r>
        <w:rPr>
          <w:color w:val="0D0D0D"/>
          <w:spacing w:val="-8"/>
          <w:sz w:val="16"/>
        </w:rPr>
        <w:t> </w:t>
      </w:r>
      <w:r>
        <w:rPr>
          <w:color w:val="0D0D0D"/>
          <w:sz w:val="16"/>
        </w:rPr>
        <w:t>sécurisés</w:t>
      </w:r>
      <w:r>
        <w:rPr>
          <w:color w:val="0D0D0D"/>
          <w:spacing w:val="-13"/>
          <w:sz w:val="16"/>
        </w:rPr>
        <w:t> </w:t>
      </w:r>
      <w:r>
        <w:rPr>
          <w:color w:val="0D0D0D"/>
          <w:sz w:val="16"/>
        </w:rPr>
        <w:t>et</w:t>
      </w:r>
      <w:r>
        <w:rPr>
          <w:color w:val="0D0D0D"/>
          <w:spacing w:val="-10"/>
          <w:sz w:val="16"/>
        </w:rPr>
        <w:t> </w:t>
      </w:r>
      <w:r>
        <w:rPr>
          <w:color w:val="0D0D0D"/>
          <w:sz w:val="16"/>
        </w:rPr>
        <w:t>aux</w:t>
      </w:r>
      <w:r>
        <w:rPr>
          <w:color w:val="0D0D0D"/>
          <w:spacing w:val="-11"/>
          <w:sz w:val="16"/>
        </w:rPr>
        <w:t> </w:t>
      </w:r>
      <w:r>
        <w:rPr>
          <w:color w:val="0D0D0D"/>
          <w:sz w:val="16"/>
        </w:rPr>
        <w:t>porteurs</w:t>
      </w:r>
      <w:r>
        <w:rPr>
          <w:color w:val="0D0D0D"/>
          <w:spacing w:val="-11"/>
          <w:sz w:val="16"/>
        </w:rPr>
        <w:t> </w:t>
      </w:r>
      <w:r>
        <w:rPr>
          <w:color w:val="0D0D0D"/>
          <w:sz w:val="16"/>
        </w:rPr>
        <w:t>de</w:t>
      </w:r>
      <w:r>
        <w:rPr>
          <w:color w:val="0D0D0D"/>
          <w:spacing w:val="-54"/>
          <w:sz w:val="16"/>
        </w:rPr>
        <w:t> </w:t>
      </w:r>
      <w:r>
        <w:rPr>
          <w:color w:val="0D0D0D"/>
          <w:sz w:val="16"/>
        </w:rPr>
        <w:t>TSSDI</w:t>
      </w:r>
      <w:r>
        <w:rPr>
          <w:color w:val="0D0D0D"/>
          <w:spacing w:val="-12"/>
          <w:sz w:val="16"/>
        </w:rPr>
        <w:t> </w:t>
      </w:r>
      <w:r>
        <w:rPr>
          <w:color w:val="0D0D0D"/>
          <w:sz w:val="16"/>
        </w:rPr>
        <w:t>ayant</w:t>
      </w:r>
      <w:r>
        <w:rPr>
          <w:color w:val="0D0D0D"/>
          <w:spacing w:val="-14"/>
          <w:sz w:val="16"/>
        </w:rPr>
        <w:t> </w:t>
      </w:r>
      <w:r>
        <w:rPr>
          <w:color w:val="0D0D0D"/>
          <w:sz w:val="16"/>
        </w:rPr>
        <w:t>adhéré</w:t>
      </w:r>
      <w:r>
        <w:rPr>
          <w:color w:val="0D0D0D"/>
          <w:spacing w:val="-12"/>
          <w:sz w:val="16"/>
        </w:rPr>
        <w:t> </w:t>
      </w:r>
      <w:r>
        <w:rPr>
          <w:color w:val="0D0D0D"/>
          <w:sz w:val="16"/>
        </w:rPr>
        <w:t>à</w:t>
      </w:r>
      <w:r>
        <w:rPr>
          <w:color w:val="0D0D0D"/>
          <w:spacing w:val="-14"/>
          <w:sz w:val="16"/>
        </w:rPr>
        <w:t> </w:t>
      </w:r>
      <w:r>
        <w:rPr>
          <w:color w:val="0D0D0D"/>
          <w:sz w:val="16"/>
        </w:rPr>
        <w:t>l’Accord</w:t>
      </w:r>
      <w:r>
        <w:rPr>
          <w:color w:val="0D0D0D"/>
          <w:spacing w:val="-12"/>
          <w:sz w:val="16"/>
        </w:rPr>
        <w:t> </w:t>
      </w:r>
      <w:r>
        <w:rPr>
          <w:color w:val="0D0D0D"/>
          <w:sz w:val="16"/>
        </w:rPr>
        <w:t>de</w:t>
      </w:r>
      <w:r>
        <w:rPr>
          <w:color w:val="0D0D0D"/>
          <w:spacing w:val="-12"/>
          <w:sz w:val="16"/>
        </w:rPr>
        <w:t> </w:t>
      </w:r>
      <w:r>
        <w:rPr>
          <w:color w:val="0D0D0D"/>
          <w:sz w:val="16"/>
        </w:rPr>
        <w:t>Lock-Up</w:t>
      </w:r>
      <w:r>
        <w:rPr>
          <w:color w:val="0D0D0D"/>
          <w:spacing w:val="-14"/>
          <w:sz w:val="16"/>
        </w:rPr>
        <w:t> </w:t>
      </w:r>
      <w:r>
        <w:rPr>
          <w:color w:val="0D0D0D"/>
          <w:sz w:val="16"/>
        </w:rPr>
        <w:t>avant</w:t>
      </w:r>
      <w:r>
        <w:rPr>
          <w:color w:val="0D0D0D"/>
          <w:spacing w:val="-15"/>
          <w:sz w:val="16"/>
        </w:rPr>
        <w:t> </w:t>
      </w:r>
      <w:r>
        <w:rPr>
          <w:color w:val="0D0D0D"/>
          <w:sz w:val="16"/>
        </w:rPr>
        <w:t>la</w:t>
      </w:r>
      <w:r>
        <w:rPr>
          <w:color w:val="0D0D0D"/>
          <w:spacing w:val="-14"/>
          <w:sz w:val="16"/>
        </w:rPr>
        <w:t> </w:t>
      </w:r>
      <w:r>
        <w:rPr>
          <w:color w:val="0D0D0D"/>
          <w:sz w:val="16"/>
        </w:rPr>
        <w:t>date</w:t>
      </w:r>
      <w:r>
        <w:rPr>
          <w:color w:val="0D0D0D"/>
          <w:spacing w:val="-13"/>
          <w:sz w:val="16"/>
        </w:rPr>
        <w:t> </w:t>
      </w:r>
      <w:r>
        <w:rPr>
          <w:color w:val="0D0D0D"/>
          <w:sz w:val="16"/>
        </w:rPr>
        <w:t>butoir.</w:t>
      </w:r>
    </w:p>
    <w:p>
      <w:pPr>
        <w:spacing w:before="175"/>
        <w:ind w:left="144" w:right="0" w:firstLine="0"/>
        <w:jc w:val="left"/>
        <w:rPr>
          <w:rFonts w:ascii="Tahoma" w:hAnsi="Tahoma"/>
          <w:b/>
          <w:sz w:val="20"/>
        </w:rPr>
      </w:pPr>
      <w:r>
        <w:rPr>
          <w:w w:val="95"/>
          <w:sz w:val="20"/>
        </w:rPr>
        <w:t>Mardi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17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octobre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2023</w:t>
      </w:r>
      <w:r>
        <w:rPr>
          <w:spacing w:val="-6"/>
          <w:w w:val="95"/>
          <w:sz w:val="20"/>
        </w:rPr>
        <w:t> </w:t>
      </w:r>
      <w:r>
        <w:rPr>
          <w:b/>
          <w:color w:val="3CA05A"/>
          <w:w w:val="95"/>
          <w:sz w:val="20"/>
        </w:rPr>
        <w:t>▪</w:t>
      </w:r>
      <w:r>
        <w:rPr>
          <w:b/>
          <w:color w:val="3CA05A"/>
          <w:spacing w:val="-4"/>
          <w:w w:val="95"/>
          <w:sz w:val="20"/>
        </w:rPr>
        <w:t> </w:t>
      </w:r>
      <w:r>
        <w:rPr>
          <w:rFonts w:ascii="Tahoma" w:hAnsi="Tahoma"/>
          <w:b/>
          <w:color w:val="3CA05A"/>
          <w:w w:val="95"/>
          <w:sz w:val="20"/>
        </w:rPr>
        <w:t>1</w:t>
      </w:r>
    </w:p>
    <w:p>
      <w:pPr>
        <w:spacing w:after="0"/>
        <w:jc w:val="left"/>
        <w:rPr>
          <w:rFonts w:ascii="Tahoma" w:hAnsi="Tahoma"/>
          <w:sz w:val="20"/>
        </w:rPr>
        <w:sectPr>
          <w:type w:val="continuous"/>
          <w:pgSz w:w="11910" w:h="16840"/>
          <w:pgMar w:top="1260" w:bottom="0" w:left="1020" w:right="1020"/>
        </w:sectPr>
      </w:pPr>
    </w:p>
    <w:p>
      <w:pPr>
        <w:spacing w:line="278" w:lineRule="auto" w:before="84"/>
        <w:ind w:left="112" w:right="110" w:firstLine="0"/>
        <w:jc w:val="both"/>
        <w:rPr>
          <w:i/>
          <w:sz w:val="18"/>
        </w:rPr>
      </w:pPr>
      <w:r>
        <w:rPr/>
        <w:drawing>
          <wp:anchor distT="0" distB="0" distL="0" distR="0" allowOverlap="1" layoutInCell="1" locked="0" behindDoc="1" simplePos="0" relativeHeight="487518208">
            <wp:simplePos x="0" y="0"/>
            <wp:positionH relativeFrom="page">
              <wp:posOffset>21463</wp:posOffset>
            </wp:positionH>
            <wp:positionV relativeFrom="page">
              <wp:posOffset>219518</wp:posOffset>
            </wp:positionV>
            <wp:extent cx="7539100" cy="10472865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9100" cy="1047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18"/>
        </w:rPr>
        <w:t>Ce communiqué a été préparé uniquement à titre informatif et ne doit pas être interprété comme une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sollicitation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ou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une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offre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d'achat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ou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vente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valeurs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mobilières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ou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instruments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financiers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connexes.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61"/>
          <w:sz w:val="18"/>
        </w:rPr>
        <w:t> </w:t>
      </w:r>
      <w:r>
        <w:rPr>
          <w:i/>
          <w:sz w:val="18"/>
        </w:rPr>
        <w:t>même,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il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ne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donne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pas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et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ne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doit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pas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être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traité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comme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un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conseil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d'investissement.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Il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n'a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aucun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égard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aux</w:t>
      </w:r>
      <w:r>
        <w:rPr>
          <w:i/>
          <w:spacing w:val="-61"/>
          <w:sz w:val="18"/>
        </w:rPr>
        <w:t> </w:t>
      </w:r>
      <w:r>
        <w:rPr>
          <w:i/>
          <w:sz w:val="18"/>
        </w:rPr>
        <w:t>objectifs de placement, la situation financière ou des besoins particuliers de tout récepteur. Aucune</w:t>
      </w:r>
      <w:r>
        <w:rPr>
          <w:i/>
          <w:spacing w:val="1"/>
          <w:sz w:val="18"/>
        </w:rPr>
        <w:t> </w:t>
      </w:r>
      <w:r>
        <w:rPr>
          <w:i/>
          <w:w w:val="95"/>
          <w:sz w:val="18"/>
        </w:rPr>
        <w:t>représentation ou garantie, expresse ou implicite, n'est fournie par rapport à l'exactitude, l'exhaustivité ou la</w:t>
      </w:r>
      <w:r>
        <w:rPr>
          <w:i/>
          <w:spacing w:val="1"/>
          <w:w w:val="95"/>
          <w:sz w:val="18"/>
        </w:rPr>
        <w:t> </w:t>
      </w:r>
      <w:r>
        <w:rPr>
          <w:i/>
          <w:sz w:val="18"/>
        </w:rPr>
        <w:t>fiabilité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des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informations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contenues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dans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ce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document.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Il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ne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devrait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pas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être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considéré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par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les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bénéficiaires</w:t>
      </w:r>
      <w:r>
        <w:rPr>
          <w:i/>
          <w:spacing w:val="-61"/>
          <w:sz w:val="18"/>
        </w:rPr>
        <w:t> </w:t>
      </w:r>
      <w:r>
        <w:rPr>
          <w:i/>
          <w:w w:val="95"/>
          <w:sz w:val="18"/>
        </w:rPr>
        <w:t>comme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un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substitut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à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l'exercice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de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leur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propre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jugement.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Toutes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les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opinions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exprimées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dans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ce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document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sont</w:t>
      </w:r>
      <w:r>
        <w:rPr>
          <w:i/>
          <w:spacing w:val="1"/>
          <w:w w:val="95"/>
          <w:sz w:val="18"/>
        </w:rPr>
        <w:t> </w:t>
      </w:r>
      <w:r>
        <w:rPr>
          <w:i/>
          <w:sz w:val="18"/>
        </w:rPr>
        <w:t>sujettes</w:t>
      </w:r>
      <w:r>
        <w:rPr>
          <w:i/>
          <w:spacing w:val="-15"/>
          <w:sz w:val="18"/>
        </w:rPr>
        <w:t> </w:t>
      </w:r>
      <w:r>
        <w:rPr>
          <w:i/>
          <w:sz w:val="18"/>
        </w:rPr>
        <w:t>à</w:t>
      </w:r>
      <w:r>
        <w:rPr>
          <w:i/>
          <w:spacing w:val="-15"/>
          <w:sz w:val="18"/>
        </w:rPr>
        <w:t> </w:t>
      </w:r>
      <w:r>
        <w:rPr>
          <w:i/>
          <w:sz w:val="18"/>
        </w:rPr>
        <w:t>changement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sans</w:t>
      </w:r>
      <w:r>
        <w:rPr>
          <w:i/>
          <w:spacing w:val="-17"/>
          <w:sz w:val="18"/>
        </w:rPr>
        <w:t> </w:t>
      </w:r>
      <w:r>
        <w:rPr>
          <w:i/>
          <w:sz w:val="18"/>
        </w:rPr>
        <w:t>préavis.</w:t>
      </w:r>
    </w:p>
    <w:p>
      <w:pPr>
        <w:pStyle w:val="BodyText"/>
        <w:spacing w:before="11"/>
        <w:rPr>
          <w:i/>
          <w:sz w:val="8"/>
        </w:rPr>
      </w:pPr>
    </w:p>
    <w:p>
      <w:pPr>
        <w:spacing w:before="92"/>
        <w:ind w:left="198" w:right="200" w:firstLine="0"/>
        <w:jc w:val="center"/>
        <w:rPr>
          <w:rFonts w:ascii="Arial"/>
          <w:b/>
          <w:sz w:val="24"/>
        </w:rPr>
      </w:pPr>
      <w:r>
        <w:rPr>
          <w:rFonts w:ascii="Arial"/>
          <w:b/>
          <w:color w:val="6460A9"/>
          <w:sz w:val="24"/>
        </w:rPr>
        <w:t>***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4"/>
        <w:rPr>
          <w:rFonts w:ascii="Arial"/>
          <w:b/>
        </w:rPr>
      </w:pPr>
    </w:p>
    <w:p>
      <w:pPr>
        <w:spacing w:before="0"/>
        <w:ind w:left="1295" w:right="1299" w:firstLine="0"/>
        <w:jc w:val="center"/>
        <w:rPr>
          <w:rFonts w:ascii="Arial"/>
          <w:b/>
          <w:sz w:val="20"/>
        </w:rPr>
      </w:pPr>
      <w:r>
        <w:rPr>
          <w:rFonts w:ascii="Arial"/>
          <w:b/>
          <w:color w:val="6460A9"/>
          <w:sz w:val="20"/>
        </w:rPr>
        <w:t>CONTACTS</w:t>
      </w:r>
      <w:r>
        <w:rPr>
          <w:rFonts w:ascii="Arial"/>
          <w:b/>
          <w:color w:val="6460A9"/>
          <w:spacing w:val="-2"/>
          <w:sz w:val="20"/>
        </w:rPr>
        <w:t> </w:t>
      </w:r>
      <w:r>
        <w:rPr>
          <w:rFonts w:ascii="Arial"/>
          <w:b/>
          <w:color w:val="6460A9"/>
          <w:sz w:val="20"/>
        </w:rPr>
        <w:t>ANALYSTES</w:t>
      </w:r>
      <w:r>
        <w:rPr>
          <w:rFonts w:ascii="Arial"/>
          <w:b/>
          <w:color w:val="6460A9"/>
          <w:spacing w:val="-3"/>
          <w:sz w:val="20"/>
        </w:rPr>
        <w:t> </w:t>
      </w:r>
      <w:r>
        <w:rPr>
          <w:rFonts w:ascii="Arial"/>
          <w:b/>
          <w:color w:val="6460A9"/>
          <w:sz w:val="20"/>
        </w:rPr>
        <w:t>ET</w:t>
      </w:r>
      <w:r>
        <w:rPr>
          <w:rFonts w:ascii="Arial"/>
          <w:b/>
          <w:color w:val="6460A9"/>
          <w:spacing w:val="-2"/>
          <w:sz w:val="20"/>
        </w:rPr>
        <w:t> </w:t>
      </w:r>
      <w:r>
        <w:rPr>
          <w:rFonts w:ascii="Arial"/>
          <w:b/>
          <w:color w:val="6460A9"/>
          <w:sz w:val="20"/>
        </w:rPr>
        <w:t>INVESTISSEURS</w:t>
      </w:r>
    </w:p>
    <w:p>
      <w:pPr>
        <w:spacing w:line="242" w:lineRule="exact" w:before="162"/>
        <w:ind w:left="1295" w:right="1299" w:firstLine="0"/>
        <w:jc w:val="center"/>
        <w:rPr>
          <w:sz w:val="18"/>
        </w:rPr>
      </w:pPr>
      <w:r>
        <w:rPr>
          <w:rFonts w:ascii="Tahoma" w:hAnsi="Tahoma"/>
          <w:b/>
          <w:w w:val="90"/>
          <w:sz w:val="18"/>
        </w:rPr>
        <w:t>Christopher</w:t>
      </w:r>
      <w:r>
        <w:rPr>
          <w:rFonts w:ascii="Tahoma" w:hAnsi="Tahoma"/>
          <w:b/>
          <w:spacing w:val="4"/>
          <w:w w:val="90"/>
          <w:sz w:val="18"/>
        </w:rPr>
        <w:t> </w:t>
      </w:r>
      <w:r>
        <w:rPr>
          <w:rFonts w:ascii="Tahoma" w:hAnsi="Tahoma"/>
          <w:b/>
          <w:w w:val="90"/>
          <w:sz w:val="18"/>
        </w:rPr>
        <w:t>WELTON</w:t>
      </w:r>
      <w:r>
        <w:rPr>
          <w:rFonts w:ascii="Tahoma" w:hAnsi="Tahoma"/>
          <w:b/>
          <w:spacing w:val="4"/>
          <w:w w:val="90"/>
          <w:sz w:val="18"/>
        </w:rPr>
        <w:t> </w:t>
      </w:r>
      <w:r>
        <w:rPr>
          <w:w w:val="90"/>
          <w:sz w:val="18"/>
        </w:rPr>
        <w:t>–</w:t>
      </w:r>
      <w:r>
        <w:rPr>
          <w:spacing w:val="-3"/>
          <w:w w:val="90"/>
          <w:sz w:val="18"/>
        </w:rPr>
        <w:t> </w:t>
      </w:r>
      <w:hyperlink r:id="rId6">
        <w:r>
          <w:rPr>
            <w:w w:val="90"/>
            <w:sz w:val="18"/>
            <w:u w:val="single"/>
          </w:rPr>
          <w:t>cwelton.exterieur@groupe-casino.fr</w:t>
        </w:r>
        <w:r>
          <w:rPr>
            <w:spacing w:val="-3"/>
            <w:w w:val="90"/>
            <w:sz w:val="18"/>
          </w:rPr>
          <w:t> </w:t>
        </w:r>
      </w:hyperlink>
      <w:r>
        <w:rPr>
          <w:w w:val="90"/>
          <w:sz w:val="20"/>
        </w:rPr>
        <w:t>-</w:t>
      </w:r>
      <w:r>
        <w:rPr>
          <w:spacing w:val="-6"/>
          <w:w w:val="90"/>
          <w:sz w:val="20"/>
        </w:rPr>
        <w:t> </w:t>
      </w:r>
      <w:r>
        <w:rPr>
          <w:w w:val="90"/>
          <w:sz w:val="18"/>
        </w:rPr>
        <w:t>Tél</w:t>
      </w:r>
      <w:r>
        <w:rPr>
          <w:spacing w:val="-4"/>
          <w:w w:val="90"/>
          <w:sz w:val="18"/>
        </w:rPr>
        <w:t> </w:t>
      </w:r>
      <w:r>
        <w:rPr>
          <w:w w:val="90"/>
          <w:sz w:val="18"/>
        </w:rPr>
        <w:t>: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+33</w:t>
      </w:r>
      <w:r>
        <w:rPr>
          <w:spacing w:val="-1"/>
          <w:w w:val="90"/>
          <w:sz w:val="18"/>
        </w:rPr>
        <w:t> </w:t>
      </w:r>
      <w:r>
        <w:rPr>
          <w:w w:val="90"/>
          <w:sz w:val="18"/>
        </w:rPr>
        <w:t>(0)1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53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65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64</w:t>
      </w:r>
      <w:r>
        <w:rPr>
          <w:spacing w:val="-4"/>
          <w:w w:val="90"/>
          <w:sz w:val="18"/>
        </w:rPr>
        <w:t> </w:t>
      </w:r>
      <w:r>
        <w:rPr>
          <w:w w:val="90"/>
          <w:sz w:val="18"/>
        </w:rPr>
        <w:t>17</w:t>
      </w:r>
    </w:p>
    <w:p>
      <w:pPr>
        <w:spacing w:line="217" w:lineRule="exact" w:before="0"/>
        <w:ind w:left="198" w:right="200" w:firstLine="0"/>
        <w:jc w:val="center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ou</w:t>
      </w:r>
    </w:p>
    <w:p>
      <w:pPr>
        <w:spacing w:before="37"/>
        <w:ind w:left="199" w:right="199" w:firstLine="0"/>
        <w:jc w:val="center"/>
        <w:rPr>
          <w:sz w:val="18"/>
        </w:rPr>
      </w:pPr>
      <w:r>
        <w:rPr/>
        <w:pict>
          <v:rect style="position:absolute;margin-left:181.080002pt;margin-top:11.740321pt;width:121.68pt;height:.481pt;mso-position-horizontal-relative:page;mso-position-vertical-relative:paragraph;z-index:15730688" filled="true" fillcolor="#000000" stroked="false">
            <v:fill type="solid"/>
            <w10:wrap type="none"/>
          </v:rect>
        </w:pict>
      </w:r>
      <w:hyperlink r:id="rId7">
        <w:r>
          <w:rPr>
            <w:spacing w:val="2"/>
            <w:w w:val="53"/>
            <w:sz w:val="18"/>
          </w:rPr>
          <w:t>I</w:t>
        </w:r>
        <w:r>
          <w:rPr>
            <w:spacing w:val="-2"/>
            <w:w w:val="87"/>
            <w:sz w:val="18"/>
          </w:rPr>
          <w:t>R</w:t>
        </w:r>
        <w:r>
          <w:rPr>
            <w:spacing w:val="1"/>
            <w:w w:val="78"/>
            <w:sz w:val="18"/>
          </w:rPr>
          <w:t>_</w:t>
        </w:r>
        <w:r>
          <w:rPr>
            <w:w w:val="116"/>
            <w:sz w:val="18"/>
          </w:rPr>
          <w:t>C</w:t>
        </w:r>
        <w:r>
          <w:rPr>
            <w:spacing w:val="-1"/>
            <w:w w:val="113"/>
            <w:sz w:val="18"/>
          </w:rPr>
          <w:t>a</w:t>
        </w:r>
        <w:r>
          <w:rPr>
            <w:spacing w:val="-3"/>
            <w:w w:val="74"/>
            <w:sz w:val="18"/>
          </w:rPr>
          <w:t>s</w:t>
        </w:r>
        <w:r>
          <w:rPr>
            <w:spacing w:val="2"/>
            <w:w w:val="72"/>
            <w:sz w:val="18"/>
          </w:rPr>
          <w:t>i</w:t>
        </w:r>
        <w:r>
          <w:rPr>
            <w:w w:val="96"/>
            <w:sz w:val="18"/>
          </w:rPr>
          <w:t>n</w:t>
        </w:r>
        <w:r>
          <w:rPr>
            <w:spacing w:val="-1"/>
            <w:w w:val="107"/>
            <w:sz w:val="18"/>
          </w:rPr>
          <w:t>o</w:t>
        </w:r>
        <w:r>
          <w:rPr>
            <w:spacing w:val="-1"/>
            <w:w w:val="86"/>
            <w:sz w:val="18"/>
          </w:rPr>
          <w:t>@</w:t>
        </w:r>
        <w:r>
          <w:rPr>
            <w:spacing w:val="-2"/>
            <w:w w:val="107"/>
            <w:sz w:val="18"/>
          </w:rPr>
          <w:t>g</w:t>
        </w:r>
        <w:r>
          <w:rPr>
            <w:spacing w:val="1"/>
            <w:w w:val="70"/>
            <w:sz w:val="18"/>
          </w:rPr>
          <w:t>r</w:t>
        </w:r>
        <w:r>
          <w:rPr>
            <w:spacing w:val="-1"/>
            <w:w w:val="107"/>
            <w:sz w:val="18"/>
          </w:rPr>
          <w:t>o</w:t>
        </w:r>
        <w:r>
          <w:rPr>
            <w:w w:val="96"/>
            <w:sz w:val="18"/>
          </w:rPr>
          <w:t>u</w:t>
        </w:r>
        <w:r>
          <w:rPr>
            <w:spacing w:val="-1"/>
            <w:w w:val="109"/>
            <w:sz w:val="18"/>
          </w:rPr>
          <w:t>p</w:t>
        </w:r>
        <w:r>
          <w:rPr>
            <w:w w:val="109"/>
            <w:sz w:val="18"/>
          </w:rPr>
          <w:t>e</w:t>
        </w:r>
        <w:r>
          <w:rPr>
            <w:spacing w:val="-3"/>
            <w:w w:val="73"/>
            <w:sz w:val="18"/>
          </w:rPr>
          <w:t>-</w:t>
        </w:r>
        <w:r>
          <w:rPr>
            <w:spacing w:val="1"/>
            <w:w w:val="124"/>
            <w:sz w:val="18"/>
          </w:rPr>
          <w:t>c</w:t>
        </w:r>
        <w:r>
          <w:rPr>
            <w:spacing w:val="-1"/>
            <w:w w:val="113"/>
            <w:sz w:val="18"/>
          </w:rPr>
          <w:t>a</w:t>
        </w:r>
        <w:r>
          <w:rPr>
            <w:spacing w:val="-1"/>
            <w:w w:val="73"/>
            <w:sz w:val="18"/>
          </w:rPr>
          <w:t>si</w:t>
        </w:r>
        <w:r>
          <w:rPr>
            <w:w w:val="96"/>
            <w:sz w:val="18"/>
          </w:rPr>
          <w:t>n</w:t>
        </w:r>
        <w:r>
          <w:rPr>
            <w:spacing w:val="-1"/>
            <w:w w:val="107"/>
            <w:sz w:val="18"/>
          </w:rPr>
          <w:t>o</w:t>
        </w:r>
        <w:r>
          <w:rPr>
            <w:spacing w:val="-2"/>
            <w:w w:val="76"/>
            <w:sz w:val="18"/>
          </w:rPr>
          <w:t>.</w:t>
        </w:r>
        <w:r>
          <w:rPr>
            <w:spacing w:val="1"/>
            <w:w w:val="89"/>
            <w:sz w:val="18"/>
          </w:rPr>
          <w:t>f</w:t>
        </w:r>
        <w:r>
          <w:rPr>
            <w:w w:val="70"/>
            <w:sz w:val="18"/>
          </w:rPr>
          <w:t>r</w:t>
        </w:r>
        <w:r>
          <w:rPr>
            <w:spacing w:val="-15"/>
            <w:sz w:val="18"/>
          </w:rPr>
          <w:t> </w:t>
        </w:r>
      </w:hyperlink>
      <w:r>
        <w:rPr>
          <w:w w:val="73"/>
          <w:sz w:val="18"/>
        </w:rPr>
        <w:t>-</w:t>
      </w:r>
      <w:r>
        <w:rPr>
          <w:spacing w:val="-13"/>
          <w:sz w:val="18"/>
        </w:rPr>
        <w:t> </w:t>
      </w:r>
      <w:r>
        <w:rPr>
          <w:spacing w:val="-3"/>
          <w:w w:val="69"/>
          <w:sz w:val="18"/>
        </w:rPr>
        <w:t>T</w:t>
      </w:r>
      <w:r>
        <w:rPr>
          <w:w w:val="109"/>
          <w:sz w:val="18"/>
        </w:rPr>
        <w:t>é</w:t>
      </w:r>
      <w:r>
        <w:rPr>
          <w:w w:val="72"/>
          <w:sz w:val="18"/>
        </w:rPr>
        <w:t>l</w:t>
      </w:r>
      <w:r>
        <w:rPr>
          <w:spacing w:val="-13"/>
          <w:sz w:val="18"/>
        </w:rPr>
        <w:t> </w:t>
      </w:r>
      <w:r>
        <w:rPr>
          <w:w w:val="60"/>
          <w:sz w:val="18"/>
        </w:rPr>
        <w:t>:</w:t>
      </w:r>
      <w:r>
        <w:rPr>
          <w:spacing w:val="-15"/>
          <w:sz w:val="18"/>
        </w:rPr>
        <w:t> </w:t>
      </w:r>
      <w:r>
        <w:rPr>
          <w:spacing w:val="1"/>
          <w:w w:val="74"/>
          <w:sz w:val="18"/>
        </w:rPr>
        <w:t>+</w:t>
      </w:r>
      <w:r>
        <w:rPr>
          <w:spacing w:val="1"/>
          <w:w w:val="87"/>
          <w:sz w:val="18"/>
        </w:rPr>
        <w:t>3</w:t>
      </w:r>
      <w:r>
        <w:rPr>
          <w:w w:val="87"/>
          <w:sz w:val="18"/>
        </w:rPr>
        <w:t>3</w:t>
      </w:r>
      <w:r>
        <w:rPr>
          <w:spacing w:val="-12"/>
          <w:sz w:val="18"/>
        </w:rPr>
        <w:t> </w:t>
      </w:r>
      <w:r>
        <w:rPr>
          <w:spacing w:val="-7"/>
          <w:w w:val="81"/>
          <w:sz w:val="18"/>
        </w:rPr>
        <w:t>(</w:t>
      </w:r>
      <w:r>
        <w:rPr>
          <w:spacing w:val="3"/>
          <w:w w:val="87"/>
          <w:sz w:val="18"/>
        </w:rPr>
        <w:t>0</w:t>
      </w:r>
      <w:r>
        <w:rPr>
          <w:spacing w:val="-2"/>
          <w:w w:val="81"/>
          <w:sz w:val="18"/>
        </w:rPr>
        <w:t>)</w:t>
      </w:r>
      <w:r>
        <w:rPr>
          <w:w w:val="87"/>
          <w:sz w:val="18"/>
        </w:rPr>
        <w:t>1</w:t>
      </w:r>
      <w:r>
        <w:rPr>
          <w:spacing w:val="-12"/>
          <w:sz w:val="18"/>
        </w:rPr>
        <w:t> </w:t>
      </w:r>
      <w:r>
        <w:rPr>
          <w:spacing w:val="1"/>
          <w:w w:val="87"/>
          <w:sz w:val="18"/>
        </w:rPr>
        <w:t>5</w:t>
      </w:r>
      <w:r>
        <w:rPr>
          <w:w w:val="87"/>
          <w:sz w:val="18"/>
        </w:rPr>
        <w:t>3</w:t>
      </w:r>
      <w:r>
        <w:rPr>
          <w:spacing w:val="-12"/>
          <w:sz w:val="18"/>
        </w:rPr>
        <w:t> </w:t>
      </w:r>
      <w:r>
        <w:rPr>
          <w:spacing w:val="-2"/>
          <w:w w:val="87"/>
          <w:sz w:val="18"/>
        </w:rPr>
        <w:t>6</w:t>
      </w:r>
      <w:r>
        <w:rPr>
          <w:w w:val="87"/>
          <w:sz w:val="18"/>
        </w:rPr>
        <w:t>5</w:t>
      </w:r>
      <w:r>
        <w:rPr>
          <w:spacing w:val="-15"/>
          <w:sz w:val="18"/>
        </w:rPr>
        <w:t> </w:t>
      </w:r>
      <w:r>
        <w:rPr>
          <w:spacing w:val="1"/>
          <w:w w:val="87"/>
          <w:sz w:val="18"/>
        </w:rPr>
        <w:t>2</w:t>
      </w:r>
      <w:r>
        <w:rPr>
          <w:w w:val="87"/>
          <w:sz w:val="18"/>
        </w:rPr>
        <w:t>4</w:t>
      </w:r>
      <w:r>
        <w:rPr>
          <w:spacing w:val="-15"/>
          <w:sz w:val="18"/>
        </w:rPr>
        <w:t> </w:t>
      </w:r>
      <w:r>
        <w:rPr>
          <w:spacing w:val="1"/>
          <w:w w:val="87"/>
          <w:sz w:val="18"/>
        </w:rPr>
        <w:t>17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spacing w:before="0"/>
        <w:ind w:left="198" w:right="200" w:firstLine="0"/>
        <w:jc w:val="center"/>
        <w:rPr>
          <w:rFonts w:ascii="Arial"/>
          <w:b/>
          <w:sz w:val="20"/>
        </w:rPr>
      </w:pPr>
      <w:r>
        <w:rPr>
          <w:rFonts w:ascii="Arial"/>
          <w:b/>
          <w:color w:val="6460A9"/>
          <w:sz w:val="20"/>
        </w:rPr>
        <w:t>CONTACTS</w:t>
      </w:r>
      <w:r>
        <w:rPr>
          <w:rFonts w:ascii="Arial"/>
          <w:b/>
          <w:color w:val="6460A9"/>
          <w:spacing w:val="-3"/>
          <w:sz w:val="20"/>
        </w:rPr>
        <w:t> </w:t>
      </w:r>
      <w:r>
        <w:rPr>
          <w:rFonts w:ascii="Arial"/>
          <w:b/>
          <w:color w:val="6460A9"/>
          <w:sz w:val="20"/>
        </w:rPr>
        <w:t>PRESSE</w:t>
      </w:r>
    </w:p>
    <w:p>
      <w:pPr>
        <w:spacing w:before="159"/>
        <w:ind w:left="198" w:right="200" w:firstLine="0"/>
        <w:jc w:val="center"/>
        <w:rPr>
          <w:rFonts w:ascii="Tahoma" w:hAnsi="Tahoma"/>
          <w:b/>
          <w:sz w:val="18"/>
        </w:rPr>
      </w:pPr>
      <w:r>
        <w:rPr>
          <w:rFonts w:ascii="Tahoma" w:hAnsi="Tahoma"/>
          <w:b/>
          <w:sz w:val="18"/>
        </w:rPr>
        <w:t>Groupe</w:t>
      </w:r>
      <w:r>
        <w:rPr>
          <w:rFonts w:ascii="Tahoma" w:hAnsi="Tahoma"/>
          <w:b/>
          <w:spacing w:val="-13"/>
          <w:sz w:val="18"/>
        </w:rPr>
        <w:t> </w:t>
      </w:r>
      <w:r>
        <w:rPr>
          <w:rFonts w:ascii="Tahoma" w:hAnsi="Tahoma"/>
          <w:b/>
          <w:sz w:val="18"/>
        </w:rPr>
        <w:t>Casino</w:t>
      </w:r>
      <w:r>
        <w:rPr>
          <w:rFonts w:ascii="Tahoma" w:hAnsi="Tahoma"/>
          <w:b/>
          <w:spacing w:val="-13"/>
          <w:sz w:val="18"/>
        </w:rPr>
        <w:t> </w:t>
      </w:r>
      <w:r>
        <w:rPr>
          <w:rFonts w:ascii="Tahoma" w:hAnsi="Tahoma"/>
          <w:b/>
          <w:sz w:val="18"/>
        </w:rPr>
        <w:t>–</w:t>
      </w:r>
      <w:r>
        <w:rPr>
          <w:rFonts w:ascii="Tahoma" w:hAnsi="Tahoma"/>
          <w:b/>
          <w:spacing w:val="-11"/>
          <w:sz w:val="18"/>
        </w:rPr>
        <w:t> </w:t>
      </w:r>
      <w:r>
        <w:rPr>
          <w:rFonts w:ascii="Tahoma" w:hAnsi="Tahoma"/>
          <w:b/>
          <w:sz w:val="18"/>
        </w:rPr>
        <w:t>Direction</w:t>
      </w:r>
      <w:r>
        <w:rPr>
          <w:rFonts w:ascii="Tahoma" w:hAnsi="Tahoma"/>
          <w:b/>
          <w:spacing w:val="-13"/>
          <w:sz w:val="18"/>
        </w:rPr>
        <w:t> </w:t>
      </w:r>
      <w:r>
        <w:rPr>
          <w:rFonts w:ascii="Tahoma" w:hAnsi="Tahoma"/>
          <w:b/>
          <w:sz w:val="18"/>
        </w:rPr>
        <w:t>de</w:t>
      </w:r>
      <w:r>
        <w:rPr>
          <w:rFonts w:ascii="Tahoma" w:hAnsi="Tahoma"/>
          <w:b/>
          <w:spacing w:val="-12"/>
          <w:sz w:val="18"/>
        </w:rPr>
        <w:t> </w:t>
      </w:r>
      <w:r>
        <w:rPr>
          <w:rFonts w:ascii="Tahoma" w:hAnsi="Tahoma"/>
          <w:b/>
          <w:sz w:val="18"/>
        </w:rPr>
        <w:t>la</w:t>
      </w:r>
      <w:r>
        <w:rPr>
          <w:rFonts w:ascii="Tahoma" w:hAnsi="Tahoma"/>
          <w:b/>
          <w:spacing w:val="-12"/>
          <w:sz w:val="18"/>
        </w:rPr>
        <w:t> </w:t>
      </w:r>
      <w:r>
        <w:rPr>
          <w:rFonts w:ascii="Tahoma" w:hAnsi="Tahoma"/>
          <w:b/>
          <w:sz w:val="18"/>
        </w:rPr>
        <w:t>Communication</w:t>
      </w:r>
    </w:p>
    <w:p>
      <w:pPr>
        <w:spacing w:before="120"/>
        <w:ind w:left="199" w:right="200" w:firstLine="0"/>
        <w:jc w:val="center"/>
        <w:rPr>
          <w:sz w:val="18"/>
        </w:rPr>
      </w:pPr>
      <w:r>
        <w:rPr>
          <w:rFonts w:ascii="Tahoma" w:hAnsi="Tahoma"/>
          <w:b/>
          <w:w w:val="90"/>
          <w:sz w:val="18"/>
        </w:rPr>
        <w:t>Nicolas</w:t>
      </w:r>
      <w:r>
        <w:rPr>
          <w:rFonts w:ascii="Tahoma" w:hAnsi="Tahoma"/>
          <w:b/>
          <w:spacing w:val="9"/>
          <w:w w:val="90"/>
          <w:sz w:val="18"/>
        </w:rPr>
        <w:t> </w:t>
      </w:r>
      <w:r>
        <w:rPr>
          <w:rFonts w:ascii="Tahoma" w:hAnsi="Tahoma"/>
          <w:b/>
          <w:w w:val="90"/>
          <w:sz w:val="18"/>
        </w:rPr>
        <w:t>BOUDOT</w:t>
      </w:r>
      <w:r>
        <w:rPr>
          <w:rFonts w:ascii="Tahoma" w:hAnsi="Tahoma"/>
          <w:b/>
          <w:spacing w:val="8"/>
          <w:w w:val="90"/>
          <w:sz w:val="18"/>
        </w:rPr>
        <w:t> </w:t>
      </w:r>
      <w:r>
        <w:rPr>
          <w:w w:val="90"/>
          <w:sz w:val="18"/>
        </w:rPr>
        <w:t>-</w:t>
      </w:r>
      <w:r>
        <w:rPr>
          <w:spacing w:val="1"/>
          <w:w w:val="90"/>
          <w:sz w:val="18"/>
        </w:rPr>
        <w:t> </w:t>
      </w:r>
      <w:hyperlink r:id="rId8">
        <w:r>
          <w:rPr>
            <w:w w:val="90"/>
            <w:sz w:val="18"/>
            <w:u w:val="single"/>
          </w:rPr>
          <w:t>nboudot@groupe-casino.fr</w:t>
        </w:r>
        <w:r>
          <w:rPr>
            <w:w w:val="90"/>
            <w:sz w:val="18"/>
          </w:rPr>
          <w:t> </w:t>
        </w:r>
      </w:hyperlink>
      <w:r>
        <w:rPr>
          <w:w w:val="90"/>
          <w:sz w:val="18"/>
        </w:rPr>
        <w:t>-</w:t>
      </w:r>
      <w:r>
        <w:rPr>
          <w:spacing w:val="1"/>
          <w:w w:val="90"/>
          <w:sz w:val="18"/>
        </w:rPr>
        <w:t> </w:t>
      </w:r>
      <w:r>
        <w:rPr>
          <w:w w:val="90"/>
          <w:sz w:val="18"/>
        </w:rPr>
        <w:t>Tél :</w:t>
      </w:r>
      <w:r>
        <w:rPr>
          <w:spacing w:val="-1"/>
          <w:w w:val="90"/>
          <w:sz w:val="18"/>
        </w:rPr>
        <w:t> </w:t>
      </w:r>
      <w:r>
        <w:rPr>
          <w:w w:val="90"/>
          <w:sz w:val="18"/>
        </w:rPr>
        <w:t>+</w:t>
      </w:r>
      <w:r>
        <w:rPr>
          <w:spacing w:val="-1"/>
          <w:w w:val="90"/>
          <w:sz w:val="18"/>
        </w:rPr>
        <w:t> </w:t>
      </w:r>
      <w:r>
        <w:rPr>
          <w:w w:val="90"/>
          <w:sz w:val="18"/>
        </w:rPr>
        <w:t>33</w:t>
      </w:r>
      <w:r>
        <w:rPr>
          <w:spacing w:val="4"/>
          <w:w w:val="90"/>
          <w:sz w:val="18"/>
        </w:rPr>
        <w:t> </w:t>
      </w:r>
      <w:r>
        <w:rPr>
          <w:w w:val="90"/>
          <w:sz w:val="18"/>
        </w:rPr>
        <w:t>(0)6</w:t>
      </w:r>
      <w:r>
        <w:rPr>
          <w:spacing w:val="2"/>
          <w:w w:val="90"/>
          <w:sz w:val="18"/>
        </w:rPr>
        <w:t> </w:t>
      </w:r>
      <w:r>
        <w:rPr>
          <w:w w:val="90"/>
          <w:sz w:val="18"/>
        </w:rPr>
        <w:t>79</w:t>
      </w:r>
      <w:r>
        <w:rPr>
          <w:spacing w:val="1"/>
          <w:w w:val="90"/>
          <w:sz w:val="18"/>
        </w:rPr>
        <w:t> </w:t>
      </w:r>
      <w:r>
        <w:rPr>
          <w:w w:val="90"/>
          <w:sz w:val="18"/>
        </w:rPr>
        <w:t>61</w:t>
      </w:r>
      <w:r>
        <w:rPr>
          <w:spacing w:val="-1"/>
          <w:w w:val="90"/>
          <w:sz w:val="18"/>
        </w:rPr>
        <w:t> </w:t>
      </w:r>
      <w:r>
        <w:rPr>
          <w:w w:val="90"/>
          <w:sz w:val="18"/>
        </w:rPr>
        <w:t>40</w:t>
      </w:r>
      <w:r>
        <w:rPr>
          <w:spacing w:val="-2"/>
          <w:w w:val="90"/>
          <w:sz w:val="18"/>
        </w:rPr>
        <w:t> </w:t>
      </w:r>
      <w:r>
        <w:rPr>
          <w:w w:val="90"/>
          <w:sz w:val="18"/>
        </w:rPr>
        <w:t>99</w:t>
      </w:r>
    </w:p>
    <w:p>
      <w:pPr>
        <w:spacing w:before="3"/>
        <w:ind w:left="198" w:right="200" w:firstLine="0"/>
        <w:jc w:val="center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ou</w:t>
      </w:r>
    </w:p>
    <w:p>
      <w:pPr>
        <w:spacing w:before="3"/>
        <w:ind w:left="199" w:right="200" w:firstLine="0"/>
        <w:jc w:val="center"/>
        <w:rPr>
          <w:sz w:val="18"/>
        </w:rPr>
      </w:pPr>
      <w:hyperlink r:id="rId9">
        <w:r>
          <w:rPr>
            <w:w w:val="90"/>
            <w:sz w:val="18"/>
            <w:u w:val="single"/>
          </w:rPr>
          <w:t>directiondelacommunication@groupe-casino.fr</w:t>
        </w:r>
        <w:r>
          <w:rPr>
            <w:spacing w:val="14"/>
            <w:w w:val="90"/>
            <w:sz w:val="18"/>
          </w:rPr>
          <w:t> </w:t>
        </w:r>
      </w:hyperlink>
      <w:r>
        <w:rPr>
          <w:w w:val="90"/>
          <w:sz w:val="18"/>
        </w:rPr>
        <w:t>-</w:t>
      </w:r>
      <w:r>
        <w:rPr>
          <w:spacing w:val="11"/>
          <w:w w:val="90"/>
          <w:sz w:val="18"/>
        </w:rPr>
        <w:t> </w:t>
      </w:r>
      <w:r>
        <w:rPr>
          <w:w w:val="90"/>
          <w:sz w:val="18"/>
        </w:rPr>
        <w:t>Tél</w:t>
      </w:r>
      <w:r>
        <w:rPr>
          <w:spacing w:val="14"/>
          <w:w w:val="90"/>
          <w:sz w:val="18"/>
        </w:rPr>
        <w:t> </w:t>
      </w:r>
      <w:r>
        <w:rPr>
          <w:w w:val="90"/>
          <w:sz w:val="18"/>
        </w:rPr>
        <w:t>:</w:t>
      </w:r>
      <w:r>
        <w:rPr>
          <w:spacing w:val="12"/>
          <w:w w:val="90"/>
          <w:sz w:val="18"/>
        </w:rPr>
        <w:t> </w:t>
      </w:r>
      <w:r>
        <w:rPr>
          <w:w w:val="90"/>
          <w:sz w:val="18"/>
        </w:rPr>
        <w:t>+</w:t>
      </w:r>
      <w:r>
        <w:rPr>
          <w:spacing w:val="17"/>
          <w:w w:val="90"/>
          <w:sz w:val="18"/>
        </w:rPr>
        <w:t> </w:t>
      </w:r>
      <w:r>
        <w:rPr>
          <w:w w:val="90"/>
          <w:sz w:val="18"/>
        </w:rPr>
        <w:t>33(0)1</w:t>
      </w:r>
      <w:r>
        <w:rPr>
          <w:spacing w:val="16"/>
          <w:w w:val="90"/>
          <w:sz w:val="18"/>
        </w:rPr>
        <w:t> </w:t>
      </w:r>
      <w:r>
        <w:rPr>
          <w:w w:val="90"/>
          <w:sz w:val="18"/>
        </w:rPr>
        <w:t>53</w:t>
      </w:r>
      <w:r>
        <w:rPr>
          <w:spacing w:val="16"/>
          <w:w w:val="90"/>
          <w:sz w:val="18"/>
        </w:rPr>
        <w:t> </w:t>
      </w:r>
      <w:r>
        <w:rPr>
          <w:w w:val="90"/>
          <w:sz w:val="18"/>
        </w:rPr>
        <w:t>65</w:t>
      </w:r>
      <w:r>
        <w:rPr>
          <w:spacing w:val="16"/>
          <w:w w:val="90"/>
          <w:sz w:val="18"/>
        </w:rPr>
        <w:t> </w:t>
      </w:r>
      <w:r>
        <w:rPr>
          <w:w w:val="90"/>
          <w:sz w:val="18"/>
        </w:rPr>
        <w:t>24</w:t>
      </w:r>
      <w:r>
        <w:rPr>
          <w:spacing w:val="16"/>
          <w:w w:val="90"/>
          <w:sz w:val="18"/>
        </w:rPr>
        <w:t> </w:t>
      </w:r>
      <w:r>
        <w:rPr>
          <w:w w:val="90"/>
          <w:sz w:val="18"/>
        </w:rPr>
        <w:t>78</w:t>
      </w:r>
    </w:p>
    <w:p>
      <w:pPr>
        <w:pStyle w:val="BodyText"/>
        <w:spacing w:before="8"/>
        <w:rPr>
          <w:sz w:val="11"/>
        </w:rPr>
      </w:pPr>
    </w:p>
    <w:p>
      <w:pPr>
        <w:spacing w:before="101"/>
        <w:ind w:left="199" w:right="199" w:firstLine="0"/>
        <w:jc w:val="center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Agence</w:t>
      </w:r>
      <w:r>
        <w:rPr>
          <w:rFonts w:ascii="Tahoma"/>
          <w:b/>
          <w:spacing w:val="-3"/>
          <w:sz w:val="18"/>
        </w:rPr>
        <w:t> </w:t>
      </w:r>
      <w:r>
        <w:rPr>
          <w:rFonts w:ascii="Tahoma"/>
          <w:b/>
          <w:sz w:val="18"/>
        </w:rPr>
        <w:t>IMAGE</w:t>
      </w:r>
      <w:r>
        <w:rPr>
          <w:rFonts w:ascii="Tahoma"/>
          <w:b/>
          <w:spacing w:val="-3"/>
          <w:sz w:val="18"/>
        </w:rPr>
        <w:t> </w:t>
      </w:r>
      <w:r>
        <w:rPr>
          <w:rFonts w:ascii="Tahoma"/>
          <w:b/>
          <w:sz w:val="18"/>
        </w:rPr>
        <w:t>7</w:t>
      </w:r>
    </w:p>
    <w:p>
      <w:pPr>
        <w:spacing w:before="123"/>
        <w:ind w:left="199" w:right="200" w:firstLine="0"/>
        <w:jc w:val="center"/>
        <w:rPr>
          <w:sz w:val="18"/>
        </w:rPr>
      </w:pPr>
      <w:r>
        <w:rPr>
          <w:w w:val="85"/>
          <w:sz w:val="18"/>
        </w:rPr>
        <w:t>Karine</w:t>
      </w:r>
      <w:r>
        <w:rPr>
          <w:spacing w:val="12"/>
          <w:w w:val="85"/>
          <w:sz w:val="18"/>
        </w:rPr>
        <w:t> </w:t>
      </w:r>
      <w:r>
        <w:rPr>
          <w:w w:val="85"/>
          <w:sz w:val="18"/>
        </w:rPr>
        <w:t>Allouis</w:t>
      </w:r>
      <w:r>
        <w:rPr>
          <w:spacing w:val="7"/>
          <w:w w:val="85"/>
          <w:sz w:val="18"/>
        </w:rPr>
        <w:t> </w:t>
      </w:r>
      <w:r>
        <w:rPr>
          <w:w w:val="85"/>
          <w:sz w:val="18"/>
        </w:rPr>
        <w:t>-</w:t>
      </w:r>
      <w:r>
        <w:rPr>
          <w:spacing w:val="9"/>
          <w:w w:val="85"/>
          <w:sz w:val="18"/>
        </w:rPr>
        <w:t> </w:t>
      </w:r>
      <w:hyperlink r:id="rId10">
        <w:r>
          <w:rPr>
            <w:w w:val="85"/>
            <w:sz w:val="18"/>
            <w:u w:val="single"/>
          </w:rPr>
          <w:t>kallouis@image7.fr</w:t>
        </w:r>
        <w:r>
          <w:rPr>
            <w:spacing w:val="10"/>
            <w:w w:val="85"/>
            <w:sz w:val="18"/>
          </w:rPr>
          <w:t> </w:t>
        </w:r>
      </w:hyperlink>
      <w:r>
        <w:rPr>
          <w:w w:val="85"/>
          <w:sz w:val="18"/>
        </w:rPr>
        <w:t>-</w:t>
      </w:r>
      <w:r>
        <w:rPr>
          <w:spacing w:val="8"/>
          <w:w w:val="85"/>
          <w:sz w:val="18"/>
        </w:rPr>
        <w:t> </w:t>
      </w:r>
      <w:r>
        <w:rPr>
          <w:w w:val="85"/>
          <w:sz w:val="18"/>
        </w:rPr>
        <w:t>Tél</w:t>
      </w:r>
      <w:r>
        <w:rPr>
          <w:spacing w:val="9"/>
          <w:w w:val="85"/>
          <w:sz w:val="18"/>
        </w:rPr>
        <w:t> </w:t>
      </w:r>
      <w:r>
        <w:rPr>
          <w:w w:val="85"/>
          <w:sz w:val="18"/>
        </w:rPr>
        <w:t>:</w:t>
      </w:r>
      <w:r>
        <w:rPr>
          <w:spacing w:val="6"/>
          <w:w w:val="85"/>
          <w:sz w:val="18"/>
        </w:rPr>
        <w:t> </w:t>
      </w:r>
      <w:r>
        <w:rPr>
          <w:w w:val="85"/>
          <w:sz w:val="18"/>
        </w:rPr>
        <w:t>+33</w:t>
      </w:r>
      <w:r>
        <w:rPr>
          <w:spacing w:val="10"/>
          <w:w w:val="85"/>
          <w:sz w:val="18"/>
        </w:rPr>
        <w:t> </w:t>
      </w:r>
      <w:r>
        <w:rPr>
          <w:w w:val="85"/>
          <w:sz w:val="18"/>
        </w:rPr>
        <w:t>(0)6</w:t>
      </w:r>
      <w:r>
        <w:rPr>
          <w:spacing w:val="10"/>
          <w:w w:val="85"/>
          <w:sz w:val="18"/>
        </w:rPr>
        <w:t> </w:t>
      </w:r>
      <w:r>
        <w:rPr>
          <w:w w:val="85"/>
          <w:sz w:val="18"/>
        </w:rPr>
        <w:t>11</w:t>
      </w:r>
      <w:r>
        <w:rPr>
          <w:spacing w:val="9"/>
          <w:w w:val="85"/>
          <w:sz w:val="18"/>
        </w:rPr>
        <w:t> </w:t>
      </w:r>
      <w:r>
        <w:rPr>
          <w:w w:val="85"/>
          <w:sz w:val="18"/>
        </w:rPr>
        <w:t>59</w:t>
      </w:r>
      <w:r>
        <w:rPr>
          <w:spacing w:val="6"/>
          <w:w w:val="85"/>
          <w:sz w:val="18"/>
        </w:rPr>
        <w:t> </w:t>
      </w:r>
      <w:r>
        <w:rPr>
          <w:w w:val="85"/>
          <w:sz w:val="18"/>
        </w:rPr>
        <w:t>23</w:t>
      </w:r>
      <w:r>
        <w:rPr>
          <w:spacing w:val="10"/>
          <w:w w:val="85"/>
          <w:sz w:val="18"/>
        </w:rPr>
        <w:t> </w:t>
      </w:r>
      <w:r>
        <w:rPr>
          <w:w w:val="85"/>
          <w:sz w:val="18"/>
        </w:rPr>
        <w:t>26</w:t>
      </w:r>
    </w:p>
    <w:p>
      <w:pPr>
        <w:spacing w:before="122"/>
        <w:ind w:left="1295" w:right="1299" w:firstLine="0"/>
        <w:jc w:val="center"/>
        <w:rPr>
          <w:sz w:val="18"/>
        </w:rPr>
      </w:pPr>
      <w:r>
        <w:rPr>
          <w:spacing w:val="-1"/>
          <w:w w:val="90"/>
          <w:sz w:val="18"/>
        </w:rPr>
        <w:t>Laurent</w:t>
      </w:r>
      <w:r>
        <w:rPr>
          <w:spacing w:val="-8"/>
          <w:w w:val="90"/>
          <w:sz w:val="18"/>
        </w:rPr>
        <w:t> </w:t>
      </w:r>
      <w:r>
        <w:rPr>
          <w:spacing w:val="-1"/>
          <w:w w:val="90"/>
          <w:sz w:val="18"/>
        </w:rPr>
        <w:t>Poinsot</w:t>
      </w:r>
      <w:r>
        <w:rPr>
          <w:spacing w:val="-8"/>
          <w:w w:val="90"/>
          <w:sz w:val="18"/>
        </w:rPr>
        <w:t> </w:t>
      </w:r>
      <w:r>
        <w:rPr>
          <w:spacing w:val="-1"/>
          <w:w w:val="90"/>
          <w:sz w:val="18"/>
        </w:rPr>
        <w:t>-</w:t>
      </w:r>
      <w:r>
        <w:rPr>
          <w:spacing w:val="-6"/>
          <w:w w:val="90"/>
          <w:sz w:val="18"/>
        </w:rPr>
        <w:t> </w:t>
      </w:r>
      <w:hyperlink r:id="rId11">
        <w:r>
          <w:rPr>
            <w:spacing w:val="-1"/>
            <w:w w:val="90"/>
            <w:sz w:val="18"/>
            <w:u w:val="single"/>
          </w:rPr>
          <w:t>lpoinsot@image7.fr</w:t>
        </w:r>
        <w:r>
          <w:rPr>
            <w:spacing w:val="-6"/>
            <w:w w:val="90"/>
            <w:sz w:val="18"/>
          </w:rPr>
          <w:t> </w:t>
        </w:r>
      </w:hyperlink>
      <w:r>
        <w:rPr>
          <w:w w:val="90"/>
          <w:sz w:val="18"/>
        </w:rPr>
        <w:t>-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Tél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: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+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33(0)6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80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11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73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52</w:t>
      </w:r>
    </w:p>
    <w:p>
      <w:pPr>
        <w:spacing w:before="122"/>
        <w:ind w:left="197" w:right="200" w:firstLine="0"/>
        <w:jc w:val="center"/>
        <w:rPr>
          <w:sz w:val="18"/>
        </w:rPr>
      </w:pPr>
      <w:r>
        <w:rPr>
          <w:w w:val="90"/>
          <w:sz w:val="18"/>
        </w:rPr>
        <w:t>Franck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Pasquier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-</w:t>
      </w:r>
      <w:r>
        <w:rPr>
          <w:spacing w:val="-6"/>
          <w:w w:val="90"/>
          <w:sz w:val="18"/>
        </w:rPr>
        <w:t> </w:t>
      </w:r>
      <w:hyperlink r:id="rId12">
        <w:r>
          <w:rPr>
            <w:w w:val="90"/>
            <w:sz w:val="18"/>
            <w:u w:val="single"/>
          </w:rPr>
          <w:t>fpasquier@image7.fr</w:t>
        </w:r>
        <w:r>
          <w:rPr>
            <w:spacing w:val="-6"/>
            <w:w w:val="90"/>
            <w:sz w:val="18"/>
          </w:rPr>
          <w:t> </w:t>
        </w:r>
      </w:hyperlink>
      <w:r>
        <w:rPr>
          <w:w w:val="90"/>
          <w:sz w:val="18"/>
        </w:rPr>
        <w:t>-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Tél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: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+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33(0)6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73</w:t>
      </w:r>
      <w:r>
        <w:rPr>
          <w:spacing w:val="-4"/>
          <w:w w:val="90"/>
          <w:sz w:val="18"/>
        </w:rPr>
        <w:t> </w:t>
      </w:r>
      <w:r>
        <w:rPr>
          <w:w w:val="90"/>
          <w:sz w:val="18"/>
        </w:rPr>
        <w:t>62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57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99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spacing w:before="0"/>
        <w:ind w:left="144" w:right="0" w:firstLine="0"/>
        <w:jc w:val="left"/>
        <w:rPr>
          <w:rFonts w:ascii="Tahoma" w:hAnsi="Tahoma"/>
          <w:b/>
          <w:sz w:val="20"/>
        </w:rPr>
      </w:pPr>
      <w:r>
        <w:rPr>
          <w:w w:val="95"/>
          <w:sz w:val="20"/>
        </w:rPr>
        <w:t>Mardi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17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octobre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2023</w:t>
      </w:r>
      <w:r>
        <w:rPr>
          <w:spacing w:val="-6"/>
          <w:w w:val="95"/>
          <w:sz w:val="20"/>
        </w:rPr>
        <w:t> </w:t>
      </w:r>
      <w:r>
        <w:rPr>
          <w:b/>
          <w:color w:val="3CA05A"/>
          <w:w w:val="95"/>
          <w:sz w:val="20"/>
        </w:rPr>
        <w:t>▪</w:t>
      </w:r>
      <w:r>
        <w:rPr>
          <w:b/>
          <w:color w:val="3CA05A"/>
          <w:spacing w:val="-4"/>
          <w:w w:val="95"/>
          <w:sz w:val="20"/>
        </w:rPr>
        <w:t> </w:t>
      </w:r>
      <w:r>
        <w:rPr>
          <w:rFonts w:ascii="Tahoma" w:hAnsi="Tahoma"/>
          <w:b/>
          <w:color w:val="3CA05A"/>
          <w:w w:val="95"/>
          <w:sz w:val="20"/>
        </w:rPr>
        <w:t>2</w:t>
      </w:r>
    </w:p>
    <w:sectPr>
      <w:pgSz w:w="11910" w:h="16840"/>
      <w:pgMar w:top="1200" w:bottom="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"/>
      <w:lvlJc w:val="left"/>
      <w:pPr>
        <w:ind w:left="832" w:hanging="360"/>
      </w:pPr>
      <w:rPr>
        <w:rFonts w:hint="default" w:ascii="Symbol" w:hAnsi="Symbol" w:eastAsia="Symbol" w:cs="Symbol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742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64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547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45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35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255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158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061" w:hanging="36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98" w:right="200"/>
      <w:jc w:val="center"/>
    </w:pPr>
    <w:rPr>
      <w:rFonts w:ascii="Arial" w:hAnsi="Arial" w:eastAsia="Arial" w:cs="Arial"/>
      <w:b/>
      <w:bCs/>
      <w:sz w:val="28"/>
      <w:szCs w:val="28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832" w:right="111" w:hanging="360"/>
    </w:pPr>
    <w:rPr>
      <w:rFonts w:ascii="Verdana" w:hAnsi="Verdana" w:eastAsia="Verdana" w:cs="Verdana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cwelton.exterieur@groupe-casino.fr" TargetMode="External"/><Relationship Id="rId7" Type="http://schemas.openxmlformats.org/officeDocument/2006/relationships/hyperlink" Target="mailto:IR_Casino@groupe-casino.fr" TargetMode="External"/><Relationship Id="rId8" Type="http://schemas.openxmlformats.org/officeDocument/2006/relationships/hyperlink" Target="mailto:nboudot@groupe-casino.fr" TargetMode="External"/><Relationship Id="rId9" Type="http://schemas.openxmlformats.org/officeDocument/2006/relationships/hyperlink" Target="mailto:directiondelacommunication@groupe-casino.fr" TargetMode="External"/><Relationship Id="rId10" Type="http://schemas.openxmlformats.org/officeDocument/2006/relationships/hyperlink" Target="mailto:kallouis@image7.fr" TargetMode="External"/><Relationship Id="rId11" Type="http://schemas.openxmlformats.org/officeDocument/2006/relationships/hyperlink" Target="mailto:lpoinsot@image7.fr" TargetMode="External"/><Relationship Id="rId12" Type="http://schemas.openxmlformats.org/officeDocument/2006/relationships/hyperlink" Target="mailto:fpasquier@image7.fr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gressel</dc:creator>
  <dcterms:created xsi:type="dcterms:W3CDTF">2023-12-04T15:10:13Z</dcterms:created>
  <dcterms:modified xsi:type="dcterms:W3CDTF">2023-12-04T15:10:13Z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Acrobat PDFMaker 23 pour Word</vt:lpwstr>
  </property>
  <property fmtid="{D5CDD505-2E9C-101B-9397-08002B2CF9AE}" pid="4" name="LastSaved">
    <vt:filetime>2023-12-04T00:00:00Z</vt:filetime>
  </property>
</Properties>
</file>