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Partnership Agreement</w:t>
      </w:r>
    </w:p>
    <w:p>
      <w:pPr>
        <w:spacing w:after="80"/>
      </w:pPr>
      <w:r>
        <w:rPr>
          <w:b/>
          <w:bCs/>
          <w:color w:val="1F6F78"/>
          <w:sz w:val="22"/>
          <w:szCs w:val="22"/>
        </w:rPr>
        <w:t xml:space="preserve">Samui AI Concierge — Investor &amp; Operator</w:t>
      </w:r>
    </w:p>
    <w:p>
      <w:pPr>
        <w:pBdr>
          <w:bottom w:val="single" w:color="1F6F78" w:sz="10" w:space="6"/>
        </w:pBdr>
        <w:spacing w:after="200"/>
      </w:pPr>
      <w:r>
        <w:t xml:space="preserve"/>
      </w:r>
    </w:p>
    <w:p>
      <w:pPr>
        <w:spacing w:after="120" w:line="264"/>
      </w:pPr>
      <w:r>
        <w:rPr>
          <w:i/>
          <w:iCs/>
          <w:color w:val="555555"/>
        </w:rPr>
        <w:t xml:space="preserve">This Partnership Agreement is made on [date] at Koh Samui, Surat Thani, Thailand, between the Parties identified below.</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3000"/>
        <w:gridCol w:w="6360"/>
      </w:tblGrid>
      <w:tr>
        <w:tc>
          <w:tcPr>
            <w:tcW w:type="dxa" w:w="3000"/>
            <w:shd w:fill="F2F7F7" w:val="clear"/>
            <w:tcMar>
              <w:top w:type="dxa" w:w="60"/>
              <w:left w:type="dxa" w:w="120"/>
              <w:bottom w:type="dxa" w:w="60"/>
              <w:right w:type="dxa" w:w="120"/>
            </w:tcMar>
          </w:tcPr>
          <w:p>
            <w:r>
              <w:rPr>
                <w:b/>
                <w:bCs/>
                <w:sz w:val="20"/>
                <w:szCs w:val="20"/>
              </w:rPr>
              <w:t xml:space="preserve">Operator</w:t>
            </w:r>
          </w:p>
        </w:tc>
        <w:tc>
          <w:tcPr>
            <w:tcW w:type="dxa" w:w="6360"/>
            <w:tcMar>
              <w:top w:type="dxa" w:w="60"/>
              <w:left w:type="dxa" w:w="120"/>
              <w:bottom w:type="dxa" w:w="60"/>
              <w:right w:type="dxa" w:w="120"/>
            </w:tcMar>
          </w:tcPr>
          <w:p>
            <w:r>
              <w:rPr>
                <w:i w:val="false"/>
                <w:iCs w:val="false"/>
                <w:color w:val="111111"/>
                <w:sz w:val="20"/>
                <w:szCs w:val="20"/>
              </w:rPr>
              <w:t xml:space="preserve">Cyril [surname], passport / ID [____], address [____], Koh Samui — +66 63 375 3316 — [email] (the “Operator”)</w:t>
            </w:r>
          </w:p>
        </w:tc>
      </w:tr>
      <w:tr>
        <w:tc>
          <w:tcPr>
            <w:tcW w:type="dxa" w:w="3000"/>
            <w:shd w:fill="F2F7F7" w:val="clear"/>
            <w:tcMar>
              <w:top w:type="dxa" w:w="60"/>
              <w:left w:type="dxa" w:w="120"/>
              <w:bottom w:type="dxa" w:w="60"/>
              <w:right w:type="dxa" w:w="120"/>
            </w:tcMar>
          </w:tcPr>
          <w:p>
            <w:r>
              <w:rPr>
                <w:b/>
                <w:bCs/>
                <w:sz w:val="20"/>
                <w:szCs w:val="20"/>
              </w:rPr>
              <w:t xml:space="preserve">Investor</w:t>
            </w:r>
          </w:p>
        </w:tc>
        <w:tc>
          <w:tcPr>
            <w:tcW w:type="dxa" w:w="6360"/>
            <w:tcMar>
              <w:top w:type="dxa" w:w="60"/>
              <w:left w:type="dxa" w:w="120"/>
              <w:bottom w:type="dxa" w:w="60"/>
              <w:right w:type="dxa" w:w="120"/>
            </w:tcMar>
          </w:tcPr>
          <w:p>
            <w:r>
              <w:rPr>
                <w:i/>
                <w:iCs/>
                <w:color w:val="555555"/>
                <w:sz w:val="20"/>
                <w:szCs w:val="20"/>
              </w:rPr>
              <w:t xml:space="preserve">[Full name], passport / ID [____], address [____], [email] (the “Investor”)</w:t>
            </w:r>
          </w:p>
        </w:tc>
      </w:tr>
      <w:tr>
        <w:tc>
          <w:tcPr>
            <w:tcW w:type="dxa" w:w="3000"/>
            <w:shd w:fill="F2F7F7" w:val="clear"/>
            <w:tcMar>
              <w:top w:type="dxa" w:w="60"/>
              <w:left w:type="dxa" w:w="120"/>
              <w:bottom w:type="dxa" w:w="60"/>
              <w:right w:type="dxa" w:w="120"/>
            </w:tcMar>
          </w:tcPr>
          <w:p>
            <w:r>
              <w:rPr>
                <w:b/>
                <w:bCs/>
                <w:sz w:val="20"/>
                <w:szCs w:val="20"/>
              </w:rPr>
              <w:t xml:space="preserve">The Project</w:t>
            </w:r>
          </w:p>
        </w:tc>
        <w:tc>
          <w:tcPr>
            <w:tcW w:type="dxa" w:w="6360"/>
            <w:tcMar>
              <w:top w:type="dxa" w:w="60"/>
              <w:left w:type="dxa" w:w="120"/>
              <w:bottom w:type="dxa" w:w="60"/>
              <w:right w:type="dxa" w:w="120"/>
            </w:tcMar>
          </w:tcPr>
          <w:p>
            <w:r>
              <w:rPr>
                <w:i w:val="false"/>
                <w:iCs w:val="false"/>
                <w:color w:val="111111"/>
                <w:sz w:val="20"/>
                <w:szCs w:val="20"/>
              </w:rPr>
              <w:t xml:space="preserve">“Samui AI Concierge” — an AI-powered local travel-concierge assistant for Koh Samui, including its software, brand, content, partner network and related services (the “Business”).</w:t>
            </w:r>
          </w:p>
        </w:tc>
      </w:tr>
    </w:tbl>
    <w:p>
      <w:pPr>
        <w:spacing w:after="120" w:line="264"/>
      </w:pPr>
      <w:r>
        <w:t xml:space="preserve"/>
      </w:r>
    </w:p>
    <w:p>
      <w:pPr>
        <w:pStyle w:val="Heading1"/>
      </w:pPr>
      <w:r>
        <w:t xml:space="preserve">1. Purpose of the agreement</w:t>
      </w:r>
    </w:p>
    <w:p>
      <w:pPr>
        <w:pStyle w:val="ListParagraph"/>
        <w:numPr>
          <w:ilvl w:val="0"/>
          <w:numId w:val="2"/>
        </w:numPr>
        <w:spacing w:after="60" w:before="140"/>
      </w:pPr>
      <w:r>
        <w:rPr>
          <w:b/>
          <w:bCs/>
        </w:rPr>
        <w:t xml:space="preserve">The venture</w:t>
      </w:r>
    </w:p>
    <w:p>
      <w:pPr>
        <w:spacing w:after="120" w:line="264"/>
      </w:pPr>
      <w:r>
        <w:t xml:space="preserve">The Parties agree to work together to develop and grow the Business. The Operator runs the Business day to day; the Investor provides capital. This Agreement sets out their contributions, ownership, share of profits, roles and what happens on exit or disagreement.</w:t>
      </w:r>
    </w:p>
    <w:p>
      <w:pPr>
        <w:pStyle w:val="ListParagraph"/>
        <w:numPr>
          <w:ilvl w:val="0"/>
          <w:numId w:val="2"/>
        </w:numPr>
        <w:spacing w:after="60" w:before="140"/>
      </w:pPr>
      <w:r>
        <w:rPr>
          <w:b/>
          <w:bCs/>
        </w:rPr>
        <w:t xml:space="preserve">Relationship</w:t>
      </w:r>
    </w:p>
    <w:p>
      <w:pPr>
        <w:spacing w:after="120" w:line="264"/>
      </w:pPr>
      <w:r>
        <w:t xml:space="preserve">The Parties act in good faith and in the best interest of the Business. Unless and until they incorporate a company (Clause 12), this is a contractual partnership between two individuals and does not, by itself, create a separate legal entity.</w:t>
      </w:r>
    </w:p>
    <w:p>
      <w:pPr>
        <w:pStyle w:val="Heading1"/>
      </w:pPr>
      <w:r>
        <w:t xml:space="preserve">2. Contributions</w:t>
      </w:r>
    </w:p>
    <w:p>
      <w:pPr>
        <w:pStyle w:val="ListParagraph"/>
        <w:numPr>
          <w:ilvl w:val="0"/>
          <w:numId w:val="2"/>
        </w:numPr>
        <w:spacing w:after="60" w:before="140"/>
      </w:pPr>
      <w:r>
        <w:rPr>
          <w:b/>
          <w:bCs/>
        </w:rPr>
        <w:t xml:space="preserve">Investor contribution</w:t>
      </w:r>
    </w:p>
    <w:p>
      <w:pPr>
        <w:spacing w:after="120" w:line="264"/>
      </w:pPr>
      <w:r>
        <w:rPr>
          <w:i/>
          <w:iCs/>
          <w:color w:val="555555"/>
        </w:rPr>
        <w:t xml:space="preserve">The Investor contributes capital of [____] THB (the “Investment”), paid as follows: [e.g. [____] THB on signing; [____] THB on [milestone/date]].</w:t>
      </w:r>
    </w:p>
    <w:p>
      <w:pPr>
        <w:spacing w:after="120" w:line="264"/>
      </w:pPr>
      <w:r>
        <w:t xml:space="preserve">The Investment is used only for the Business as set out in the agreed budget (Clause 5). The Investment is an equity contribution, not a loan, unless the Parties agree otherwise in writing in Clause 4.</w:t>
      </w:r>
    </w:p>
    <w:p>
      <w:pPr>
        <w:pStyle w:val="ListParagraph"/>
        <w:numPr>
          <w:ilvl w:val="0"/>
          <w:numId w:val="2"/>
        </w:numPr>
        <w:spacing w:after="60" w:before="140"/>
      </w:pPr>
      <w:r>
        <w:rPr>
          <w:b/>
          <w:bCs/>
        </w:rPr>
        <w:t xml:space="preserve">Operator contribution</w:t>
      </w:r>
    </w:p>
    <w:p>
      <w:pPr>
        <w:spacing w:after="120" w:line="264"/>
      </w:pPr>
      <w:r>
        <w:t xml:space="preserve">The Operator contributes the existing Project (concept, brand, content, partner relationships and work done to date), full-time operational work, local knowledge and management of the Business (“Sweat Equity”).</w:t>
      </w:r>
    </w:p>
    <w:p>
      <w:pPr>
        <w:spacing w:after="120" w:line="264"/>
      </w:pPr>
      <w:r>
        <w:rPr>
          <w:i/>
          <w:iCs/>
          <w:color w:val="555555"/>
        </w:rPr>
        <w:t xml:space="preserve">Any existing intellectual property of the Project is contributed to the Business and treated under Clause 9. The Parties value the Operator’s contribution at [____] for the purpose of the ownership split below.</w:t>
      </w:r>
    </w:p>
    <w:p>
      <w:pPr>
        <w:pStyle w:val="Heading1"/>
      </w:pPr>
      <w:r>
        <w:t xml:space="preserve">3. Ownership and profit share</w:t>
      </w:r>
    </w:p>
    <w:p>
      <w:pPr>
        <w:pStyle w:val="ListParagraph"/>
        <w:numPr>
          <w:ilvl w:val="0"/>
          <w:numId w:val="2"/>
        </w:numPr>
        <w:spacing w:after="60" w:before="140"/>
      </w:pPr>
      <w:r>
        <w:rPr>
          <w:b/>
          <w:bCs/>
        </w:rPr>
        <w:t xml:space="preserve">Ownership</w:t>
      </w:r>
    </w:p>
    <w:p>
      <w:pPr>
        <w:spacing w:after="120" w:line="264"/>
      </w:pPr>
      <w:r>
        <w:rPr>
          <w:i/>
          <w:iCs/>
          <w:color w:val="555555"/>
        </w:rPr>
        <w:t xml:space="preserve">The Business is owned: Operator [__]% and Investor [__]% (the “Interests”). These percentages apply to ownership, profit and, if a company is formed, shares.</w:t>
      </w:r>
    </w:p>
    <w:p>
      <w:pPr>
        <w:pStyle w:val="ListParagraph"/>
        <w:numPr>
          <w:ilvl w:val="0"/>
          <w:numId w:val="2"/>
        </w:numPr>
        <w:spacing w:after="60" w:before="140"/>
      </w:pPr>
      <w:r>
        <w:rPr>
          <w:b/>
          <w:bCs/>
        </w:rPr>
        <w:t xml:space="preserve">Profit distribution</w:t>
      </w:r>
    </w:p>
    <w:p>
      <w:pPr>
        <w:pStyle w:val="ListParagraph"/>
        <w:numPr>
          <w:ilvl w:val="0"/>
          <w:numId w:val="3"/>
        </w:numPr>
        <w:spacing w:after="60" w:line="264"/>
      </w:pPr>
      <w:r>
        <w:t xml:space="preserve">Net profit is calculated after all costs, the Operator’s agreed compensation (Clause 6) and an agreed cash reserve.</w:t>
      </w:r>
    </w:p>
    <w:p>
      <w:pPr>
        <w:pStyle w:val="ListParagraph"/>
        <w:numPr>
          <w:ilvl w:val="0"/>
          <w:numId w:val="3"/>
        </w:numPr>
        <w:spacing w:after="60" w:line="264"/>
      </w:pPr>
      <w:r/>
    </w:p>
    <w:p>
      <w:pPr>
        <w:pStyle w:val="ListParagraph"/>
        <w:numPr>
          <w:ilvl w:val="0"/>
          <w:numId w:val="3"/>
        </w:numPr>
        <w:spacing w:after="60" w:line="264"/>
      </w:pPr>
      <w:r>
        <w:t xml:space="preserve">Losses are borne in the same proportion, but the Investor’s financial exposure is limited to the Investment unless it agrees in writing to contribute more.</w:t>
      </w:r>
    </w:p>
    <w:p>
      <w:pPr>
        <w:pStyle w:val="Heading1"/>
      </w:pPr>
      <w:r>
        <w:t xml:space="preserve">4. Investor return option</w:t>
      </w:r>
    </w:p>
    <w:p>
      <w:pPr>
        <w:spacing w:after="120" w:line="264"/>
      </w:pPr>
      <w:r>
        <w:rPr>
          <w:i/>
          <w:iCs/>
          <w:color w:val="555555"/>
        </w:rPr>
        <w:t xml:space="preserve">The Parties choose ONE of the following (delete the other before signing): (a) Pure equity — the Investor’s return comes only from its share of profit and any sale of the Business; or (b) Preferred return — before profit is split, the Investor is first repaid the Investment over [____] months / from [__]% of net profit, after which normal profit-sharing applies.</w:t>
      </w:r>
    </w:p>
    <w:p>
      <w:pPr>
        <w:pStyle w:val="Heading1"/>
      </w:pPr>
      <w:r>
        <w:t xml:space="preserve">5. Use of funds and budget</w:t>
      </w:r>
    </w:p>
    <w:p>
      <w:pPr>
        <w:pStyle w:val="ListParagraph"/>
        <w:numPr>
          <w:ilvl w:val="0"/>
          <w:numId w:val="4"/>
        </w:numPr>
        <w:spacing w:after="60" w:line="264"/>
      </w:pPr>
      <w:r>
        <w:t xml:space="preserve">The Investment is spent according to a written budget agreed by both Parties (e.g. development, APIs, hosting, marketing, legal/admin, working capital).</w:t>
      </w:r>
    </w:p>
    <w:p>
      <w:pPr>
        <w:pStyle w:val="ListParagraph"/>
        <w:numPr>
          <w:ilvl w:val="0"/>
          <w:numId w:val="4"/>
        </w:numPr>
        <w:spacing w:after="60" w:line="264"/>
      </w:pPr>
      <w:r>
        <w:t xml:space="preserve">The Operator keeps the Business funds in a dedicated account and does not mix them with personal funds.</w:t>
      </w:r>
    </w:p>
    <w:p>
      <w:pPr>
        <w:pStyle w:val="ListParagraph"/>
        <w:numPr>
          <w:ilvl w:val="0"/>
          <w:numId w:val="4"/>
        </w:numPr>
        <w:spacing w:after="60" w:line="264"/>
      </w:pPr>
      <w:r>
        <w:t xml:space="preserve">Spending above [an agreed threshold] outside the budget needs the Investor’s prior written approval.</w:t>
      </w:r>
    </w:p>
    <w:p>
      <w:pPr>
        <w:pStyle w:val="Heading1"/>
      </w:pPr>
      <w:r>
        <w:t xml:space="preserve">6. Roles and decisions</w:t>
      </w:r>
    </w:p>
    <w:p>
      <w:pPr>
        <w:pStyle w:val="ListParagraph"/>
        <w:numPr>
          <w:ilvl w:val="0"/>
          <w:numId w:val="2"/>
        </w:numPr>
        <w:spacing w:after="60" w:before="140"/>
      </w:pPr>
      <w:r>
        <w:rPr>
          <w:b/>
          <w:bCs/>
        </w:rPr>
        <w:t xml:space="preserve">Operator (day-to-day)</w:t>
      </w:r>
    </w:p>
    <w:p>
      <w:pPr>
        <w:spacing w:after="120" w:line="264"/>
      </w:pPr>
      <w:r>
        <w:t xml:space="preserve">The Operator manages operations, partnerships (hotels, suppliers), product, content, marketing, customer relations, hiring of contractors and routine spending within budget, and provides regular updates to the Investor.</w:t>
      </w:r>
    </w:p>
    <w:p>
      <w:pPr>
        <w:pStyle w:val="ListParagraph"/>
        <w:numPr>
          <w:ilvl w:val="0"/>
          <w:numId w:val="2"/>
        </w:numPr>
        <w:spacing w:after="60" w:before="140"/>
      </w:pPr>
      <w:r>
        <w:rPr>
          <w:b/>
          <w:bCs/>
        </w:rPr>
        <w:t xml:space="preserve">Investor (passive)</w:t>
      </w:r>
    </w:p>
    <w:p>
      <w:pPr>
        <w:spacing w:after="120" w:line="264"/>
      </w:pPr>
      <w:r>
        <w:t xml:space="preserve">The Investor is a passive partner: it does not manage the Business day to day, but receives information and votes on the Reserved Matters below.</w:t>
      </w:r>
    </w:p>
    <w:p>
      <w:pPr>
        <w:pStyle w:val="ListParagraph"/>
        <w:numPr>
          <w:ilvl w:val="0"/>
          <w:numId w:val="2"/>
        </w:numPr>
        <w:spacing w:after="60" w:before="140"/>
      </w:pPr>
      <w:r>
        <w:rPr>
          <w:b/>
          <w:bCs/>
        </w:rPr>
        <w:t xml:space="preserve">Reserved matters (need both Parties’ approval)</w:t>
      </w:r>
    </w:p>
    <w:p>
      <w:pPr>
        <w:pStyle w:val="ListParagraph"/>
        <w:numPr>
          <w:ilvl w:val="0"/>
          <w:numId w:val="4"/>
        </w:numPr>
        <w:spacing w:after="60" w:line="264"/>
      </w:pPr>
      <w:r>
        <w:t xml:space="preserve">Selling, closing or merging the Business, or selling substantially all its assets.</w:t>
      </w:r>
    </w:p>
    <w:p>
      <w:pPr>
        <w:pStyle w:val="ListParagraph"/>
        <w:numPr>
          <w:ilvl w:val="0"/>
          <w:numId w:val="4"/>
        </w:numPr>
        <w:spacing w:after="60" w:line="264"/>
      </w:pPr>
      <w:r>
        <w:t xml:space="preserve">Taking on debt, giving guarantees, or raising new investment that changes the ownership split.</w:t>
      </w:r>
    </w:p>
    <w:p>
      <w:pPr>
        <w:pStyle w:val="ListParagraph"/>
        <w:numPr>
          <w:ilvl w:val="0"/>
          <w:numId w:val="4"/>
        </w:numPr>
        <w:spacing w:after="60" w:line="264"/>
      </w:pPr>
      <w:r>
        <w:t xml:space="preserve">Bringing in a new partner or transferring an Interest (subject to Clause 8).</w:t>
      </w:r>
    </w:p>
    <w:p>
      <w:pPr>
        <w:pStyle w:val="ListParagraph"/>
        <w:numPr>
          <w:ilvl w:val="0"/>
          <w:numId w:val="4"/>
        </w:numPr>
        <w:spacing w:after="60" w:line="264"/>
      </w:pPr>
      <w:r>
        <w:t xml:space="preserve">Changing the budget materially, or distributions; spending above the agreed threshold.</w:t>
      </w:r>
    </w:p>
    <w:p>
      <w:pPr>
        <w:pStyle w:val="ListParagraph"/>
        <w:numPr>
          <w:ilvl w:val="0"/>
          <w:numId w:val="4"/>
        </w:numPr>
        <w:spacing w:after="60" w:line="264"/>
      </w:pPr>
      <w:r>
        <w:t xml:space="preserve">Changing this Agreement or incorporating a company.</w:t>
      </w:r>
    </w:p>
    <w:p>
      <w:pPr>
        <w:pStyle w:val="Heading1"/>
      </w:pPr>
      <w:r>
        <w:t xml:space="preserve">7. Reporting and accounts</w:t>
      </w:r>
    </w:p>
    <w:p>
      <w:pPr>
        <w:pStyle w:val="ListParagraph"/>
        <w:numPr>
          <w:ilvl w:val="0"/>
          <w:numId w:val="4"/>
        </w:numPr>
        <w:spacing w:after="60" w:line="264"/>
      </w:pPr>
      <w:r>
        <w:t xml:space="preserve">The Operator keeps proper books and records of income, costs and the use of the Investment.</w:t>
      </w:r>
    </w:p>
    <w:p>
      <w:pPr>
        <w:pStyle w:val="ListParagraph"/>
        <w:numPr>
          <w:ilvl w:val="0"/>
          <w:numId w:val="4"/>
        </w:numPr>
        <w:spacing w:after="60" w:line="264"/>
      </w:pPr>
      <w:r>
        <w:t xml:space="preserve">The Operator provides the Investor with a simple report [monthly] and access to the accounts on reasonable request.</w:t>
      </w:r>
    </w:p>
    <w:p>
      <w:pPr>
        <w:pStyle w:val="ListParagraph"/>
        <w:numPr>
          <w:ilvl w:val="0"/>
          <w:numId w:val="4"/>
        </w:numPr>
        <w:spacing w:after="60" w:line="264"/>
      </w:pPr>
      <w:r>
        <w:t xml:space="preserve">Either Party may ask for an independent review of the accounts, at the cost of the Party requesting it, unless a material error is found.</w:t>
      </w:r>
    </w:p>
    <w:p>
      <w:pPr>
        <w:pStyle w:val="Heading1"/>
      </w:pPr>
      <w:r>
        <w:t xml:space="preserve">8. Transfer of interest</w:t>
      </w:r>
    </w:p>
    <w:p>
      <w:pPr>
        <w:pStyle w:val="ListParagraph"/>
        <w:numPr>
          <w:ilvl w:val="0"/>
          <w:numId w:val="2"/>
        </w:numPr>
        <w:spacing w:after="60" w:before="140"/>
      </w:pPr>
      <w:r>
        <w:rPr>
          <w:b/>
          <w:bCs/>
        </w:rPr>
        <w:t xml:space="preserve">Restriction</w:t>
      </w:r>
    </w:p>
    <w:p>
      <w:pPr>
        <w:spacing w:after="120" w:line="264"/>
      </w:pPr>
      <w:r>
        <w:t xml:space="preserve">Neither Party may sell, pledge or transfer all or part of its Interest without first offering it to the other Party on the same terms (right of first refusal), with at least [30] days to respond.</w:t>
      </w:r>
    </w:p>
    <w:p>
      <w:pPr>
        <w:pStyle w:val="ListParagraph"/>
        <w:numPr>
          <w:ilvl w:val="0"/>
          <w:numId w:val="2"/>
        </w:numPr>
        <w:spacing w:after="60" w:before="140"/>
      </w:pPr>
      <w:r>
        <w:rPr>
          <w:b/>
          <w:bCs/>
        </w:rPr>
        <w:t xml:space="preserve">Change of control / death</w:t>
      </w:r>
    </w:p>
    <w:p>
      <w:pPr>
        <w:spacing w:after="120" w:line="264"/>
      </w:pPr>
      <w:r>
        <w:rPr>
          <w:i/>
          <w:iCs/>
          <w:color w:val="555555"/>
        </w:rPr>
        <w:t xml:space="preserve">On the death or long-term incapacity of a Party, the other Party may buy that Party’s Interest at fair value (Clause 10). The Parties should keep this in mind in their personal/estate arrangements.</w:t>
      </w:r>
    </w:p>
    <w:p>
      <w:pPr>
        <w:pStyle w:val="Heading1"/>
      </w:pPr>
      <w:r>
        <w:t xml:space="preserve">9. Intellectual property</w:t>
      </w:r>
    </w:p>
    <w:p>
      <w:pPr>
        <w:spacing w:after="120" w:line="264"/>
      </w:pPr>
      <w:r>
        <w:t xml:space="preserve">All intellectual property created for the Business — software, code, prompts, brand “Samui AI Concierge”, content, data and partner lists — belongs to the Business and is held for the benefit of both Parties in proportion to their Interests. The Operator manages and protects this IP. No Party may use the Business IP for a competing project without the other’s written consent.</w:t>
      </w:r>
    </w:p>
    <w:p>
      <w:pPr>
        <w:pStyle w:val="Heading1"/>
      </w:pPr>
      <w:r>
        <w:t xml:space="preserve">10. Valuation and buy-out</w:t>
      </w:r>
    </w:p>
    <w:p>
      <w:pPr>
        <w:pStyle w:val="ListParagraph"/>
        <w:numPr>
          <w:ilvl w:val="0"/>
          <w:numId w:val="2"/>
        </w:numPr>
        <w:spacing w:after="60" w:before="140"/>
      </w:pPr>
      <w:r>
        <w:rPr>
          <w:b/>
          <w:bCs/>
        </w:rPr>
        <w:t xml:space="preserve">Fair value</w:t>
      </w:r>
    </w:p>
    <w:p>
      <w:pPr>
        <w:spacing w:after="120" w:line="264"/>
      </w:pPr>
      <w:r>
        <w:rPr>
          <w:i/>
          <w:iCs/>
          <w:color w:val="555555"/>
        </w:rPr>
        <w:t xml:space="preserve">Where this Agreement requires a buy-out, the price is the fair value of the relevant Interest, agreed by the Parties or, failing agreement, set by an independent valuer (e.g. an accountant) appointed jointly; their valuation is final. A simple method may be agreed in advance, e.g. [__]× average annual net profit, or [__]× annual recurring revenue.</w:t>
      </w:r>
    </w:p>
    <w:p>
      <w:pPr>
        <w:pStyle w:val="ListParagraph"/>
        <w:numPr>
          <w:ilvl w:val="0"/>
          <w:numId w:val="2"/>
        </w:numPr>
        <w:spacing w:after="60" w:before="140"/>
      </w:pPr>
      <w:r>
        <w:rPr>
          <w:b/>
          <w:bCs/>
        </w:rPr>
        <w:t xml:space="preserve">Payment</w:t>
      </w:r>
    </w:p>
    <w:p>
      <w:pPr>
        <w:spacing w:after="120" w:line="264"/>
      </w:pPr>
      <w:r>
        <w:rPr>
          <w:i/>
          <w:iCs/>
          <w:color w:val="555555"/>
        </w:rPr>
        <w:t xml:space="preserve">The buy-out price is paid in [a lump sum / instalments over [__] months]. On full payment, the selling Party transfers its Interest and stops using the Business IP.</w:t>
      </w:r>
    </w:p>
    <w:p>
      <w:pPr>
        <w:pStyle w:val="Heading1"/>
      </w:pPr>
      <w:r>
        <w:t xml:space="preserve">11. Term, withdrawal and default</w:t>
      </w:r>
    </w:p>
    <w:p>
      <w:pPr>
        <w:pStyle w:val="ListParagraph"/>
        <w:numPr>
          <w:ilvl w:val="0"/>
          <w:numId w:val="2"/>
        </w:numPr>
        <w:spacing w:after="60" w:before="140"/>
      </w:pPr>
      <w:r>
        <w:rPr>
          <w:b/>
          <w:bCs/>
        </w:rPr>
        <w:t xml:space="preserve">Term</w:t>
      </w:r>
    </w:p>
    <w:p>
      <w:pPr>
        <w:spacing w:after="120" w:line="264"/>
      </w:pPr>
      <w:r>
        <w:t xml:space="preserve">This Agreement starts on the date above and continues until the Business is sold, wound up, or the Parties agree to end it.</w:t>
      </w:r>
    </w:p>
    <w:p>
      <w:pPr>
        <w:pStyle w:val="ListParagraph"/>
        <w:numPr>
          <w:ilvl w:val="0"/>
          <w:numId w:val="2"/>
        </w:numPr>
        <w:spacing w:after="60" w:before="140"/>
      </w:pPr>
      <w:r>
        <w:rPr>
          <w:b/>
          <w:bCs/>
        </w:rPr>
        <w:t xml:space="preserve">Voluntary withdrawal</w:t>
      </w:r>
    </w:p>
    <w:p>
      <w:pPr>
        <w:spacing w:after="120" w:line="264"/>
      </w:pPr>
      <w:r>
        <w:rPr>
          <w:i/>
          <w:iCs/>
          <w:color w:val="555555"/>
        </w:rPr>
        <w:t xml:space="preserve">A Party wishing to leave gives [60] days’ written notice. The remaining Party may buy the leaving Party’s Interest under Clause 10, or the Parties may sell or wind up the Business and split proceeds by Interest.</w:t>
      </w:r>
    </w:p>
    <w:p>
      <w:pPr>
        <w:pStyle w:val="ListParagraph"/>
        <w:numPr>
          <w:ilvl w:val="0"/>
          <w:numId w:val="2"/>
        </w:numPr>
        <w:spacing w:after="60" w:before="140"/>
      </w:pPr>
      <w:r>
        <w:rPr>
          <w:b/>
          <w:bCs/>
        </w:rPr>
        <w:t xml:space="preserve">Default</w:t>
      </w:r>
    </w:p>
    <w:p>
      <w:pPr>
        <w:spacing w:after="120" w:line="264"/>
      </w:pPr>
      <w:r>
        <w:t xml:space="preserve">If a Party seriously breaches this Agreement (e.g. misuse of funds, fraud, abandoning the Business, breach of IP/confidentiality) and does not fix it within [15] days of written notice, the other Party may buy that Party’s Interest at fair value less any proven loss, or seek other remedies under Thai law.</w:t>
      </w:r>
    </w:p>
    <w:p>
      <w:pPr>
        <w:pStyle w:val="Heading1"/>
      </w:pPr>
      <w:r>
        <w:t xml:space="preserve">12. Incorporating a company</w:t>
      </w:r>
    </w:p>
    <w:p>
      <w:pPr>
        <w:spacing w:after="120" w:line="264"/>
      </w:pPr>
      <w:r>
        <w:rPr>
          <w:i/>
          <w:iCs/>
          <w:color w:val="555555"/>
        </w:rPr>
        <w:t xml:space="preserve">If the Parties decide to run the Business through a registered company (in Thailand or elsewhere, e.g. for the future Sweden plans), they will issue shares to match the Interests in this Agreement and adopt a shareholders’ agreement on consistent terms. They will take advice on Thai shareholding limits and the Foreign Business Act before doing so.</w:t>
      </w:r>
    </w:p>
    <w:p>
      <w:pPr>
        <w:pStyle w:val="Heading1"/>
      </w:pPr>
      <w:r>
        <w:t xml:space="preserve">13. Confidentiality and non-compete</w:t>
      </w:r>
    </w:p>
    <w:p>
      <w:pPr>
        <w:pStyle w:val="ListParagraph"/>
        <w:numPr>
          <w:ilvl w:val="0"/>
          <w:numId w:val="4"/>
        </w:numPr>
        <w:spacing w:after="60" w:line="264"/>
      </w:pPr>
      <w:r>
        <w:t xml:space="preserve">Each Party keeps the Business’s information confidential and uses it only for the Business; this survives three (3) years after a Party leaves.</w:t>
      </w:r>
    </w:p>
    <w:p>
      <w:pPr>
        <w:pStyle w:val="ListParagraph"/>
        <w:numPr>
          <w:ilvl w:val="0"/>
          <w:numId w:val="4"/>
        </w:numPr>
        <w:spacing w:after="60" w:line="264"/>
      </w:pPr>
      <w:r>
        <w:t xml:space="preserve">While a partner and for [12] months after leaving, a Party will not run or invest in a directly competing AI-concierge service in the same area without the other’s written consent.</w:t>
      </w:r>
    </w:p>
    <w:p>
      <w:pPr>
        <w:pStyle w:val="Heading1"/>
      </w:pPr>
      <w:r>
        <w:t xml:space="preserve">14. Liability and indemnity</w:t>
      </w:r>
    </w:p>
    <w:p>
      <w:pPr>
        <w:spacing w:after="120" w:line="264"/>
      </w:pPr>
      <w:r>
        <w:t xml:space="preserve">Each Party performs its role honestly and with reasonable care. No Party is liable to the other for good-faith business decisions that do not work out. A Party that causes loss through fraud, gross negligence or breach of this Agreement indemnifies the other for that loss.</w:t>
      </w:r>
    </w:p>
    <w:p>
      <w:pPr>
        <w:pStyle w:val="Heading1"/>
      </w:pPr>
      <w:r>
        <w:t xml:space="preserve">15. Dispute resolution</w:t>
      </w:r>
    </w:p>
    <w:p>
      <w:pPr>
        <w:spacing w:after="120" w:line="264"/>
      </w:pPr>
      <w:r>
        <w:rPr>
          <w:i/>
          <w:iCs/>
          <w:color w:val="555555"/>
        </w:rPr>
        <w:t xml:space="preserve">The Parties first try to resolve any dispute by honest discussion within [30] days. If unresolved, they may use mediation. Failing that, the dispute is settled by [the courts of Surat Thani / arbitration in Thailand under [rules]]. This Agreement is governed by the laws of the Kingdom of Thailand.</w:t>
      </w:r>
    </w:p>
    <w:p>
      <w:pPr>
        <w:pStyle w:val="Heading1"/>
      </w:pPr>
      <w:r>
        <w:t xml:space="preserve">16. General</w:t>
      </w:r>
    </w:p>
    <w:p>
      <w:pPr>
        <w:pStyle w:val="ListParagraph"/>
        <w:numPr>
          <w:ilvl w:val="0"/>
          <w:numId w:val="4"/>
        </w:numPr>
        <w:spacing w:after="60" w:line="264"/>
      </w:pPr>
      <w:r>
        <w:t xml:space="preserve">This Agreement is the entire agreement between the Parties on its subject and replaces prior discussions.</w:t>
      </w:r>
    </w:p>
    <w:p>
      <w:pPr>
        <w:pStyle w:val="ListParagraph"/>
        <w:numPr>
          <w:ilvl w:val="0"/>
          <w:numId w:val="4"/>
        </w:numPr>
        <w:spacing w:after="60" w:line="264"/>
      </w:pPr>
      <w:r>
        <w:t xml:space="preserve">Any amendment must be in writing and signed by both Parties.</w:t>
      </w:r>
    </w:p>
    <w:p>
      <w:pPr>
        <w:pStyle w:val="ListParagraph"/>
        <w:numPr>
          <w:ilvl w:val="0"/>
          <w:numId w:val="4"/>
        </w:numPr>
        <w:spacing w:after="60" w:line="264"/>
      </w:pPr>
      <w:r>
        <w:t xml:space="preserve">If any clause is invalid, the rest remains in force.</w:t>
      </w:r>
    </w:p>
    <w:p>
      <w:pPr>
        <w:pStyle w:val="ListParagraph"/>
        <w:numPr>
          <w:ilvl w:val="0"/>
          <w:numId w:val="4"/>
        </w:numPr>
        <w:spacing w:after="60" w:line="264"/>
      </w:pPr>
      <w:r>
        <w:t xml:space="preserve">Notices may be given by email or WhatsApp to the contacts above.</w:t>
      </w:r>
    </w:p>
    <w:p>
      <w:pPr>
        <w:pStyle w:val="ListParagraph"/>
        <w:numPr>
          <w:ilvl w:val="0"/>
          <w:numId w:val="4"/>
        </w:numPr>
        <w:spacing w:after="60" w:line="264"/>
      </w:pPr>
      <w:r>
        <w:t xml:space="preserve">This Agreement may be signed in counterparts, including electronically.</w:t>
      </w:r>
    </w:p>
    <w:p>
      <w:pPr>
        <w:pBdr>
          <w:top w:val="single" w:color="E0C060" w:sz="4" w:space="6"/>
          <w:bottom w:val="single" w:color="E0C060" w:sz="4" w:space="6"/>
          <w:left w:val="single" w:color="E0C060" w:sz="4" w:space="6"/>
          <w:right w:val="single" w:color="E0C060" w:sz="4" w:space="6"/>
        </w:pBdr>
        <w:shd w:fill="FFF8E1" w:val="clear"/>
        <w:spacing w:after="120" w:before="200"/>
      </w:pPr>
      <w:r>
        <w:rPr>
          <w:i/>
          <w:iCs/>
          <w:color w:val="7A5C00"/>
          <w:sz w:val="18"/>
          <w:szCs w:val="18"/>
        </w:rPr>
        <w:t xml:space="preserve">Template note: This is a working template, not legal advice. Fields in [grey italics] must be completed. A partnership / investment arrangement has tax, liability and (if a Thai company is used) Foreign Business Act and shareholding implications — have it reviewed by a qualified Thai lawyer and, ideally, an accountant before signing. If you later put the project into a registered company, this agreement should be mirrored in the company’s shareholder documents.</w:t>
      </w:r>
    </w:p>
    <w:p>
      <w:pPr>
        <w:spacing w:before="200"/>
      </w:pPr>
      <w:r>
        <w:rPr>
          <w:b/>
          <w:bCs/>
        </w:rPr>
        <w:t xml:space="preserve">Signed by the Parties (and witnesses):</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1F6F78"/>
              </w:rPr>
              <w:t xml:space="preserve">The Operator (Cyril)</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w:t>
            </w:r>
          </w:p>
          <w:p>
            <w:pPr>
              <w:pBdr>
                <w:bottom w:val="single" w:color="999999" w:sz="6" w:space="2"/>
              </w:pBdr>
              <w:spacing w:before="240"/>
            </w:pPr>
            <w:r>
              <w:t xml:space="preserve"/>
            </w:r>
          </w:p>
          <w:p>
            <w:r>
              <w:rPr>
                <w:color w:val="555555"/>
                <w:sz w:val="18"/>
                <w:szCs w:val="18"/>
              </w:rPr>
              <w:t xml:space="preserve">Date</w:t>
            </w:r>
          </w:p>
        </w:tc>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1F6F78"/>
              </w:rPr>
              <w:t xml:space="preserve">The Investor</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w:t>
            </w:r>
          </w:p>
          <w:p>
            <w:pPr>
              <w:pBdr>
                <w:bottom w:val="single" w:color="999999" w:sz="6" w:space="2"/>
              </w:pBdr>
              <w:spacing w:before="240"/>
            </w:pPr>
            <w:r>
              <w:t xml:space="preserve"/>
            </w:r>
          </w:p>
          <w:p>
            <w:r>
              <w:rPr>
                <w:color w:val="555555"/>
                <w:sz w:val="18"/>
                <w:szCs w:val="18"/>
              </w:rPr>
              <w:t xml:space="preserve">Date</w:t>
            </w:r>
          </w:p>
        </w:tc>
      </w:tr>
    </w:tbl>
    <w:p>
      <w:pPr>
        <w:spacing w:before="120"/>
      </w:pPr>
      <w:r>
        <w:t xml:space="preserve"/>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555555"/>
              </w:rPr>
              <w:t xml:space="preserve">Witness 1</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w:t>
            </w:r>
          </w:p>
        </w:tc>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555555"/>
              </w:rPr>
              <w:t xml:space="preserve">Witness 2</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color w:val="555555"/>
        <w:sz w:val="16"/>
        <w:szCs w:val="16"/>
      </w:rPr>
      <w:t xml:space="preserve">Samui AI Concierge — Partnership (Investor–Operator) Agreement</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lowerLetter"/>
      <w:lvlText w:val="(%1)"/>
      <w:lvlJc w:val="left"/>
      <w:pPr>
        <w:ind w:left="740" w:hanging="320"/>
      </w:pPr>
    </w:lvl>
  </w:abstractNum>
  <w:abstractNum w:abstractNumId="4"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11111"/>
      <w:sz w:val="40"/>
      <w:szCs w:val="40"/>
    </w:rPr>
  </w:style>
  <w:style w:type="paragraph" w:styleId="Heading1">
    <w:name w:val="Heading 1"/>
    <w:basedOn w:val="Normal"/>
    <w:next w:val="Normal"/>
    <w:qFormat/>
    <w:pPr>
      <w:pBdr>
        <w:bottom w:val="single" w:color="DDDDDD" w:sz="6" w:space="4"/>
      </w:pBdr>
      <w:spacing w:after="120" w:before="260"/>
      <w:outlineLvl w:val="0"/>
    </w:pPr>
    <w:rPr>
      <w:rFonts w:ascii="Arial" w:cs="Arial" w:eastAsia="Arial" w:hAnsi="Arial"/>
      <w:b/>
      <w:bCs/>
      <w:color w:val="1F6F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2026-06-12T13:14:57.097Z</dcterms:created>
  <dcterms:modified xsi:type="dcterms:W3CDTF">2026-06-12T13:14:57.098Z</dcterms:modified>
</cp:coreProperties>
</file>

<file path=docProps/custom.xml><?xml version="1.0" encoding="utf-8"?>
<Properties xmlns="http://schemas.openxmlformats.org/officeDocument/2006/custom-properties" xmlns:vt="http://schemas.openxmlformats.org/officeDocument/2006/docPropsVTypes"/>
</file>