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Supplier &amp; Commission Agreement</w:t>
      </w:r>
    </w:p>
    <w:p>
      <w:pPr>
        <w:spacing w:after="80"/>
      </w:pPr>
      <w:r>
        <w:rPr>
          <w:b/>
          <w:bCs/>
          <w:color w:val="1F6F78"/>
          <w:sz w:val="22"/>
          <w:szCs w:val="22"/>
        </w:rPr>
        <w:t xml:space="preserve">Samui AI Concierge — Referral Partner</w:t>
      </w:r>
    </w:p>
    <w:p>
      <w:pPr>
        <w:pBdr>
          <w:bottom w:val="single" w:color="1F6F78" w:sz="10" w:space="6"/>
        </w:pBdr>
        <w:spacing w:after="200"/>
      </w:pPr>
      <w:r>
        <w:t xml:space="preserve"/>
      </w:r>
    </w:p>
    <w:p>
      <w:pPr>
        <w:spacing w:after="120" w:line="264"/>
      </w:pPr>
      <w:r>
        <w:rPr>
          <w:i/>
          <w:iCs/>
          <w:color w:val="555555"/>
        </w:rPr>
        <w:t xml:space="preserve">This Agreement is made on [date] at Koh Samui, Surat Thani, Thailand, between the Parties identified below.</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3000"/>
        <w:gridCol w:w="6360"/>
      </w:tblGrid>
      <w:tr>
        <w:tc>
          <w:tcPr>
            <w:tcW w:type="dxa" w:w="3000"/>
            <w:shd w:fill="F2F7F7" w:val="clear"/>
            <w:tcMar>
              <w:top w:type="dxa" w:w="60"/>
              <w:left w:type="dxa" w:w="120"/>
              <w:bottom w:type="dxa" w:w="60"/>
              <w:right w:type="dxa" w:w="120"/>
            </w:tcMar>
          </w:tcPr>
          <w:p>
            <w:r>
              <w:rPr>
                <w:b/>
                <w:bCs/>
                <w:sz w:val="20"/>
                <w:szCs w:val="20"/>
              </w:rPr>
              <w:t xml:space="preserve">Provider</w:t>
            </w:r>
          </w:p>
        </w:tc>
        <w:tc>
          <w:tcPr>
            <w:tcW w:type="dxa" w:w="6360"/>
            <w:tcMar>
              <w:top w:type="dxa" w:w="60"/>
              <w:left w:type="dxa" w:w="120"/>
              <w:bottom w:type="dxa" w:w="60"/>
              <w:right w:type="dxa" w:w="120"/>
            </w:tcMar>
          </w:tcPr>
          <w:p>
            <w:r>
              <w:rPr>
                <w:i w:val="false"/>
                <w:iCs w:val="false"/>
                <w:color w:val="111111"/>
                <w:sz w:val="20"/>
                <w:szCs w:val="20"/>
              </w:rPr>
              <w:t xml:space="preserve">Samui AI Concierge — operated by [legal entity / sole proprietor name], Tax ID [____], Koh Samui (the “Provider”)</w:t>
            </w:r>
          </w:p>
        </w:tc>
      </w:tr>
      <w:tr>
        <w:tc>
          <w:tcPr>
            <w:tcW w:type="dxa" w:w="3000"/>
            <w:shd w:fill="F2F7F7" w:val="clear"/>
            <w:tcMar>
              <w:top w:type="dxa" w:w="60"/>
              <w:left w:type="dxa" w:w="120"/>
              <w:bottom w:type="dxa" w:w="60"/>
              <w:right w:type="dxa" w:w="120"/>
            </w:tcMar>
          </w:tcPr>
          <w:p>
            <w:r>
              <w:rPr>
                <w:b/>
                <w:bCs/>
                <w:sz w:val="20"/>
                <w:szCs w:val="20"/>
              </w:rPr>
              <w:t xml:space="preserve">Contact</w:t>
            </w:r>
          </w:p>
        </w:tc>
        <w:tc>
          <w:tcPr>
            <w:tcW w:type="dxa" w:w="6360"/>
            <w:tcMar>
              <w:top w:type="dxa" w:w="60"/>
              <w:left w:type="dxa" w:w="120"/>
              <w:bottom w:type="dxa" w:w="60"/>
              <w:right w:type="dxa" w:w="120"/>
            </w:tcMar>
          </w:tcPr>
          <w:p>
            <w:r>
              <w:rPr>
                <w:i w:val="false"/>
                <w:iCs w:val="false"/>
                <w:color w:val="111111"/>
                <w:sz w:val="20"/>
                <w:szCs w:val="20"/>
              </w:rPr>
              <w:t xml:space="preserve">Cyril [surname] — +66 63 375 3316 — [email]</w:t>
            </w:r>
          </w:p>
        </w:tc>
      </w:tr>
      <w:tr>
        <w:tc>
          <w:tcPr>
            <w:tcW w:type="dxa" w:w="3000"/>
            <w:shd w:fill="F2F7F7" w:val="clear"/>
            <w:tcMar>
              <w:top w:type="dxa" w:w="60"/>
              <w:left w:type="dxa" w:w="120"/>
              <w:bottom w:type="dxa" w:w="60"/>
              <w:right w:type="dxa" w:w="120"/>
            </w:tcMar>
          </w:tcPr>
          <w:p>
            <w:r>
              <w:rPr>
                <w:b/>
                <w:bCs/>
                <w:sz w:val="20"/>
                <w:szCs w:val="20"/>
              </w:rPr>
              <w:t xml:space="preserve">Supplier</w:t>
            </w:r>
          </w:p>
        </w:tc>
        <w:tc>
          <w:tcPr>
            <w:tcW w:type="dxa" w:w="6360"/>
            <w:tcMar>
              <w:top w:type="dxa" w:w="60"/>
              <w:left w:type="dxa" w:w="120"/>
              <w:bottom w:type="dxa" w:w="60"/>
              <w:right w:type="dxa" w:w="120"/>
            </w:tcMar>
          </w:tcPr>
          <w:p>
            <w:r>
              <w:rPr>
                <w:i/>
                <w:iCs/>
                <w:color w:val="555555"/>
                <w:sz w:val="20"/>
                <w:szCs w:val="20"/>
              </w:rPr>
              <w:t xml:space="preserve">[Supplier legal name] (activity / tour / restaurant / dive / transfer), address [____], Tax ID [____] (the “Supplier”)</w:t>
            </w:r>
          </w:p>
        </w:tc>
      </w:tr>
      <w:tr>
        <w:tc>
          <w:tcPr>
            <w:tcW w:type="dxa" w:w="3000"/>
            <w:shd w:fill="F2F7F7" w:val="clear"/>
            <w:tcMar>
              <w:top w:type="dxa" w:w="60"/>
              <w:left w:type="dxa" w:w="120"/>
              <w:bottom w:type="dxa" w:w="60"/>
              <w:right w:type="dxa" w:w="120"/>
            </w:tcMar>
          </w:tcPr>
          <w:p>
            <w:r>
              <w:rPr>
                <w:b/>
                <w:bCs/>
                <w:sz w:val="20"/>
                <w:szCs w:val="20"/>
              </w:rPr>
              <w:t xml:space="preserve">Supplier contact</w:t>
            </w:r>
          </w:p>
        </w:tc>
        <w:tc>
          <w:tcPr>
            <w:tcW w:type="dxa" w:w="6360"/>
            <w:tcMar>
              <w:top w:type="dxa" w:w="60"/>
              <w:left w:type="dxa" w:w="120"/>
              <w:bottom w:type="dxa" w:w="60"/>
              <w:right w:type="dxa" w:w="120"/>
            </w:tcMar>
          </w:tcPr>
          <w:p>
            <w:r>
              <w:rPr>
                <w:i/>
                <w:iCs/>
                <w:color w:val="555555"/>
                <w:sz w:val="20"/>
                <w:szCs w:val="20"/>
              </w:rPr>
              <w:t xml:space="preserve">[Name, title, email, phone]</w:t>
            </w:r>
          </w:p>
        </w:tc>
      </w:tr>
    </w:tbl>
    <w:p>
      <w:pPr>
        <w:spacing w:after="120" w:line="264"/>
      </w:pPr>
      <w:r>
        <w:t xml:space="preserve"/>
      </w:r>
    </w:p>
    <w:p>
      <w:pPr>
        <w:pStyle w:val="Heading1"/>
      </w:pPr>
      <w:r>
        <w:t xml:space="preserve">1. Purpose</w:t>
      </w:r>
    </w:p>
    <w:p>
      <w:pPr>
        <w:pStyle w:val="ListParagraph"/>
        <w:numPr>
          <w:ilvl w:val="0"/>
          <w:numId w:val="2"/>
        </w:numPr>
        <w:spacing w:after="60" w:before="140"/>
      </w:pPr>
      <w:r>
        <w:rPr>
          <w:b/>
          <w:bCs/>
        </w:rPr>
        <w:t xml:space="preserve">Referral service</w:t>
      </w:r>
    </w:p>
    <w:p>
      <w:pPr>
        <w:spacing w:after="120" w:line="264"/>
      </w:pPr>
      <w:r>
        <w:t xml:space="preserve">The Provider operates an AI travel-concierge for Koh Samui that recommends local activities, restaurants and services to travellers. The Supplier wishes to be listed and to receive referrals (“Referred Customers”) in exchange for a commission on resulting bookings.</w:t>
      </w:r>
    </w:p>
    <w:p>
      <w:pPr>
        <w:pStyle w:val="ListParagraph"/>
        <w:numPr>
          <w:ilvl w:val="0"/>
          <w:numId w:val="2"/>
        </w:numPr>
        <w:spacing w:after="60" w:before="140"/>
      </w:pPr>
      <w:r>
        <w:rPr>
          <w:b/>
          <w:bCs/>
        </w:rPr>
        <w:t xml:space="preserve">Non-exclusive</w:t>
      </w:r>
    </w:p>
    <w:p>
      <w:pPr>
        <w:spacing w:after="120" w:line="264"/>
      </w:pPr>
      <w:r>
        <w:t xml:space="preserve">This Agreement is non-exclusive. Each Party may work with other partners, including the Supplier’s competitors.</w:t>
      </w:r>
    </w:p>
    <w:p>
      <w:pPr>
        <w:pStyle w:val="Heading1"/>
      </w:pPr>
      <w:r>
        <w:t xml:space="preserve">2. Listing and referrals</w:t>
      </w:r>
    </w:p>
    <w:p>
      <w:pPr>
        <w:pStyle w:val="ListParagraph"/>
        <w:numPr>
          <w:ilvl w:val="0"/>
          <w:numId w:val="3"/>
        </w:numPr>
        <w:spacing w:after="60" w:line="264"/>
      </w:pPr>
      <w:r>
        <w:t xml:space="preserve">The Provider may display the Supplier’s offers, indicative prices (in THB) and description within the Service.</w:t>
      </w:r>
    </w:p>
    <w:p>
      <w:pPr>
        <w:pStyle w:val="ListParagraph"/>
        <w:numPr>
          <w:ilvl w:val="0"/>
          <w:numId w:val="3"/>
        </w:numPr>
        <w:spacing w:after="60" w:line="264"/>
      </w:pPr>
      <w:r>
        <w:t xml:space="preserve">The Provider may pass guest enquiries to the Supplier by WhatsApp, email, booking link or phone.</w:t>
      </w:r>
    </w:p>
    <w:p>
      <w:pPr>
        <w:pStyle w:val="ListParagraph"/>
        <w:numPr>
          <w:ilvl w:val="0"/>
          <w:numId w:val="3"/>
        </w:numPr>
        <w:spacing w:after="60" w:line="264"/>
      </w:pPr>
      <w:r>
        <w:t xml:space="preserve">The Supplier provides accurate, current information (availability, prices, inclusions, safety, licences) and updates it promptly.</w:t>
      </w:r>
    </w:p>
    <w:p>
      <w:pPr>
        <w:pStyle w:val="ListParagraph"/>
        <w:numPr>
          <w:ilvl w:val="0"/>
          <w:numId w:val="3"/>
        </w:numPr>
        <w:spacing w:after="60" w:line="264"/>
      </w:pPr>
      <w:r>
        <w:t xml:space="preserve">The Supplier honours the prices and conditions presented to Referred Customers through the Service.</w:t>
      </w:r>
    </w:p>
    <w:p>
      <w:pPr>
        <w:pStyle w:val="Heading1"/>
      </w:pPr>
      <w:r>
        <w:t xml:space="preserve">3. Commission</w:t>
      </w:r>
    </w:p>
    <w:p>
      <w:pPr>
        <w:pStyle w:val="ListParagraph"/>
        <w:numPr>
          <w:ilvl w:val="0"/>
          <w:numId w:val="2"/>
        </w:numPr>
        <w:spacing w:after="60" w:before="140"/>
      </w:pPr>
      <w:r>
        <w:rPr>
          <w:b/>
          <w:bCs/>
        </w:rPr>
        <w:t xml:space="preserve">Rate</w:t>
      </w:r>
    </w:p>
    <w:p>
      <w:pPr>
        <w:spacing w:after="120" w:line="264"/>
      </w:pPr>
      <w:r>
        <w:rPr>
          <w:i/>
          <w:iCs/>
          <w:color w:val="555555"/>
        </w:rPr>
        <w:t xml:space="preserve">The Supplier pays the Provider a commission of [10–15]% of the gross booking value (excluding VAT) for each completed booking by a Referred Customer.</w:t>
      </w:r>
    </w:p>
    <w:p>
      <w:pPr>
        <w:pStyle w:val="ListParagraph"/>
        <w:numPr>
          <w:ilvl w:val="0"/>
          <w:numId w:val="2"/>
        </w:numPr>
        <w:spacing w:after="60" w:before="140"/>
      </w:pPr>
      <w:r>
        <w:rPr>
          <w:b/>
          <w:bCs/>
        </w:rPr>
        <w:t xml:space="preserve">Attribution</w:t>
      </w:r>
    </w:p>
    <w:p>
      <w:pPr>
        <w:spacing w:after="120" w:line="264"/>
      </w:pPr>
      <w:r>
        <w:t xml:space="preserve">A booking is “referred” when it originates from the Service via a tracked link, code, QR, WhatsApp introduction or other agreed method. Repeat bookings by the same customer within [60] days are also commissionable unless agreed otherwise.</w:t>
      </w:r>
    </w:p>
    <w:p>
      <w:pPr>
        <w:pStyle w:val="ListParagraph"/>
        <w:numPr>
          <w:ilvl w:val="0"/>
          <w:numId w:val="2"/>
        </w:numPr>
        <w:spacing w:after="60" w:before="140"/>
      </w:pPr>
      <w:r>
        <w:rPr>
          <w:b/>
          <w:bCs/>
        </w:rPr>
        <w:t xml:space="preserve">Reporting and payment</w:t>
      </w:r>
    </w:p>
    <w:p>
      <w:pPr>
        <w:pStyle w:val="ListParagraph"/>
        <w:numPr>
          <w:ilvl w:val="0"/>
          <w:numId w:val="4"/>
        </w:numPr>
        <w:spacing w:after="60" w:line="264"/>
      </w:pPr>
      <w:r>
        <w:t xml:space="preserve">The Supplier reports referred bookings to the Provider [weekly / monthly].</w:t>
      </w:r>
    </w:p>
    <w:p>
      <w:pPr>
        <w:pStyle w:val="ListParagraph"/>
        <w:numPr>
          <w:ilvl w:val="0"/>
          <w:numId w:val="4"/>
        </w:numPr>
        <w:spacing w:after="60" w:line="264"/>
      </w:pPr>
      <w:r>
        <w:t xml:space="preserve">The Provider issues an invoice; payment is due within fifteen (15) days by bank transfer.</w:t>
      </w:r>
    </w:p>
    <w:p>
      <w:pPr>
        <w:pStyle w:val="ListParagraph"/>
        <w:numPr>
          <w:ilvl w:val="0"/>
          <w:numId w:val="4"/>
        </w:numPr>
        <w:spacing w:after="60" w:line="264"/>
      </w:pPr>
      <w:r>
        <w:t xml:space="preserve">Alternatively, where the Provider collects payment from the customer, the Provider remits the booking value minus commission to the Supplier within [15] days.</w:t>
      </w:r>
    </w:p>
    <w:p>
      <w:pPr>
        <w:pStyle w:val="ListParagraph"/>
        <w:numPr>
          <w:ilvl w:val="0"/>
          <w:numId w:val="4"/>
        </w:numPr>
        <w:spacing w:after="60" w:line="264"/>
      </w:pPr>
      <w:r>
        <w:t xml:space="preserve">Each Party keeps records and may, on reasonable notice, ask the other to reconcile referred bookings.</w:t>
      </w:r>
    </w:p>
    <w:p>
      <w:pPr>
        <w:pStyle w:val="ListParagraph"/>
        <w:numPr>
          <w:ilvl w:val="0"/>
          <w:numId w:val="2"/>
        </w:numPr>
        <w:spacing w:after="60" w:before="140"/>
      </w:pPr>
      <w:r>
        <w:rPr>
          <w:b/>
          <w:bCs/>
        </w:rPr>
        <w:t xml:space="preserve">Cancellations</w:t>
      </w:r>
    </w:p>
    <w:p>
      <w:pPr>
        <w:spacing w:after="120" w:line="264"/>
      </w:pPr>
      <w:r>
        <w:t xml:space="preserve">No commission is due on bookings that are cancelled, refunded or not honoured. Commission already paid on such bookings is credited against the next invoice.</w:t>
      </w:r>
    </w:p>
    <w:p>
      <w:pPr>
        <w:pStyle w:val="Heading1"/>
      </w:pPr>
      <w:r>
        <w:t xml:space="preserve">4. Service quality and safety</w:t>
      </w:r>
    </w:p>
    <w:p>
      <w:pPr>
        <w:pStyle w:val="ListParagraph"/>
        <w:numPr>
          <w:ilvl w:val="0"/>
          <w:numId w:val="3"/>
        </w:numPr>
        <w:spacing w:after="60" w:line="264"/>
      </w:pPr>
      <w:r>
        <w:t xml:space="preserve">The Supplier holds all licences, permits and insurance required under Thai law for its activity (e.g. tourism, boat, diving, food and hygiene).</w:t>
      </w:r>
    </w:p>
    <w:p>
      <w:pPr>
        <w:pStyle w:val="ListParagraph"/>
        <w:numPr>
          <w:ilvl w:val="0"/>
          <w:numId w:val="3"/>
        </w:numPr>
        <w:spacing w:after="60" w:line="264"/>
      </w:pPr>
      <w:r>
        <w:t xml:space="preserve">The Supplier operates safely and treats Referred Customers fairly and professionally.</w:t>
      </w:r>
    </w:p>
    <w:p>
      <w:pPr>
        <w:pStyle w:val="ListParagraph"/>
        <w:numPr>
          <w:ilvl w:val="0"/>
          <w:numId w:val="3"/>
        </w:numPr>
        <w:spacing w:after="60" w:line="264"/>
      </w:pPr>
      <w:r>
        <w:t xml:space="preserve">The Supplier is solely responsible for delivering its services. The Provider only refers customers and is not a party to the booking contract between the Supplier and the customer.</w:t>
      </w:r>
    </w:p>
    <w:p>
      <w:pPr>
        <w:pStyle w:val="Heading1"/>
      </w:pPr>
      <w:r>
        <w:t xml:space="preserve">5. Liability</w:t>
      </w:r>
    </w:p>
    <w:p>
      <w:pPr>
        <w:spacing w:after="120" w:line="264"/>
      </w:pPr>
      <w:r>
        <w:t xml:space="preserve">The Provider acts as an introducer only and is not liable for the Supplier’s services, acts or omissions, or for any injury, loss or damage to Referred Customers. The Supplier indemnifies the Provider against claims by Referred Customers arising from the Supplier’s services, except to the extent caused by the Provider’s own fault.</w:t>
      </w:r>
    </w:p>
    <w:p>
      <w:pPr>
        <w:pStyle w:val="Heading1"/>
      </w:pPr>
      <w:r>
        <w:t xml:space="preserve">6. Brand and content</w:t>
      </w:r>
    </w:p>
    <w:p>
      <w:pPr>
        <w:spacing w:after="120" w:line="264"/>
      </w:pPr>
      <w:r>
        <w:t xml:space="preserve">The Supplier grants the Provider a non-exclusive licence to use its name, logo, photos and descriptions to promote the Supplier within the Service. The Supplier confirms it owns or is licensed to use such content. Either Party may ask for specific content to be removed or corrected.</w:t>
      </w:r>
    </w:p>
    <w:p>
      <w:pPr>
        <w:pStyle w:val="Heading1"/>
      </w:pPr>
      <w:r>
        <w:t xml:space="preserve">7. Data protection</w:t>
      </w:r>
    </w:p>
    <w:p>
      <w:pPr>
        <w:spacing w:after="120" w:line="264"/>
      </w:pPr>
      <w:r>
        <w:t xml:space="preserve">Each Party complies with the Thailand Personal Data Protection Act B.E. 2562 (2019). Customer contact details shared for a referral are used only to fulfil that booking and related service, and are not resold.</w:t>
      </w:r>
    </w:p>
    <w:p>
      <w:pPr>
        <w:pStyle w:val="Heading1"/>
      </w:pPr>
      <w:r>
        <w:t xml:space="preserve">8. Confidentiality</w:t>
      </w:r>
    </w:p>
    <w:p>
      <w:pPr>
        <w:spacing w:after="120" w:line="264"/>
      </w:pPr>
      <w:r>
        <w:t xml:space="preserve">Commission rates and commercial terms are confidential and not to be disclosed to third parties without consent, except as required by law or to professional advisers.</w:t>
      </w:r>
    </w:p>
    <w:p>
      <w:pPr>
        <w:pStyle w:val="Heading1"/>
      </w:pPr>
      <w:r>
        <w:t xml:space="preserve">9. Term and termination</w:t>
      </w:r>
    </w:p>
    <w:p>
      <w:pPr>
        <w:pStyle w:val="ListParagraph"/>
        <w:numPr>
          <w:ilvl w:val="0"/>
          <w:numId w:val="2"/>
        </w:numPr>
        <w:spacing w:after="60" w:before="140"/>
      </w:pPr>
      <w:r>
        <w:rPr>
          <w:b/>
          <w:bCs/>
        </w:rPr>
        <w:t xml:space="preserve">Term</w:t>
      </w:r>
    </w:p>
    <w:p>
      <w:pPr>
        <w:spacing w:after="120" w:line="264"/>
      </w:pPr>
      <w:r>
        <w:rPr>
          <w:i/>
          <w:iCs/>
          <w:color w:val="555555"/>
        </w:rPr>
        <w:t xml:space="preserve">This Agreement starts on the date above and continues until terminated. Either Party may terminate on [15] days’ written notice.</w:t>
      </w:r>
    </w:p>
    <w:p>
      <w:pPr>
        <w:pStyle w:val="ListParagraph"/>
        <w:numPr>
          <w:ilvl w:val="0"/>
          <w:numId w:val="2"/>
        </w:numPr>
        <w:spacing w:after="60" w:before="140"/>
      </w:pPr>
      <w:r>
        <w:rPr>
          <w:b/>
          <w:bCs/>
        </w:rPr>
        <w:t xml:space="preserve">Effect</w:t>
      </w:r>
    </w:p>
    <w:p>
      <w:pPr>
        <w:spacing w:after="120" w:line="264"/>
      </w:pPr>
      <w:r>
        <w:t xml:space="preserve">Commission remains payable on bookings made before termination. Clauses on liability, indemnity, confidentiality and data survive termination.</w:t>
      </w:r>
    </w:p>
    <w:p>
      <w:pPr>
        <w:pStyle w:val="ListParagraph"/>
        <w:numPr>
          <w:ilvl w:val="0"/>
          <w:numId w:val="2"/>
        </w:numPr>
        <w:spacing w:after="60" w:before="140"/>
      </w:pPr>
      <w:r>
        <w:rPr>
          <w:b/>
          <w:bCs/>
        </w:rPr>
        <w:t xml:space="preserve">Breach</w:t>
      </w:r>
    </w:p>
    <w:p>
      <w:pPr>
        <w:spacing w:after="120" w:line="264"/>
      </w:pPr>
      <w:r>
        <w:t xml:space="preserve">Either Party may terminate immediately for material breach (including unsafe operation, repeated price discrepancies, or non-payment) not cured within [10] days of written notice.</w:t>
      </w:r>
    </w:p>
    <w:p>
      <w:pPr>
        <w:pStyle w:val="Heading1"/>
      </w:pPr>
      <w:r>
        <w:t xml:space="preserve">10. Governing law and disputes</w:t>
      </w:r>
    </w:p>
    <w:p>
      <w:pPr>
        <w:spacing w:after="120" w:line="264"/>
      </w:pPr>
      <w:r>
        <w:t xml:space="preserve">This Agreement is governed by the laws of the Kingdom of Thailand. Disputes will first be discussed in good faith; failing settlement, the courts of [Surat Thani / Koh Samui] have jurisdiction.</w:t>
      </w:r>
    </w:p>
    <w:p>
      <w:pPr>
        <w:pStyle w:val="Heading1"/>
      </w:pPr>
      <w:r>
        <w:t xml:space="preserve">11. General</w:t>
      </w:r>
    </w:p>
    <w:p>
      <w:pPr>
        <w:pStyle w:val="ListParagraph"/>
        <w:numPr>
          <w:ilvl w:val="0"/>
          <w:numId w:val="3"/>
        </w:numPr>
        <w:spacing w:after="60" w:line="264"/>
      </w:pPr>
      <w:r>
        <w:t xml:space="preserve">This is the entire agreement on its subject; amendments must be in writing and signed.</w:t>
      </w:r>
    </w:p>
    <w:p>
      <w:pPr>
        <w:pStyle w:val="ListParagraph"/>
        <w:numPr>
          <w:ilvl w:val="0"/>
          <w:numId w:val="3"/>
        </w:numPr>
        <w:spacing w:after="60" w:line="264"/>
      </w:pPr>
      <w:r>
        <w:t xml:space="preserve">Neither Party is the agent, employee or partner of the other; this Agreement creates no joint venture.</w:t>
      </w:r>
    </w:p>
    <w:p>
      <w:pPr>
        <w:pStyle w:val="ListParagraph"/>
        <w:numPr>
          <w:ilvl w:val="0"/>
          <w:numId w:val="3"/>
        </w:numPr>
        <w:spacing w:after="60" w:line="264"/>
      </w:pPr>
      <w:r>
        <w:t xml:space="preserve">Notices may be given by email or WhatsApp to the contacts above.</w:t>
      </w:r>
    </w:p>
    <w:p>
      <w:pPr>
        <w:pBdr>
          <w:top w:val="single" w:color="E0C060" w:sz="4" w:space="6"/>
          <w:bottom w:val="single" w:color="E0C060" w:sz="4" w:space="6"/>
          <w:left w:val="single" w:color="E0C060" w:sz="4" w:space="6"/>
          <w:right w:val="single" w:color="E0C060" w:sz="4" w:space="6"/>
        </w:pBdr>
        <w:shd w:fill="FFF8E1" w:val="clear"/>
        <w:spacing w:after="120" w:before="200"/>
      </w:pPr>
      <w:r>
        <w:rPr>
          <w:i/>
          <w:iCs/>
          <w:color w:val="7A5C00"/>
          <w:sz w:val="18"/>
          <w:szCs w:val="18"/>
        </w:rPr>
        <w:t xml:space="preserve">Template note: This document is a working template, not legal advice. Fields in [grey italics] must be completed. Have it reviewed by a qualified Thai lawyer before signing, especially clauses on Thai company law, the Foreign Business Act, PDPA (data protection) and tax/withholding.</w:t>
      </w:r>
    </w:p>
    <w:p>
      <w:pPr>
        <w:spacing w:before="200"/>
      </w:pPr>
      <w:r>
        <w:rPr>
          <w:b/>
          <w:bCs/>
        </w:rPr>
        <w:t xml:space="preserve">Signed by the Parties:</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spacing w:before="360"/>
            </w:pPr>
            <w:r>
              <w:rPr>
                <w:b/>
                <w:bCs/>
                <w:color w:val="1F6F78"/>
              </w:rPr>
              <w:t xml:space="preserve">For the Provider (Samui AI Concierge)</w:t>
            </w:r>
          </w:p>
          <w:p>
            <w:pPr>
              <w:pBdr>
                <w:bottom w:val="single" w:color="999999" w:sz="6" w:space="2"/>
              </w:pBdr>
              <w:spacing w:before="480"/>
            </w:pPr>
            <w:r>
              <w:t xml:space="preserve"/>
            </w:r>
          </w:p>
          <w:p>
            <w:r>
              <w:rPr>
                <w:color w:val="555555"/>
                <w:sz w:val="18"/>
                <w:szCs w:val="18"/>
              </w:rPr>
              <w:t xml:space="preserve">Signature</w:t>
            </w:r>
          </w:p>
          <w:p>
            <w:pPr>
              <w:pBdr>
                <w:bottom w:val="single" w:color="999999" w:sz="6" w:space="2"/>
              </w:pBdr>
              <w:spacing w:before="240"/>
            </w:pPr>
            <w:r>
              <w:t xml:space="preserve"/>
            </w:r>
          </w:p>
          <w:p>
            <w:r>
              <w:rPr>
                <w:color w:val="555555"/>
                <w:sz w:val="18"/>
                <w:szCs w:val="18"/>
              </w:rPr>
              <w:t xml:space="preserve">Name / Title</w:t>
            </w:r>
          </w:p>
          <w:p>
            <w:pPr>
              <w:pBdr>
                <w:bottom w:val="single" w:color="999999" w:sz="6" w:space="2"/>
              </w:pBdr>
              <w:spacing w:before="240"/>
            </w:pPr>
            <w:r>
              <w:t xml:space="preserve"/>
            </w:r>
          </w:p>
          <w:p>
            <w:r>
              <w:rPr>
                <w:color w:val="555555"/>
                <w:sz w:val="18"/>
                <w:szCs w:val="18"/>
              </w:rPr>
              <w:t xml:space="preserve">Date</w:t>
            </w:r>
          </w:p>
        </w:tc>
        <w:tc>
          <w:tcPr>
            <w:tcW w:type="dxa" w:w="4680"/>
            <w:tcBorders>
              <w:top w:val="none"/>
              <w:left w:val="none"/>
              <w:bottom w:val="none"/>
              <w:right w:val="none"/>
            </w:tcBorders>
            <w:tcMar>
              <w:top w:type="dxa" w:w="80"/>
              <w:left w:type="dxa" w:w="120"/>
              <w:bottom w:type="dxa" w:w="80"/>
              <w:right w:type="dxa" w:w="120"/>
            </w:tcMar>
          </w:tcPr>
          <w:p>
            <w:pPr>
              <w:spacing w:before="360"/>
            </w:pPr>
            <w:r>
              <w:rPr>
                <w:b/>
                <w:bCs/>
                <w:color w:val="1F6F78"/>
              </w:rPr>
              <w:t xml:space="preserve">For the Supplier</w:t>
            </w:r>
          </w:p>
          <w:p>
            <w:pPr>
              <w:pBdr>
                <w:bottom w:val="single" w:color="999999" w:sz="6" w:space="2"/>
              </w:pBdr>
              <w:spacing w:before="480"/>
            </w:pPr>
            <w:r>
              <w:t xml:space="preserve"/>
            </w:r>
          </w:p>
          <w:p>
            <w:r>
              <w:rPr>
                <w:color w:val="555555"/>
                <w:sz w:val="18"/>
                <w:szCs w:val="18"/>
              </w:rPr>
              <w:t xml:space="preserve">Signature</w:t>
            </w:r>
          </w:p>
          <w:p>
            <w:pPr>
              <w:pBdr>
                <w:bottom w:val="single" w:color="999999" w:sz="6" w:space="2"/>
              </w:pBdr>
              <w:spacing w:before="240"/>
            </w:pPr>
            <w:r>
              <w:t xml:space="preserve"/>
            </w:r>
          </w:p>
          <w:p>
            <w:r>
              <w:rPr>
                <w:color w:val="555555"/>
                <w:sz w:val="18"/>
                <w:szCs w:val="18"/>
              </w:rPr>
              <w:t xml:space="preserve">Name / Title</w:t>
            </w:r>
          </w:p>
          <w:p>
            <w:pPr>
              <w:pBdr>
                <w:bottom w:val="single" w:color="999999" w:sz="6" w:space="2"/>
              </w:pBdr>
              <w:spacing w:before="240"/>
            </w:pPr>
            <w:r>
              <w:t xml:space="preserve"/>
            </w:r>
          </w:p>
          <w:p>
            <w:r>
              <w:rPr>
                <w:color w:val="555555"/>
                <w:sz w:val="18"/>
                <w:szCs w:val="18"/>
              </w:rPr>
              <w:t xml:space="preserve">Date</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pPr>
    <w:r>
      <w:rPr>
        <w:color w:val="555555"/>
        <w:sz w:val="16"/>
        <w:szCs w:val="16"/>
      </w:rPr>
      <w:t xml:space="preserve">Samui AI Concierge — Supplier &amp; Commission Agreement</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lowerLetter"/>
      <w:lvlText w:val="(%1)"/>
      <w:lvlJc w:val="left"/>
      <w:pPr>
        <w:ind w:left="740" w:hanging="320"/>
      </w:pPr>
    </w:lvl>
  </w:abstractNum>
  <w:abstractNum w:abstractNumId="4"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11111"/>
      <w:sz w:val="40"/>
      <w:szCs w:val="40"/>
    </w:rPr>
  </w:style>
  <w:style w:type="paragraph" w:styleId="Heading1">
    <w:name w:val="Heading 1"/>
    <w:basedOn w:val="Normal"/>
    <w:next w:val="Normal"/>
    <w:qFormat/>
    <w:pPr>
      <w:pBdr>
        <w:bottom w:val="single" w:color="DDDDDD" w:sz="6" w:space="4"/>
      </w:pBdr>
      <w:spacing w:after="120" w:before="260"/>
      <w:outlineLvl w:val="0"/>
    </w:pPr>
    <w:rPr>
      <w:rFonts w:ascii="Arial" w:cs="Arial" w:eastAsia="Arial" w:hAnsi="Arial"/>
      <w:b/>
      <w:bCs/>
      <w:color w:val="1F6F78"/>
      <w:sz w:val="24"/>
      <w:szCs w:val="24"/>
    </w:rPr>
  </w:style>
  <w:style w:type="paragraph" w:styleId="Heading2">
    <w:name w:val="Heading 2"/>
    <w:basedOn w:val="Normal"/>
    <w:next w:val="Normal"/>
    <w:qFormat/>
    <w:pPr>
      <w:spacing w:after="80" w:before="160"/>
      <w:outlineLvl w:val="1"/>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2026-06-12T12:58:35.326Z</dcterms:created>
  <dcterms:modified xsi:type="dcterms:W3CDTF">2026-06-12T12:58:35.326Z</dcterms:modified>
</cp:coreProperties>
</file>

<file path=docProps/custom.xml><?xml version="1.0" encoding="utf-8"?>
<Properties xmlns="http://schemas.openxmlformats.org/officeDocument/2006/custom-properties" xmlns:vt="http://schemas.openxmlformats.org/officeDocument/2006/docPropsVTypes"/>
</file>