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FBCEE" w14:textId="082E6FFA" w:rsidR="00231EF1" w:rsidRPr="00755958" w:rsidRDefault="00231EF1" w:rsidP="008D1587">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p>
    <w:p w14:paraId="3EECBFFB" w14:textId="396E384D" w:rsidR="008D1587" w:rsidRDefault="008D1587" w:rsidP="008D1587">
      <w:pPr>
        <w:jc w:val="both"/>
      </w:pPr>
    </w:p>
    <w:p w14:paraId="5472A196" w14:textId="2A83EA06" w:rsidR="00D52E4F"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{Distribution des données}</w:t>
      </w:r>
    </w:p>
    <w:p w14:paraId="7E950149" w14:textId="77777777" w:rsidR="001B4192" w:rsidRDefault="001B4192" w:rsidP="008D1587">
      <w:pPr>
        <w:jc w:val="both"/>
      </w:pPr>
    </w:p>
    <w:p w14:paraId="6B40D4F8" w14:textId="0211E471" w:rsidR="008D1587" w:rsidRDefault="00D979FA" w:rsidP="008D1587">
      <w:pPr>
        <w:jc w:val="both"/>
      </w:pPr>
      <w:r>
        <w:t>Pour l’immense majorité des lieux recensés, seuls quelques concerts y ont été organisés entre 2010 et 2019, comme le montre les donnée</w:t>
      </w:r>
      <w:r w:rsidR="008C54E5">
        <w:t>s</w:t>
      </w:r>
      <w:r>
        <w:t xml:space="preserve"> du tableau \</w:t>
      </w:r>
      <w:proofErr w:type="spellStart"/>
      <w:r>
        <w:t>ref</w:t>
      </w:r>
      <w:proofErr w:type="spellEnd"/>
      <w:r>
        <w:t>{</w:t>
      </w:r>
      <w:proofErr w:type="spellStart"/>
      <w:r>
        <w:t>tab_concerts_venues</w:t>
      </w:r>
      <w:proofErr w:type="spellEnd"/>
      <w:r>
        <w:t xml:space="preserve">}. Près de la moitié des lieux (48\%) n’ont qu’un seul événement </w:t>
      </w:r>
      <w:r w:rsidR="008D1587">
        <w:t>répertorié</w:t>
      </w:r>
      <w:r>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artistes sur 10 présents dans notre base de données a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des salles qui semblent dominer, mais qui ne font pas preuve d’une influence considérable sur la scène suisse.</w:t>
      </w:r>
      <w:r w:rsidR="008D1587">
        <w:t xml:space="preserve"> \par</w:t>
      </w:r>
    </w:p>
    <w:p w14:paraId="18BAB362" w14:textId="4D80649B" w:rsidR="00D979FA" w:rsidRDefault="00D979FA" w:rsidP="008D1587">
      <w:pPr>
        <w:jc w:val="both"/>
      </w:pPr>
    </w:p>
    <w:p w14:paraId="5F13213C" w14:textId="40C4CF74" w:rsidR="00D979FA" w:rsidRDefault="00D979FA" w:rsidP="008D1587">
      <w:pPr>
        <w:jc w:val="both"/>
      </w:pPr>
      <w:r>
        <w:t>\</w:t>
      </w:r>
      <w:proofErr w:type="spellStart"/>
      <w:r>
        <w:t>begin</w:t>
      </w:r>
      <w:proofErr w:type="spellEnd"/>
      <w:r>
        <w:t>{table}[</w:t>
      </w:r>
      <w:r>
        <w:t>h</w:t>
      </w:r>
      <w:r>
        <w:t>]</w:t>
      </w:r>
    </w:p>
    <w:p w14:paraId="59575CD9" w14:textId="6AD59031" w:rsidR="00D979FA" w:rsidRDefault="00D979FA" w:rsidP="008D1587">
      <w:pPr>
        <w:jc w:val="both"/>
      </w:pPr>
      <w:r>
        <w:t>\</w:t>
      </w:r>
      <w:proofErr w:type="spellStart"/>
      <w:r>
        <w:t>centering</w:t>
      </w:r>
      <w:proofErr w:type="spellEnd"/>
    </w:p>
    <w:p w14:paraId="7BEEE305" w14:textId="77777777" w:rsidR="00D979FA" w:rsidRDefault="00D979FA" w:rsidP="008D1587">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8D1587">
      <w:pPr>
        <w:jc w:val="both"/>
      </w:pPr>
      <w:r>
        <w:t>\</w:t>
      </w:r>
      <w:proofErr w:type="spellStart"/>
      <w:r>
        <w:t>hline</w:t>
      </w:r>
      <w:proofErr w:type="spellEnd"/>
    </w:p>
    <w:p w14:paraId="00C24304" w14:textId="77777777" w:rsidR="00D979FA" w:rsidRDefault="00D979FA" w:rsidP="008D1587">
      <w:pPr>
        <w:jc w:val="both"/>
      </w:pPr>
      <w:r>
        <w:t>Nbr concerts par salle     &amp; 1    &amp; 2    &amp; 3    &amp; 4    &amp; 5    &amp; 6    &amp; 10   &amp; 20   &amp; 38    \\ \</w:t>
      </w:r>
      <w:proofErr w:type="spellStart"/>
      <w:r>
        <w:t>hline</w:t>
      </w:r>
      <w:proofErr w:type="spellEnd"/>
    </w:p>
    <w:p w14:paraId="3791A175" w14:textId="52C1E17D" w:rsidR="00D979FA" w:rsidRDefault="00D979FA" w:rsidP="008D1587">
      <w:pPr>
        <w:jc w:val="both"/>
      </w:pPr>
      <w:r>
        <w:t>Part</w:t>
      </w:r>
      <w:r>
        <w:t xml:space="preserve"> des salles de concert &amp; 0.48 &amp; 0.14 &amp; 0.08 &amp; 0.05 &amp; 0.03 &amp; 0.02 &amp; 0.01 &amp; 0.03 &amp; 0.001 \\ \</w:t>
      </w:r>
      <w:proofErr w:type="spellStart"/>
      <w:r>
        <w:t>hline</w:t>
      </w:r>
      <w:proofErr w:type="spellEnd"/>
    </w:p>
    <w:p w14:paraId="68EBD766" w14:textId="77777777" w:rsidR="00D979FA" w:rsidRDefault="00D979FA" w:rsidP="008D1587">
      <w:pPr>
        <w:jc w:val="both"/>
      </w:pPr>
      <w:r>
        <w:t xml:space="preserve">Part cumulée des salles    &amp; 0.48 &amp; 0.62 &amp; 0.70 &amp; 0.74 &amp; 0.77 &amp; 0.80 &amp; 0.86 &amp; 0.92 &amp; </w:t>
      </w:r>
      <w:proofErr w:type="gramStart"/>
      <w:r>
        <w:t>0.95  \</w:t>
      </w:r>
      <w:proofErr w:type="gramEnd"/>
      <w:r>
        <w:t>\ \</w:t>
      </w:r>
      <w:proofErr w:type="spellStart"/>
      <w:r>
        <w:t>hline</w:t>
      </w:r>
      <w:proofErr w:type="spellEnd"/>
    </w:p>
    <w:p w14:paraId="3AB35DD0" w14:textId="683384F2" w:rsidR="00D979FA" w:rsidRDefault="00D979FA" w:rsidP="008D1587">
      <w:pPr>
        <w:jc w:val="both"/>
      </w:pPr>
      <w:r>
        <w:t>\end{</w:t>
      </w:r>
      <w:proofErr w:type="spellStart"/>
      <w:r>
        <w:t>tabular</w:t>
      </w:r>
      <w:proofErr w:type="spellEnd"/>
      <w:r>
        <w:t>}</w:t>
      </w:r>
    </w:p>
    <w:p w14:paraId="1B80284F" w14:textId="6FECA62A" w:rsidR="00B3214C" w:rsidRPr="00B3214C" w:rsidRDefault="00B3214C" w:rsidP="008D1587">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0B155AD6" w14:textId="52AA14B3" w:rsidR="00D979FA" w:rsidRDefault="00D979FA" w:rsidP="008D1587">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8D1587">
      <w:pPr>
        <w:jc w:val="both"/>
      </w:pPr>
      <w:r>
        <w:t>\label{</w:t>
      </w:r>
      <w:proofErr w:type="spellStart"/>
      <w:r>
        <w:t>tab_concerts_venues</w:t>
      </w:r>
      <w:proofErr w:type="spellEnd"/>
      <w:r>
        <w:t>}</w:t>
      </w:r>
    </w:p>
    <w:p w14:paraId="51A07C61" w14:textId="20375E7D" w:rsidR="00D979FA" w:rsidRDefault="00D979FA" w:rsidP="008D1587">
      <w:pPr>
        <w:jc w:val="both"/>
      </w:pPr>
      <w:r>
        <w:t>\end{table}</w:t>
      </w:r>
    </w:p>
    <w:p w14:paraId="0E957A54" w14:textId="178297E0" w:rsidR="008C54E5" w:rsidRDefault="008C54E5" w:rsidP="008D1587">
      <w:pPr>
        <w:jc w:val="both"/>
      </w:pPr>
    </w:p>
    <w:p w14:paraId="09733B4A" w14:textId="4BE56E1E" w:rsidR="008C54E5" w:rsidRDefault="008C54E5" w:rsidP="008D1587">
      <w:pPr>
        <w:jc w:val="both"/>
      </w:pPr>
      <w:r>
        <w:t>\</w:t>
      </w:r>
      <w:proofErr w:type="spellStart"/>
      <w:r>
        <w:t>begin</w:t>
      </w:r>
      <w:proofErr w:type="spellEnd"/>
      <w:r>
        <w:t>{table}[</w:t>
      </w:r>
      <w:r>
        <w:t>h</w:t>
      </w:r>
      <w:r>
        <w:t>]</w:t>
      </w:r>
    </w:p>
    <w:p w14:paraId="3BBE4EAA" w14:textId="47402A2A" w:rsidR="008C54E5" w:rsidRDefault="008C54E5" w:rsidP="008D1587">
      <w:pPr>
        <w:jc w:val="both"/>
      </w:pPr>
      <w:r>
        <w:t>\</w:t>
      </w:r>
      <w:proofErr w:type="spellStart"/>
      <w:r>
        <w:t>centering</w:t>
      </w:r>
      <w:proofErr w:type="spellEnd"/>
    </w:p>
    <w:p w14:paraId="5997B321" w14:textId="77777777" w:rsidR="008D1587" w:rsidRDefault="008D1587" w:rsidP="008D1587">
      <w:pPr>
        <w:jc w:val="both"/>
      </w:pPr>
      <w:r>
        <w:t>\</w:t>
      </w:r>
      <w:proofErr w:type="spellStart"/>
      <w:r>
        <w:t>begin</w:t>
      </w:r>
      <w:proofErr w:type="spellEnd"/>
      <w:r>
        <w:t>{</w:t>
      </w:r>
      <w:proofErr w:type="spellStart"/>
      <w:r>
        <w:t>tabular</w:t>
      </w:r>
      <w:proofErr w:type="spellEnd"/>
      <w:r>
        <w:t>}{|</w:t>
      </w:r>
      <w:proofErr w:type="spellStart"/>
      <w:r>
        <w:t>l|c|c|c|c|c</w:t>
      </w:r>
      <w:proofErr w:type="spellEnd"/>
      <w:r>
        <w:t>|}</w:t>
      </w:r>
    </w:p>
    <w:p w14:paraId="2BBFCE09" w14:textId="77777777" w:rsidR="008D1587" w:rsidRDefault="008D1587" w:rsidP="008D1587">
      <w:pPr>
        <w:jc w:val="both"/>
      </w:pPr>
      <w:r>
        <w:t>\</w:t>
      </w:r>
      <w:proofErr w:type="spellStart"/>
      <w:r>
        <w:t>hline</w:t>
      </w:r>
      <w:proofErr w:type="spellEnd"/>
    </w:p>
    <w:p w14:paraId="784FE8F6" w14:textId="77777777" w:rsidR="008D1587" w:rsidRDefault="008D1587" w:rsidP="008D1587">
      <w:pPr>
        <w:jc w:val="both"/>
      </w:pPr>
      <w:r>
        <w:t xml:space="preserve">                                    &amp; Salles &amp; Concerts &amp; Artistes &amp; Genres Spotify &amp; Top genres \\ \</w:t>
      </w:r>
      <w:proofErr w:type="spellStart"/>
      <w:r>
        <w:t>hline</w:t>
      </w:r>
      <w:proofErr w:type="spellEnd"/>
    </w:p>
    <w:p w14:paraId="2CA92053" w14:textId="77777777" w:rsidR="008D1587" w:rsidRDefault="008D1587" w:rsidP="008D1587">
      <w:pPr>
        <w:jc w:val="both"/>
      </w:pPr>
      <w:r>
        <w:t>Toutes les données                  &amp; 5'</w:t>
      </w:r>
      <w:proofErr w:type="gramStart"/>
      <w:r>
        <w:t>063  &amp;</w:t>
      </w:r>
      <w:proofErr w:type="gramEnd"/>
      <w:r>
        <w:t xml:space="preserve"> 62'827   &amp; 24'719   &amp; 3'649          &amp; 23         \\ \</w:t>
      </w:r>
      <w:proofErr w:type="spellStart"/>
      <w:r>
        <w:t>hline</w:t>
      </w:r>
      <w:proofErr w:type="spellEnd"/>
    </w:p>
    <w:p w14:paraId="6F49ECD6" w14:textId="77777777" w:rsidR="008D1587" w:rsidRDefault="008D1587" w:rsidP="008D1587">
      <w:pPr>
        <w:jc w:val="both"/>
      </w:pPr>
      <w:r>
        <w:t>Salles (n concerts \</w:t>
      </w:r>
      <w:proofErr w:type="spellStart"/>
      <w:r>
        <w:t>textgreater</w:t>
      </w:r>
      <w:proofErr w:type="spellEnd"/>
      <w:r>
        <w:t xml:space="preserve"> 39) &amp; 251    &amp; 43'478   &amp; 20'417   &amp; 3'422          &amp; 23         \\ \</w:t>
      </w:r>
      <w:proofErr w:type="spellStart"/>
      <w:r>
        <w:t>hline</w:t>
      </w:r>
      <w:proofErr w:type="spellEnd"/>
    </w:p>
    <w:p w14:paraId="020FC209" w14:textId="77777777" w:rsidR="008D1587" w:rsidRDefault="008D1587" w:rsidP="008D1587">
      <w:pPr>
        <w:jc w:val="both"/>
      </w:pPr>
      <w:r>
        <w:t>\% (n concerts \</w:t>
      </w:r>
      <w:proofErr w:type="spellStart"/>
      <w:r>
        <w:t>textgreater</w:t>
      </w:r>
      <w:proofErr w:type="spellEnd"/>
      <w:r>
        <w:t xml:space="preserve"> 39)     &amp; 0.05   &amp; 0.70     &amp; 0.83     &amp; 0.94           &amp; 1.00       \\ \</w:t>
      </w:r>
      <w:proofErr w:type="spellStart"/>
      <w:r>
        <w:t>hline</w:t>
      </w:r>
      <w:proofErr w:type="spellEnd"/>
    </w:p>
    <w:p w14:paraId="27130F24" w14:textId="64AF7B30" w:rsidR="008C54E5" w:rsidRDefault="008D1587" w:rsidP="008D1587">
      <w:pPr>
        <w:jc w:val="both"/>
      </w:pPr>
      <w:r>
        <w:t>\end{</w:t>
      </w:r>
      <w:proofErr w:type="spellStart"/>
      <w:r>
        <w:t>tabular</w:t>
      </w:r>
      <w:proofErr w:type="spellEnd"/>
      <w:r>
        <w:t>}</w:t>
      </w:r>
    </w:p>
    <w:p w14:paraId="3B15C9DD" w14:textId="3B9942E1" w:rsidR="00B3214C" w:rsidRPr="00B3214C" w:rsidRDefault="00B3214C" w:rsidP="008D1587">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8D1587">
      <w:pPr>
        <w:jc w:val="both"/>
      </w:pPr>
      <w:r>
        <w:lastRenderedPageBreak/>
        <w:t>\</w:t>
      </w:r>
      <w:proofErr w:type="spellStart"/>
      <w:r>
        <w:t>caption</w:t>
      </w:r>
      <w:proofErr w:type="spellEnd"/>
      <w:r>
        <w:t>{</w:t>
      </w:r>
      <w:r>
        <w:t>Distribution des données dans les salles les plus actives.</w:t>
      </w:r>
      <w:r>
        <w:t>}</w:t>
      </w:r>
    </w:p>
    <w:p w14:paraId="5F47E88C" w14:textId="64B1337A" w:rsidR="00030FB0" w:rsidRDefault="00030FB0" w:rsidP="008D1587">
      <w:pPr>
        <w:jc w:val="both"/>
      </w:pPr>
      <w:r>
        <w:t>\label{</w:t>
      </w:r>
      <w:proofErr w:type="spellStart"/>
      <w:r>
        <w:t>tab_salles_actives</w:t>
      </w:r>
      <w:proofErr w:type="spellEnd"/>
      <w:r>
        <w:t>}</w:t>
      </w:r>
    </w:p>
    <w:p w14:paraId="08091810" w14:textId="6C62425F" w:rsidR="008C54E5" w:rsidRDefault="008C54E5" w:rsidP="008D1587">
      <w:pPr>
        <w:jc w:val="both"/>
      </w:pPr>
      <w:r>
        <w:t>\end{table}</w:t>
      </w:r>
    </w:p>
    <w:p w14:paraId="1099360B" w14:textId="12DF768D" w:rsidR="00433DE9" w:rsidRDefault="00433DE9" w:rsidP="008D1587">
      <w:pPr>
        <w:jc w:val="both"/>
      </w:pPr>
    </w:p>
    <w:p w14:paraId="21D3BB9E" w14:textId="4DE7C175" w:rsidR="008D1587" w:rsidRDefault="008D1587" w:rsidP="008D1587">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non-dédiées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 xml:space="preserve">qui va au-delà du réseau habituel de salles et lieux de concerts. \par </w:t>
      </w:r>
    </w:p>
    <w:p w14:paraId="6ACAAE3C" w14:textId="77777777" w:rsidR="008D1587" w:rsidRDefault="008D1587" w:rsidP="008D1587">
      <w:pPr>
        <w:jc w:val="both"/>
      </w:pPr>
    </w:p>
    <w:p w14:paraId="470DF797" w14:textId="6543863C" w:rsidR="00433DE9" w:rsidRDefault="00433DE9" w:rsidP="008D1587">
      <w:pPr>
        <w:jc w:val="both"/>
      </w:pPr>
      <w:r>
        <w:t>\</w:t>
      </w:r>
      <w:proofErr w:type="spellStart"/>
      <w:r>
        <w:t>begin</w:t>
      </w:r>
      <w:proofErr w:type="spellEnd"/>
      <w:r>
        <w:t>{table}[</w:t>
      </w:r>
      <w:r>
        <w:t>h</w:t>
      </w:r>
      <w:r>
        <w:t>]</w:t>
      </w:r>
    </w:p>
    <w:p w14:paraId="6A81A1F5" w14:textId="3D364004" w:rsidR="00433DE9" w:rsidRDefault="00433DE9" w:rsidP="008D1587">
      <w:pPr>
        <w:jc w:val="both"/>
      </w:pPr>
      <w:r>
        <w:t>\</w:t>
      </w:r>
      <w:proofErr w:type="spellStart"/>
      <w:r>
        <w:t>centering</w:t>
      </w:r>
      <w:proofErr w:type="spellEnd"/>
    </w:p>
    <w:p w14:paraId="3E7504A5" w14:textId="77777777" w:rsidR="008D1587" w:rsidRDefault="008D1587" w:rsidP="008D1587">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8D1587">
      <w:pPr>
        <w:jc w:val="both"/>
      </w:pPr>
      <w:r>
        <w:t>\</w:t>
      </w:r>
      <w:proofErr w:type="spellStart"/>
      <w:r>
        <w:t>hline</w:t>
      </w:r>
      <w:proofErr w:type="spellEnd"/>
    </w:p>
    <w:p w14:paraId="75FE6F3F" w14:textId="57437EB2" w:rsidR="008D1587" w:rsidRDefault="008D1587" w:rsidP="008D1587">
      <w:pPr>
        <w:jc w:val="both"/>
      </w:pPr>
      <w:r>
        <w:t xml:space="preserve">           &amp; </w:t>
      </w:r>
      <w:proofErr w:type="spellStart"/>
      <w:r>
        <w:t>Rest</w:t>
      </w:r>
      <w:proofErr w:type="spellEnd"/>
      <w:r>
        <w:t>.</w:t>
      </w:r>
      <w:r>
        <w:t xml:space="preserve"> &amp; Ephémères &amp; Lieux-dits &amp; Festival &amp; Culturels &amp; Autres &amp; Total \\ \</w:t>
      </w:r>
      <w:proofErr w:type="spellStart"/>
      <w:r>
        <w:t>hline</w:t>
      </w:r>
      <w:proofErr w:type="spellEnd"/>
    </w:p>
    <w:p w14:paraId="3CFEC1C4" w14:textId="77777777" w:rsidR="008D1587" w:rsidRDefault="008D1587" w:rsidP="008D1587">
      <w:pPr>
        <w:jc w:val="both"/>
      </w:pPr>
      <w:r>
        <w:t>Nombre     &amp; 7           &amp; 2         &amp; 4          &amp; 6        &amp; 4         &amp; 7      &amp; 30    \\ \</w:t>
      </w:r>
      <w:proofErr w:type="spellStart"/>
      <w:r>
        <w:t>hline</w:t>
      </w:r>
      <w:proofErr w:type="spellEnd"/>
    </w:p>
    <w:p w14:paraId="145C5C0A" w14:textId="77777777" w:rsidR="008D1587" w:rsidRDefault="008D1587" w:rsidP="008D1587">
      <w:pPr>
        <w:jc w:val="both"/>
      </w:pPr>
      <w:r>
        <w:t xml:space="preserve">Proportion &amp; 0.23        &amp; 0.07      &amp; 0.13       &amp; 0.20     &amp; 0.13      &amp; 0.23   &amp; </w:t>
      </w:r>
      <w:proofErr w:type="gramStart"/>
      <w:r>
        <w:t>1.00  \</w:t>
      </w:r>
      <w:proofErr w:type="gramEnd"/>
      <w:r>
        <w:t>\ \</w:t>
      </w:r>
      <w:proofErr w:type="spellStart"/>
      <w:r>
        <w:t>hline</w:t>
      </w:r>
      <w:proofErr w:type="spellEnd"/>
    </w:p>
    <w:p w14:paraId="47D45939" w14:textId="01A7812B" w:rsidR="00433DE9" w:rsidRDefault="008D1587" w:rsidP="008D1587">
      <w:pPr>
        <w:jc w:val="both"/>
      </w:pPr>
      <w:r>
        <w:t>\end{</w:t>
      </w:r>
      <w:proofErr w:type="spellStart"/>
      <w:r>
        <w:t>tabular</w:t>
      </w:r>
      <w:proofErr w:type="spellEnd"/>
      <w:r>
        <w:t>}</w:t>
      </w:r>
    </w:p>
    <w:p w14:paraId="1212F06B" w14:textId="740B14CE" w:rsidR="00B3214C" w:rsidRPr="00B3214C" w:rsidRDefault="00B3214C" w:rsidP="008D1587">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E16A693" w14:textId="5759C1B5" w:rsidR="00433DE9" w:rsidRDefault="00433DE9" w:rsidP="008D1587">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030FB0">
      <w:pPr>
        <w:jc w:val="both"/>
      </w:pPr>
      <w:r>
        <w:t>\label{</w:t>
      </w:r>
      <w:proofErr w:type="spellStart"/>
      <w:r w:rsidRPr="00433DE9">
        <w:t>tab_sample_lieux</w:t>
      </w:r>
      <w:proofErr w:type="spellEnd"/>
      <w:r>
        <w:t>}</w:t>
      </w:r>
    </w:p>
    <w:p w14:paraId="009AA449" w14:textId="21B5AE04" w:rsidR="00433DE9" w:rsidRDefault="00433DE9" w:rsidP="008D1587">
      <w:pPr>
        <w:jc w:val="both"/>
      </w:pPr>
      <w:r>
        <w:t>\end{table}</w:t>
      </w:r>
    </w:p>
    <w:p w14:paraId="51E18E04" w14:textId="551222FE" w:rsidR="001B4192" w:rsidRDefault="001B4192" w:rsidP="008D1587">
      <w:pPr>
        <w:jc w:val="both"/>
      </w:pPr>
    </w:p>
    <w:p w14:paraId="33D5478F" w14:textId="62E70902" w:rsidR="001B4192"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{Corrélations des données acoustiques}</w:t>
      </w:r>
    </w:p>
    <w:p w14:paraId="545172C2" w14:textId="53AC5EEE" w:rsidR="003B2CE7" w:rsidRDefault="003B2CE7" w:rsidP="008D1587">
      <w:pPr>
        <w:jc w:val="both"/>
      </w:pPr>
    </w:p>
    <w:p w14:paraId="380D8671" w14:textId="40DA7B7D" w:rsidR="00042256" w:rsidRDefault="003B2CE7" w:rsidP="008D1587">
      <w:pPr>
        <w:jc w:val="both"/>
      </w:pPr>
      <w:r>
        <w:t xml:space="preserve">Une matrice de corrélation </w:t>
      </w:r>
      <w:r w:rsidR="003F2C0F">
        <w:t xml:space="preserve">est calculée </w:t>
      </w:r>
      <w:r>
        <w:t>sur l’ensemble des</w:t>
      </w:r>
      <w:r w:rsidR="003F2C0F">
        <w:t xml:space="preserve"> variables </w:t>
      </w:r>
      <w:r>
        <w:t>acoustiques (a</w:t>
      </w:r>
      <w:r w:rsidRPr="003B2CE7">
        <w:t>cousticness</w:t>
      </w:r>
      <w:r>
        <w:t xml:space="preserve">, </w:t>
      </w:r>
      <w:proofErr w:type="spellStart"/>
      <w:r>
        <w:t>d</w:t>
      </w:r>
      <w:r w:rsidRPr="003B2CE7">
        <w:t>anceability</w:t>
      </w:r>
      <w:proofErr w:type="spellEnd"/>
      <w:r>
        <w:t>, d</w:t>
      </w:r>
      <w:r w:rsidRPr="003B2CE7">
        <w:t>uration</w:t>
      </w:r>
      <w:r>
        <w:t xml:space="preserve">, </w:t>
      </w:r>
      <w:proofErr w:type="spellStart"/>
      <w:r>
        <w:t>e</w:t>
      </w:r>
      <w:r w:rsidRPr="003B2CE7">
        <w:t>nergy</w:t>
      </w:r>
      <w:proofErr w:type="spellEnd"/>
      <w:r>
        <w:t>, i</w:t>
      </w:r>
      <w:r w:rsidRPr="003B2CE7">
        <w:t>nstrumentalness</w:t>
      </w:r>
      <w:r>
        <w:t xml:space="preserve">, </w:t>
      </w:r>
      <w:proofErr w:type="spellStart"/>
      <w:r>
        <w:t>l</w:t>
      </w:r>
      <w:r w:rsidRPr="003B2CE7">
        <w:t>iveness</w:t>
      </w:r>
      <w:proofErr w:type="spellEnd"/>
      <w:r>
        <w:t xml:space="preserve">, </w:t>
      </w:r>
      <w:proofErr w:type="spellStart"/>
      <w:r>
        <w:t>l</w:t>
      </w:r>
      <w:r w:rsidRPr="003B2CE7">
        <w:t>oudness</w:t>
      </w:r>
      <w:proofErr w:type="spellEnd"/>
      <w:r>
        <w:t>, s</w:t>
      </w:r>
      <w:r w:rsidRPr="003B2CE7">
        <w:t>peechiness</w:t>
      </w:r>
      <w:r>
        <w:t>, t</w:t>
      </w:r>
      <w:r w:rsidRPr="003B2CE7">
        <w:t>empo</w:t>
      </w:r>
      <w:r>
        <w:t>, v</w:t>
      </w:r>
      <w:r w:rsidRPr="003B2CE7">
        <w:t>alence</w:t>
      </w:r>
      <w:r>
        <w:t>)</w:t>
      </w:r>
      <w:r w:rsidR="003F2C0F">
        <w:t xml:space="preserve"> afin de mettre</w:t>
      </w:r>
      <w:r>
        <w:t xml:space="preserve"> en évidence </w:t>
      </w:r>
      <w:r w:rsidR="003F2C0F">
        <w:t>l’existence ou non de liens entre certains de ces indicateurs. Des variables dépendantes l’une de l’autre pourraient servir de point de comparaison initial entre plusieurs salles de concert en observant si les salles suivent cette corrélation ou non.</w:t>
      </w:r>
      <w:r>
        <w:t xml:space="preserve"> </w:t>
      </w:r>
      <w:r w:rsidR="003F2C0F">
        <w:t>Les variables qui ont une forte corrélation (coefficient \</w:t>
      </w:r>
      <w:proofErr w:type="spellStart"/>
      <w:r w:rsidR="003F2C0F">
        <w:t>textgreater</w:t>
      </w:r>
      <w:proofErr w:type="spellEnd"/>
      <w:r w:rsidR="003F2C0F">
        <w:t xml:space="preserve"> 0.50) représentent des aspects qui, logiquement, sont liés : </w:t>
      </w:r>
      <w:proofErr w:type="spellStart"/>
      <w:r w:rsidR="003F2C0F">
        <w:t>energy</w:t>
      </w:r>
      <w:proofErr w:type="spellEnd"/>
      <w:r w:rsidR="003F2C0F">
        <w:t xml:space="preserve"> et </w:t>
      </w:r>
      <w:proofErr w:type="spellStart"/>
      <w:r w:rsidR="003F2C0F">
        <w:t>loudness</w:t>
      </w:r>
      <w:proofErr w:type="spellEnd"/>
      <w:r w:rsidR="005247A1">
        <w:t> ;</w:t>
      </w:r>
      <w:r w:rsidR="003F2C0F">
        <w:t xml:space="preserve"> </w:t>
      </w:r>
      <w:proofErr w:type="spellStart"/>
      <w:r w:rsidR="003F2C0F">
        <w:t>energy</w:t>
      </w:r>
      <w:proofErr w:type="spellEnd"/>
      <w:r w:rsidR="003F2C0F">
        <w:t xml:space="preserve"> et acousticness</w:t>
      </w:r>
      <w:r w:rsidR="005247A1">
        <w:t xml:space="preserve"> (négativement)</w:t>
      </w:r>
      <w:r w:rsidR="003F2C0F">
        <w:t xml:space="preserve"> et </w:t>
      </w:r>
      <w:proofErr w:type="spellStart"/>
      <w:r w:rsidR="003F2C0F">
        <w:t>loudness</w:t>
      </w:r>
      <w:proofErr w:type="spellEnd"/>
      <w:r w:rsidR="003F2C0F">
        <w:t xml:space="preserve"> et acousticness</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5247A1">
        <w:t xml:space="preserve"> 0.30 et \</w:t>
      </w:r>
      <w:proofErr w:type="spellStart"/>
      <w:r w:rsidR="005247A1">
        <w:t>text</w:t>
      </w:r>
      <w:r w:rsidR="000820B5">
        <w:t>less</w:t>
      </w:r>
      <w:proofErr w:type="spellEnd"/>
      <w:r w:rsidR="005247A1">
        <w:t xml:space="preserve"> 0.50) : </w:t>
      </w:r>
      <w:proofErr w:type="spellStart"/>
      <w:r w:rsidR="005247A1">
        <w:t>danceability</w:t>
      </w:r>
      <w:proofErr w:type="spellEnd"/>
      <w:r w:rsidR="005247A1">
        <w:t xml:space="preserve"> et valence et </w:t>
      </w:r>
      <w:proofErr w:type="spellStart"/>
      <w:r w:rsidR="005247A1">
        <w:t>loudness</w:t>
      </w:r>
      <w:proofErr w:type="spellEnd"/>
      <w:r w:rsidR="005247A1">
        <w:t xml:space="preserve"> et instrumentalness (négativement). Là aussi les rapprochements entre ces </w:t>
      </w:r>
      <w:r w:rsidR="00042256">
        <w:t xml:space="preserve">éléments sont plutôt évidents puisque plus une musique est dansante, plus elle suppose un sentiment positif, et plus une musique est forte, moins l’aspect instrumental se fait ressentir. Enfin, on observe plusieurs </w:t>
      </w:r>
      <w:r w:rsidR="00042256">
        <w:lastRenderedPageBreak/>
        <w:t>de variables avec un coefficient de corrélation faible (coefficient \</w:t>
      </w:r>
      <w:proofErr w:type="spellStart"/>
      <w:r w:rsidR="00042256">
        <w:t>text</w:t>
      </w:r>
      <w:r w:rsidR="000820B5">
        <w:t>less</w:t>
      </w:r>
      <w:proofErr w:type="spellEnd"/>
      <w:r w:rsidR="00042256">
        <w:t xml:space="preserve"> 0.30) : </w:t>
      </w:r>
      <w:proofErr w:type="spellStart"/>
      <w:r w:rsidR="00042256">
        <w:t>e</w:t>
      </w:r>
      <w:r w:rsidR="00042256">
        <w:t>nergy-</w:t>
      </w:r>
      <w:r w:rsidR="00042256">
        <w:t>l</w:t>
      </w:r>
      <w:r w:rsidR="00042256">
        <w:t>iveness</w:t>
      </w:r>
      <w:proofErr w:type="spellEnd"/>
      <w:r w:rsidR="00042256">
        <w:t xml:space="preserve">, </w:t>
      </w:r>
      <w:proofErr w:type="spellStart"/>
      <w:r w:rsidR="00042256">
        <w:t>e</w:t>
      </w:r>
      <w:r w:rsidR="00042256">
        <w:t>nergy</w:t>
      </w:r>
      <w:proofErr w:type="spellEnd"/>
      <w:r w:rsidR="00042256">
        <w:t>-t</w:t>
      </w:r>
      <w:r w:rsidR="00042256">
        <w:t>empo</w:t>
      </w:r>
      <w:r w:rsidR="00042256">
        <w:t xml:space="preserve">, </w:t>
      </w:r>
      <w:proofErr w:type="spellStart"/>
      <w:r w:rsidR="00042256">
        <w:t>e</w:t>
      </w:r>
      <w:r w:rsidR="00042256" w:rsidRPr="00042256">
        <w:t>nergy</w:t>
      </w:r>
      <w:proofErr w:type="spellEnd"/>
      <w:r w:rsidR="00042256" w:rsidRPr="00042256">
        <w:t>-</w:t>
      </w:r>
      <w:r w:rsidR="00042256">
        <w:t>va</w:t>
      </w:r>
      <w:r w:rsidR="00042256" w:rsidRPr="00042256">
        <w:t>lence</w:t>
      </w:r>
      <w:r w:rsidR="00042256">
        <w:t xml:space="preserve">, </w:t>
      </w:r>
      <w:proofErr w:type="spellStart"/>
      <w:r w:rsidR="00042256">
        <w:t>l</w:t>
      </w:r>
      <w:r w:rsidR="00042256" w:rsidRPr="00042256">
        <w:t>oudness</w:t>
      </w:r>
      <w:proofErr w:type="spellEnd"/>
      <w:r w:rsidR="00042256" w:rsidRPr="00042256">
        <w:t>-</w:t>
      </w:r>
      <w:r w:rsidR="00042256">
        <w:t>va</w:t>
      </w:r>
      <w:r w:rsidR="00042256" w:rsidRPr="00042256">
        <w:t>lence</w:t>
      </w:r>
      <w:r w:rsidR="00042256">
        <w:t xml:space="preserve">, </w:t>
      </w:r>
      <w:proofErr w:type="spellStart"/>
      <w:r w:rsidR="00042256">
        <w:t>l</w:t>
      </w:r>
      <w:r w:rsidR="00042256" w:rsidRPr="00042256">
        <w:t>oudness</w:t>
      </w:r>
      <w:proofErr w:type="spellEnd"/>
      <w:r w:rsidR="00042256" w:rsidRPr="00042256">
        <w:t>-</w:t>
      </w:r>
      <w:r w:rsidR="00042256">
        <w:t>t</w:t>
      </w:r>
      <w:r w:rsidR="00042256" w:rsidRPr="00042256">
        <w:t>empo</w:t>
      </w:r>
      <w:r w:rsidR="00042256">
        <w:t xml:space="preserve">, </w:t>
      </w:r>
      <w:proofErr w:type="spellStart"/>
      <w:r w:rsidR="00042256">
        <w:t>l</w:t>
      </w:r>
      <w:r w:rsidR="00042256" w:rsidRPr="00042256">
        <w:t>oudness</w:t>
      </w:r>
      <w:proofErr w:type="spellEnd"/>
      <w:r w:rsidR="00042256" w:rsidRPr="00042256">
        <w:t>-</w:t>
      </w:r>
      <w:r w:rsidR="00042256">
        <w:t>d</w:t>
      </w:r>
      <w:r w:rsidR="00042256" w:rsidRPr="00042256">
        <w:t>uration</w:t>
      </w:r>
      <w:r w:rsidR="00042256">
        <w:t>, a</w:t>
      </w:r>
      <w:r w:rsidR="00042256">
        <w:t>cousticness-</w:t>
      </w:r>
      <w:r w:rsidR="00042256">
        <w:t>t</w:t>
      </w:r>
      <w:r w:rsidR="00042256">
        <w:t>empo</w:t>
      </w:r>
      <w:r w:rsidR="00042256">
        <w:t>, a</w:t>
      </w:r>
      <w:r w:rsidR="00042256">
        <w:t>cousticness-</w:t>
      </w:r>
      <w:r w:rsidR="00042256">
        <w:t>v</w:t>
      </w:r>
      <w:r w:rsidR="00042256">
        <w:t>alence</w:t>
      </w:r>
      <w:r w:rsidR="00042256">
        <w:t>, i</w:t>
      </w:r>
      <w:r w:rsidR="00042256">
        <w:t>nstrumentalness</w:t>
      </w:r>
      <w:r w:rsidR="00042256">
        <w:t>-d</w:t>
      </w:r>
      <w:r w:rsidR="00042256">
        <w:t>uration</w:t>
      </w:r>
      <w:r w:rsidR="00042256">
        <w:t>, v</w:t>
      </w:r>
      <w:r w:rsidR="00042256">
        <w:t>alence-</w:t>
      </w:r>
      <w:r w:rsidR="00042256">
        <w:t>d</w:t>
      </w:r>
      <w:r w:rsidR="00042256">
        <w:t>uration</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57F5293E" w14:textId="77777777" w:rsidR="00042256" w:rsidRDefault="00042256" w:rsidP="008D1587">
      <w:pPr>
        <w:jc w:val="both"/>
      </w:pPr>
    </w:p>
    <w:p w14:paraId="2C9F720B" w14:textId="338F9DD9" w:rsidR="001B4192" w:rsidRPr="00755958" w:rsidRDefault="001B4192" w:rsidP="008D1587">
      <w:pPr>
        <w:jc w:val="both"/>
        <w:rPr>
          <w:b/>
          <w:bCs/>
        </w:rPr>
      </w:pPr>
      <w:r w:rsidRPr="00755958">
        <w:rPr>
          <w:b/>
          <w:bCs/>
        </w:rPr>
        <w:t>\section{Mise en valeur des données collectées}</w:t>
      </w:r>
    </w:p>
    <w:p w14:paraId="104F436E" w14:textId="44843E66" w:rsidR="001B4192" w:rsidRDefault="001B4192" w:rsidP="008D1587">
      <w:pPr>
        <w:jc w:val="both"/>
      </w:pPr>
    </w:p>
    <w:p w14:paraId="205AB7CF" w14:textId="792B1654" w:rsidR="003C7C22" w:rsidRPr="00755958" w:rsidRDefault="003C7C22" w:rsidP="008D1587">
      <w:pPr>
        <w:jc w:val="both"/>
        <w:rPr>
          <w:b/>
          <w:bCs/>
        </w:rPr>
      </w:pPr>
      <w:r w:rsidRPr="00755958">
        <w:rPr>
          <w:b/>
          <w:bCs/>
        </w:rPr>
        <w:t>\</w:t>
      </w:r>
      <w:proofErr w:type="spellStart"/>
      <w:r w:rsidRPr="00755958">
        <w:rPr>
          <w:b/>
          <w:bCs/>
        </w:rPr>
        <w:t>subsection</w:t>
      </w:r>
      <w:proofErr w:type="spellEnd"/>
      <w:r w:rsidRPr="00755958">
        <w:rPr>
          <w:b/>
          <w:bCs/>
        </w:rPr>
        <w:t>{Cartographie des salles de concert}</w:t>
      </w:r>
    </w:p>
    <w:p w14:paraId="604B89EA" w14:textId="77777777" w:rsidR="003C7C22" w:rsidRDefault="003C7C22" w:rsidP="008D1587">
      <w:pPr>
        <w:jc w:val="both"/>
      </w:pPr>
    </w:p>
    <w:p w14:paraId="2F5326A2" w14:textId="77777777" w:rsidR="002E2991" w:rsidRDefault="00B1538D" w:rsidP="00807138">
      <w:pPr>
        <w:jc w:val="both"/>
      </w:pPr>
      <w:r w:rsidRPr="00B1538D">
        <w:t>Tout d’abord, un outil c</w:t>
      </w:r>
      <w:r>
        <w:t xml:space="preserve">apable de représenter la distribution géographique des salles de concert en Suisse a été développé. La cartographie s’articule autour de deux paramètres, les genres musicaux et les artistes. </w:t>
      </w:r>
      <w:r w:rsidR="002E2991">
        <w:t xml:space="preserve">\par </w:t>
      </w:r>
    </w:p>
    <w:p w14:paraId="5DD503D4" w14:textId="141F36D8" w:rsidR="002E2991" w:rsidRDefault="002E2991" w:rsidP="00807138">
      <w:pPr>
        <w:jc w:val="both"/>
      </w:pPr>
    </w:p>
    <w:p w14:paraId="412B1D2A" w14:textId="77777777" w:rsidR="002E2991" w:rsidRPr="00AE5CF4" w:rsidRDefault="002E2991" w:rsidP="002E2991">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2E0AA9AD" w14:textId="77777777" w:rsidR="002E2991" w:rsidRPr="00AE5CF4" w:rsidRDefault="002E2991" w:rsidP="002E2991">
      <w:pPr>
        <w:jc w:val="both"/>
        <w:rPr>
          <w:lang w:val="en-US"/>
        </w:rPr>
      </w:pPr>
      <w:r w:rsidRPr="00AE5CF4">
        <w:rPr>
          <w:lang w:val="en-US"/>
        </w:rPr>
        <w:t>\centering</w:t>
      </w:r>
    </w:p>
    <w:p w14:paraId="6A1C2E62" w14:textId="7DBEE0B1" w:rsidR="002E2991" w:rsidRDefault="002E2991" w:rsidP="002E2991">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genre.</w:t>
      </w:r>
      <w:r w:rsidRPr="000820B5">
        <w:rPr>
          <w:lang w:val="en-US"/>
        </w:rPr>
        <w:t>png}</w:t>
      </w:r>
    </w:p>
    <w:p w14:paraId="1EBEEFCC" w14:textId="08E7679C" w:rsidR="00B3214C" w:rsidRDefault="00B3214C" w:rsidP="002E2991">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562C4BF4" w14:textId="5BA4724E" w:rsidR="002E2991" w:rsidRPr="002E2991" w:rsidRDefault="002E2991" w:rsidP="002E2991">
      <w:pPr>
        <w:jc w:val="both"/>
      </w:pPr>
      <w:r w:rsidRPr="002E2991">
        <w:t>\</w:t>
      </w:r>
      <w:proofErr w:type="spellStart"/>
      <w:r w:rsidRPr="002E2991">
        <w:t>caption</w:t>
      </w:r>
      <w:proofErr w:type="spellEnd"/>
      <w:r w:rsidRPr="002E2991">
        <w:t>{</w:t>
      </w:r>
      <w:r w:rsidRPr="002E2991">
        <w:t>Visualisation de la distribution géographique des genre</w:t>
      </w:r>
      <w:r>
        <w:t>s jazz, hip hop et dance. Les points de couleur représentent une salle de concert. Les points noirs entourés d’une couleur représentent le centroïde des salles d’un genre. Les lignes grises représentent le lien entre des salles et leur centroïde.</w:t>
      </w:r>
      <w:r w:rsidRPr="002E2991">
        <w:t>}</w:t>
      </w:r>
    </w:p>
    <w:p w14:paraId="7C6AAE1F" w14:textId="33A5451D" w:rsidR="002E2991" w:rsidRPr="002E2991" w:rsidRDefault="002E2991" w:rsidP="002E2991">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2E2991" w:rsidRDefault="002E2991" w:rsidP="00807138">
      <w:pPr>
        <w:jc w:val="both"/>
        <w:rPr>
          <w:lang w:val="en-US"/>
        </w:rPr>
      </w:pPr>
      <w:r w:rsidRPr="002E2991">
        <w:rPr>
          <w:lang w:val="en-US"/>
        </w:rPr>
        <w:t>\end{figure}</w:t>
      </w:r>
    </w:p>
    <w:p w14:paraId="471F3ACA" w14:textId="77777777" w:rsidR="002E2991" w:rsidRPr="002E2991" w:rsidRDefault="002E2991" w:rsidP="00807138">
      <w:pPr>
        <w:jc w:val="both"/>
        <w:rPr>
          <w:lang w:val="en-US"/>
        </w:rPr>
      </w:pPr>
    </w:p>
    <w:p w14:paraId="2928CC7A" w14:textId="48EBE57D" w:rsidR="00847B06" w:rsidRDefault="00B1538D" w:rsidP="00807138">
      <w:pPr>
        <w:jc w:val="both"/>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minimum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\par </w:t>
      </w:r>
    </w:p>
    <w:p w14:paraId="2047A9E7" w14:textId="784DD4F6" w:rsidR="00351A42" w:rsidRDefault="00351A42" w:rsidP="00807138">
      <w:pPr>
        <w:jc w:val="both"/>
      </w:pPr>
    </w:p>
    <w:p w14:paraId="268E05AD" w14:textId="77777777" w:rsidR="00351A42" w:rsidRPr="00AE5CF4" w:rsidRDefault="00351A42" w:rsidP="00351A42">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351A42">
      <w:pPr>
        <w:jc w:val="both"/>
        <w:rPr>
          <w:lang w:val="en-US"/>
        </w:rPr>
      </w:pPr>
      <w:r w:rsidRPr="00AE5CF4">
        <w:rPr>
          <w:lang w:val="en-US"/>
        </w:rPr>
        <w:t>\centering</w:t>
      </w:r>
    </w:p>
    <w:p w14:paraId="1192469B" w14:textId="307E8F69" w:rsidR="00351A42" w:rsidRDefault="00351A42" w:rsidP="00351A42">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artist</w:t>
      </w:r>
      <w:r>
        <w:rPr>
          <w:lang w:val="en-US"/>
        </w:rPr>
        <w:t>.</w:t>
      </w:r>
      <w:r w:rsidRPr="000820B5">
        <w:rPr>
          <w:lang w:val="en-US"/>
        </w:rPr>
        <w:t>png}</w:t>
      </w:r>
    </w:p>
    <w:p w14:paraId="02506A6B" w14:textId="14042BF0" w:rsidR="00B3214C" w:rsidRDefault="00B3214C" w:rsidP="00351A42">
      <w:pPr>
        <w:jc w:val="both"/>
        <w:rPr>
          <w:lang w:val="en-US"/>
        </w:rPr>
      </w:pPr>
      <w:r w:rsidRPr="00B3214C">
        <w:rPr>
          <w:lang w:val="en-US"/>
        </w:rPr>
        <w:lastRenderedPageBreak/>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33AB720A" w14:textId="46894D49" w:rsidR="00351A42" w:rsidRPr="002E2991" w:rsidRDefault="00351A42" w:rsidP="00351A42">
      <w:pPr>
        <w:jc w:val="both"/>
      </w:pPr>
      <w:r w:rsidRPr="002E2991">
        <w:t>\</w:t>
      </w:r>
      <w:proofErr w:type="spellStart"/>
      <w:r w:rsidRPr="002E2991">
        <w:t>caption</w:t>
      </w:r>
      <w:proofErr w:type="spellEnd"/>
      <w:r w:rsidRPr="002E2991">
        <w:t xml:space="preserve">{Visualisation de la distribution géographique des </w:t>
      </w:r>
      <w:r>
        <w:t xml:space="preserve">artistes Duck </w:t>
      </w:r>
      <w:proofErr w:type="spellStart"/>
      <w:r>
        <w:t>Duck</w:t>
      </w:r>
      <w:proofErr w:type="spellEnd"/>
      <w:r>
        <w:t xml:space="preserve"> Grey Duck et </w:t>
      </w:r>
      <w:proofErr w:type="spellStart"/>
      <w:r>
        <w:t>Greis</w:t>
      </w:r>
      <w:proofErr w:type="spellEnd"/>
      <w:r>
        <w:t xml:space="preserve">. Les points de couleur représentent une salle de concert. Les points </w:t>
      </w:r>
      <w:r>
        <w:t xml:space="preserve">orangés plus grands </w:t>
      </w:r>
      <w:r>
        <w:t xml:space="preserve">représentent le centroïde des salles </w:t>
      </w:r>
      <w:r>
        <w:t>fréquentées par un artiste</w:t>
      </w:r>
      <w:r>
        <w:t>.</w:t>
      </w:r>
      <w:r>
        <w:t xml:space="preserve"> La couleur du centroïde représente le coefficient de mobilité pondérée d’un artiste et varie du jaune (peu mobile) au rouge (très mobile).</w:t>
      </w:r>
      <w:r>
        <w:t xml:space="preserve"> Les lignes grises représentent le lien entre des salles et leur centroïde.</w:t>
      </w:r>
      <w:r w:rsidRPr="002E2991">
        <w:t>}</w:t>
      </w:r>
    </w:p>
    <w:p w14:paraId="5342B948" w14:textId="76CBEEE3" w:rsidR="00351A42" w:rsidRPr="002E2991" w:rsidRDefault="00351A42" w:rsidP="00351A42">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Default="00351A42" w:rsidP="00351A42">
      <w:pPr>
        <w:jc w:val="both"/>
        <w:rPr>
          <w:lang w:val="en-US"/>
        </w:rPr>
      </w:pPr>
      <w:r w:rsidRPr="002E2991">
        <w:rPr>
          <w:lang w:val="en-US"/>
        </w:rPr>
        <w:t>\end{figure}</w:t>
      </w:r>
    </w:p>
    <w:p w14:paraId="5D421C1F" w14:textId="4C3DB13F" w:rsidR="00351A42" w:rsidRDefault="00351A42" w:rsidP="00351A42">
      <w:pPr>
        <w:jc w:val="both"/>
        <w:rPr>
          <w:lang w:val="en-US"/>
        </w:rPr>
      </w:pPr>
    </w:p>
    <w:p w14:paraId="5CEFDD99" w14:textId="47DEE3F3" w:rsidR="00351A42" w:rsidRDefault="00351A42" w:rsidP="00807138">
      <w:pPr>
        <w:jc w:val="both"/>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des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 couloirs »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t>\par</w:t>
      </w:r>
    </w:p>
    <w:p w14:paraId="36BC6BF5" w14:textId="20EE7056" w:rsidR="00847B06" w:rsidRDefault="00847B06" w:rsidP="00807138">
      <w:pPr>
        <w:jc w:val="both"/>
      </w:pPr>
    </w:p>
    <w:p w14:paraId="22B8E8D2" w14:textId="77777777" w:rsidR="00B10994" w:rsidRDefault="00B10994" w:rsidP="00B10994">
      <w:pPr>
        <w:jc w:val="both"/>
      </w:pPr>
      <w:r>
        <w:t>\</w:t>
      </w:r>
      <w:proofErr w:type="spellStart"/>
      <w:r>
        <w:t>begin</w:t>
      </w:r>
      <w:proofErr w:type="spellEnd"/>
      <w:r>
        <w:t>{figure}[</w:t>
      </w:r>
      <w:proofErr w:type="spellStart"/>
      <w:r>
        <w:t>htp</w:t>
      </w:r>
      <w:proofErr w:type="spellEnd"/>
      <w:r>
        <w:t>]</w:t>
      </w:r>
    </w:p>
    <w:p w14:paraId="2AC88F1E" w14:textId="77777777" w:rsidR="00B10994" w:rsidRDefault="00B10994" w:rsidP="00B10994">
      <w:pPr>
        <w:jc w:val="both"/>
      </w:pPr>
      <w:r>
        <w:t xml:space="preserve">     \</w:t>
      </w:r>
      <w:proofErr w:type="spellStart"/>
      <w:r>
        <w:t>centering</w:t>
      </w:r>
      <w:proofErr w:type="spellEnd"/>
    </w:p>
    <w:p w14:paraId="6B2728AB" w14:textId="77777777" w:rsidR="00B10994" w:rsidRDefault="00B10994" w:rsidP="00B10994">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58501FDB" w14:textId="77777777" w:rsidR="00B10994" w:rsidRDefault="00B10994" w:rsidP="00B10994">
      <w:pPr>
        <w:jc w:val="both"/>
      </w:pPr>
      <w:r>
        <w:t xml:space="preserve">         \</w:t>
      </w:r>
      <w:proofErr w:type="spellStart"/>
      <w:r>
        <w:t>centering</w:t>
      </w:r>
      <w:proofErr w:type="spellEnd"/>
    </w:p>
    <w:p w14:paraId="14E2F897" w14:textId="77777777" w:rsidR="00B10994" w:rsidRDefault="00B10994" w:rsidP="00B10994">
      <w:pPr>
        <w:jc w:val="both"/>
      </w:pPr>
      <w:r>
        <w:t xml:space="preserve">         \includegraphics[width=\textwidth]{images/resultats/viz_geo_jitter_1.jpg}</w:t>
      </w:r>
    </w:p>
    <w:p w14:paraId="62677F23" w14:textId="77777777" w:rsidR="00B10994" w:rsidRDefault="00B10994" w:rsidP="00B10994">
      <w:pPr>
        <w:jc w:val="both"/>
      </w:pPr>
      <w:r>
        <w:t xml:space="preserve">         \</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B10994">
      <w:pPr>
        <w:jc w:val="both"/>
      </w:pPr>
      <w:r>
        <w:t xml:space="preserve">     \end{</w:t>
      </w:r>
      <w:proofErr w:type="spellStart"/>
      <w:r>
        <w:t>subfigure</w:t>
      </w:r>
      <w:proofErr w:type="spellEnd"/>
      <w:r>
        <w:t>}</w:t>
      </w:r>
    </w:p>
    <w:p w14:paraId="10B66428" w14:textId="77777777" w:rsidR="00B10994" w:rsidRDefault="00B10994" w:rsidP="00B10994">
      <w:pPr>
        <w:jc w:val="both"/>
      </w:pPr>
      <w:r>
        <w:t xml:space="preserve">     \</w:t>
      </w:r>
      <w:proofErr w:type="spellStart"/>
      <w:r>
        <w:t>hfill</w:t>
      </w:r>
      <w:proofErr w:type="spellEnd"/>
    </w:p>
    <w:p w14:paraId="402D1CB6" w14:textId="77777777" w:rsidR="00B10994" w:rsidRDefault="00B10994" w:rsidP="00B10994">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Default="00B10994" w:rsidP="00B10994">
      <w:pPr>
        <w:jc w:val="both"/>
      </w:pPr>
      <w:r>
        <w:t xml:space="preserve">         \</w:t>
      </w:r>
      <w:proofErr w:type="spellStart"/>
      <w:r>
        <w:t>centering</w:t>
      </w:r>
      <w:proofErr w:type="spellEnd"/>
    </w:p>
    <w:p w14:paraId="01731352" w14:textId="77777777" w:rsidR="00B10994" w:rsidRDefault="00B10994" w:rsidP="00B10994">
      <w:pPr>
        <w:jc w:val="both"/>
      </w:pPr>
      <w:r>
        <w:t xml:space="preserve">         \includegraphics[width=\textwidth]{images/resultats/viz_geo_jitter_2.jpg}</w:t>
      </w:r>
    </w:p>
    <w:p w14:paraId="36B8D714" w14:textId="77777777" w:rsidR="00B10994" w:rsidRDefault="00B10994" w:rsidP="00B10994">
      <w:pPr>
        <w:jc w:val="both"/>
      </w:pPr>
      <w:r>
        <w:t xml:space="preserve">         \</w:t>
      </w:r>
      <w:proofErr w:type="spellStart"/>
      <w:r>
        <w:t>caption</w:t>
      </w:r>
      <w:proofErr w:type="spellEnd"/>
      <w:r>
        <w:t>{En zoomant sur le lieu, on peut facilement distinguer tous les individus. Le point bleu central est le point de départ. Les points forment ensuite une spirale rectangulaire dans le sens des aiguilles d'une montre.}</w:t>
      </w:r>
    </w:p>
    <w:p w14:paraId="1FD938F9" w14:textId="02F5C0A6" w:rsidR="00B10994" w:rsidRPr="00B3214C" w:rsidRDefault="00B10994" w:rsidP="00B10994">
      <w:pPr>
        <w:jc w:val="both"/>
        <w:rPr>
          <w:lang w:val="en-US"/>
        </w:rPr>
      </w:pPr>
      <w:r w:rsidRPr="00B3214C">
        <w:rPr>
          <w:lang w:val="en-US"/>
        </w:rPr>
        <w:t xml:space="preserve">     \end{subfigure}</w:t>
      </w:r>
    </w:p>
    <w:p w14:paraId="28EC5D5F" w14:textId="6CF2C772" w:rsidR="00B3214C" w:rsidRPr="00B3214C" w:rsidRDefault="00B3214C" w:rsidP="00B10994">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B10994">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Default="00351A42" w:rsidP="00B10994">
      <w:pPr>
        <w:jc w:val="both"/>
      </w:pPr>
      <w:r>
        <w:t xml:space="preserve">     \label{</w:t>
      </w:r>
      <w:proofErr w:type="spellStart"/>
      <w:r>
        <w:t>fig_jitter</w:t>
      </w:r>
      <w:proofErr w:type="spellEnd"/>
      <w:r>
        <w:t>}</w:t>
      </w:r>
    </w:p>
    <w:p w14:paraId="765862F7" w14:textId="1524FE49" w:rsidR="00847B06" w:rsidRDefault="00B10994" w:rsidP="00B10994">
      <w:pPr>
        <w:jc w:val="both"/>
      </w:pPr>
      <w:r>
        <w:t>\end{figure}</w:t>
      </w:r>
    </w:p>
    <w:p w14:paraId="402D3246" w14:textId="77777777" w:rsidR="00847B06" w:rsidRDefault="00847B06" w:rsidP="00807138">
      <w:pPr>
        <w:jc w:val="both"/>
      </w:pPr>
    </w:p>
    <w:p w14:paraId="1F2B9E8B" w14:textId="4D3570A4" w:rsidR="00BD0698" w:rsidRDefault="00975DCA" w:rsidP="00807138">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 xml:space="preserve">pas </w:t>
      </w:r>
      <w:r>
        <w:t>puisqu’un algorithme de fluctuation (</w:t>
      </w:r>
      <w:r w:rsidRPr="00975DCA">
        <w:t>\</w:t>
      </w:r>
      <w:proofErr w:type="spellStart"/>
      <w:r w:rsidRPr="00975DCA">
        <w:t>emph</w:t>
      </w:r>
      <w:proofErr w:type="spellEnd"/>
      <w:r>
        <w:t>{</w:t>
      </w:r>
      <w:proofErr w:type="spellStart"/>
      <w:r>
        <w:t>jittering</w:t>
      </w:r>
      <w:proofErr w:type="spellEnd"/>
      <w:r>
        <w:t>}</w:t>
      </w:r>
      <w:r w:rsidR="00680894">
        <w:t xml:space="preserve"> en anglais) </w:t>
      </w:r>
      <w:r>
        <w:t>est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162F145B" w14:textId="272C9331" w:rsidR="00E255C9" w:rsidRDefault="00E255C9" w:rsidP="00807138">
      <w:pPr>
        <w:jc w:val="both"/>
      </w:pPr>
    </w:p>
    <w:p w14:paraId="7417981D" w14:textId="3FEB1853" w:rsidR="00E255C9" w:rsidRPr="00755958" w:rsidRDefault="004B5BE2" w:rsidP="00807138">
      <w:pPr>
        <w:jc w:val="both"/>
        <w:rPr>
          <w:b/>
          <w:bCs/>
        </w:rPr>
      </w:pPr>
      <w:r w:rsidRPr="00755958">
        <w:rPr>
          <w:b/>
          <w:bCs/>
        </w:rPr>
        <w:t>\</w:t>
      </w:r>
      <w:proofErr w:type="spellStart"/>
      <w:r w:rsidRPr="00755958">
        <w:rPr>
          <w:b/>
          <w:bCs/>
        </w:rPr>
        <w:t>subsection</w:t>
      </w:r>
      <w:proofErr w:type="spellEnd"/>
      <w:r w:rsidRPr="00755958">
        <w:rPr>
          <w:b/>
          <w:bCs/>
        </w:rPr>
        <w:t>{Caractéristiques des salles de concert}</w:t>
      </w:r>
    </w:p>
    <w:p w14:paraId="0EC3C7EA" w14:textId="5E8367B9" w:rsidR="00236979" w:rsidRDefault="00236979" w:rsidP="00807138">
      <w:pPr>
        <w:jc w:val="both"/>
      </w:pPr>
    </w:p>
    <w:p w14:paraId="722F0A7B" w14:textId="6AE80410" w:rsidR="004B5BE2" w:rsidRDefault="004B5BE2" w:rsidP="00807138">
      <w:pPr>
        <w:jc w:val="both"/>
      </w:pPr>
      <w:r>
        <w:t xml:space="preserve">L’outil de cartographie permet de mettre en relation des données spatiales </w:t>
      </w:r>
      <w:r w:rsidR="00970E29">
        <w:t xml:space="preserve">(la position des salles) </w:t>
      </w:r>
      <w:r>
        <w:t xml:space="preserve">avec des données musicales (les genres prédominants dans les salles) et </w:t>
      </w:r>
      <w:r w:rsidR="00B5001F">
        <w:t xml:space="preserve">avec </w:t>
      </w:r>
      <w:r>
        <w:t xml:space="preserve">des données événementielles (les concerts des artistes). D’autres outils de visualisation ont été </w:t>
      </w:r>
      <w:r w:rsidR="00970E29">
        <w:t>conçus pour mettre en évidence ce qui définit chaque salle par rapport aux autres et en son sein. \par</w:t>
      </w:r>
    </w:p>
    <w:p w14:paraId="61F0D6A4" w14:textId="6F674318" w:rsidR="00970E29" w:rsidRDefault="00970E29" w:rsidP="00807138">
      <w:pPr>
        <w:jc w:val="both"/>
      </w:pPr>
    </w:p>
    <w:p w14:paraId="6785D0AD" w14:textId="77777777" w:rsidR="00970E29" w:rsidRDefault="00970E29" w:rsidP="00807138">
      <w:pPr>
        <w:jc w:val="both"/>
      </w:pPr>
    </w:p>
    <w:p w14:paraId="76E58A25" w14:textId="5EF1937E" w:rsidR="004B5BE2" w:rsidRDefault="004B5BE2" w:rsidP="00807138">
      <w:pPr>
        <w:jc w:val="both"/>
      </w:pPr>
    </w:p>
    <w:p w14:paraId="74B431E5" w14:textId="77777777" w:rsidR="004B5BE2" w:rsidRDefault="004B5BE2" w:rsidP="00807138">
      <w:pPr>
        <w:jc w:val="both"/>
      </w:pPr>
    </w:p>
    <w:p w14:paraId="6DA42BF7" w14:textId="77777777" w:rsidR="003C7C22" w:rsidRDefault="003C7C22" w:rsidP="003C7C22">
      <w:pPr>
        <w:jc w:val="both"/>
      </w:pPr>
    </w:p>
    <w:p w14:paraId="2335EAA6" w14:textId="64A00610" w:rsidR="00AE5CF4" w:rsidRDefault="00AE5CF4" w:rsidP="00AE5CF4">
      <w:pPr>
        <w:jc w:val="both"/>
      </w:pPr>
    </w:p>
    <w:sectPr w:rsidR="00AE5C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ECAC0" w14:textId="77777777" w:rsidR="00C635E9" w:rsidRDefault="00C635E9" w:rsidP="00433DE9">
      <w:pPr>
        <w:spacing w:line="240" w:lineRule="auto"/>
      </w:pPr>
      <w:r>
        <w:separator/>
      </w:r>
    </w:p>
  </w:endnote>
  <w:endnote w:type="continuationSeparator" w:id="0">
    <w:p w14:paraId="1AD0595C" w14:textId="77777777" w:rsidR="00C635E9" w:rsidRDefault="00C635E9"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F8E9D" w14:textId="77777777" w:rsidR="00C635E9" w:rsidRDefault="00C635E9" w:rsidP="00433DE9">
      <w:pPr>
        <w:spacing w:line="240" w:lineRule="auto"/>
      </w:pPr>
      <w:r>
        <w:separator/>
      </w:r>
    </w:p>
  </w:footnote>
  <w:footnote w:type="continuationSeparator" w:id="0">
    <w:p w14:paraId="58B6D8E6" w14:textId="77777777" w:rsidR="00C635E9" w:rsidRDefault="00C635E9"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30FB0"/>
    <w:rsid w:val="00042256"/>
    <w:rsid w:val="00070B47"/>
    <w:rsid w:val="000820B5"/>
    <w:rsid w:val="00095EC9"/>
    <w:rsid w:val="000F32B5"/>
    <w:rsid w:val="00122B72"/>
    <w:rsid w:val="00143A9B"/>
    <w:rsid w:val="001A1704"/>
    <w:rsid w:val="001B4192"/>
    <w:rsid w:val="00231EF1"/>
    <w:rsid w:val="00236979"/>
    <w:rsid w:val="002E2991"/>
    <w:rsid w:val="00340250"/>
    <w:rsid w:val="00351A42"/>
    <w:rsid w:val="003618E0"/>
    <w:rsid w:val="003B2CE7"/>
    <w:rsid w:val="003C7C22"/>
    <w:rsid w:val="003F2C0F"/>
    <w:rsid w:val="00433DE9"/>
    <w:rsid w:val="00437973"/>
    <w:rsid w:val="004458C4"/>
    <w:rsid w:val="004B5BE2"/>
    <w:rsid w:val="005247A1"/>
    <w:rsid w:val="005340D5"/>
    <w:rsid w:val="0058274F"/>
    <w:rsid w:val="005B38AF"/>
    <w:rsid w:val="00641675"/>
    <w:rsid w:val="006463CF"/>
    <w:rsid w:val="00680894"/>
    <w:rsid w:val="00680ECD"/>
    <w:rsid w:val="00681C71"/>
    <w:rsid w:val="007510E4"/>
    <w:rsid w:val="00755958"/>
    <w:rsid w:val="007E3691"/>
    <w:rsid w:val="007F296E"/>
    <w:rsid w:val="00807138"/>
    <w:rsid w:val="00847B06"/>
    <w:rsid w:val="008C54E5"/>
    <w:rsid w:val="008D1587"/>
    <w:rsid w:val="00970E29"/>
    <w:rsid w:val="00975DCA"/>
    <w:rsid w:val="009E4948"/>
    <w:rsid w:val="00A84EDA"/>
    <w:rsid w:val="00AE5CF4"/>
    <w:rsid w:val="00B10994"/>
    <w:rsid w:val="00B1538D"/>
    <w:rsid w:val="00B3214C"/>
    <w:rsid w:val="00B5001F"/>
    <w:rsid w:val="00B61C37"/>
    <w:rsid w:val="00BA4D2F"/>
    <w:rsid w:val="00BD0698"/>
    <w:rsid w:val="00BF78B6"/>
    <w:rsid w:val="00C00E9C"/>
    <w:rsid w:val="00C635E9"/>
    <w:rsid w:val="00C70584"/>
    <w:rsid w:val="00C87551"/>
    <w:rsid w:val="00D4479C"/>
    <w:rsid w:val="00D52E4F"/>
    <w:rsid w:val="00D630F3"/>
    <w:rsid w:val="00D979FA"/>
    <w:rsid w:val="00DE233D"/>
    <w:rsid w:val="00DE4632"/>
    <w:rsid w:val="00E255C9"/>
    <w:rsid w:val="00F47FBD"/>
    <w:rsid w:val="00FA7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5</Pages>
  <Words>1871</Words>
  <Characters>10293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16</cp:revision>
  <dcterms:created xsi:type="dcterms:W3CDTF">2021-12-16T00:18:00Z</dcterms:created>
  <dcterms:modified xsi:type="dcterms:W3CDTF">2021-12-18T06:27:00Z</dcterms:modified>
</cp:coreProperties>
</file>