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200"/>
        <w:jc w:val="center"/>
      </w:pPr>
      <w:r>
        <w:rPr>
          <w:rFonts w:ascii="Arial" w:cs="Arial" w:eastAsia="Arial" w:hAnsi="Arial"/>
          <w:b/>
          <w:bCs/>
          <w:color w:val="1B3A5C"/>
          <w:sz w:val="72"/>
          <w:szCs w:val="72"/>
        </w:rPr>
        <w:t xml:space="preserve">TALOSPRIMES</w:t>
      </w:r>
    </w:p>
    <w:p>
      <w:pPr>
        <w:spacing w:after="600"/>
        <w:jc w:val="center"/>
      </w:pPr>
      <w:r>
        <w:rPr>
          <w:rFonts w:ascii="Arial" w:cs="Arial" w:eastAsia="Arial" w:hAnsi="Arial"/>
          <w:color w:val="2E75B6"/>
          <w:sz w:val="28"/>
          <w:szCs w:val="28"/>
        </w:rPr>
        <w:t xml:space="preserve">Solutions d'Automatisation &amp; Intelligence Artificielle</w:t>
      </w:r>
    </w:p>
    <w:p>
      <w:pPr>
        <w:pBdr>
          <w:bottom w:val="single" w:color="2E75B6" w:sz="6" w:space="1"/>
        </w:pBdr>
        <w:spacing w:after="600"/>
      </w:pPr>
    </w:p>
    <w:p>
      <w:pPr>
        <w:spacing w:after="200"/>
        <w:jc w:val="center"/>
      </w:pPr>
      <w:r>
        <w:rPr>
          <w:rFonts w:ascii="Arial" w:cs="Arial" w:eastAsia="Arial" w:hAnsi="Arial"/>
          <w:b/>
          <w:bCs/>
          <w:color w:val="1B3A5C"/>
          <w:sz w:val="44"/>
          <w:szCs w:val="44"/>
        </w:rPr>
        <w:t xml:space="preserve">DOSSIER COMMERCIAL</w:t>
      </w:r>
    </w:p>
    <w:p>
      <w:pPr>
        <w:spacing w:after="200"/>
        <w:jc w:val="center"/>
      </w:pPr>
      <w:r>
        <w:rPr>
          <w:rFonts w:ascii="Arial" w:cs="Arial" w:eastAsia="Arial" w:hAnsi="Arial"/>
          <w:color w:val="666666"/>
          <w:sz w:val="24"/>
          <w:szCs w:val="24"/>
        </w:rPr>
        <w:t xml:space="preserve">Contrat • CGV • CGU • RGPD • Mentions Légales</w:t>
      </w:r>
    </w:p>
    <w:p>
      <w:pPr>
        <w:spacing w:after="1200"/>
        <w:jc w:val="center"/>
      </w:pPr>
      <w:r>
        <w:rPr>
          <w:rFonts w:ascii="Arial" w:cs="Arial" w:eastAsia="Arial" w:hAnsi="Arial"/>
          <w:color w:val="E67E22"/>
          <w:sz w:val="24"/>
          <w:szCs w:val="24"/>
        </w:rPr>
        <w:t xml:space="preserve">Grille Tarifaire &amp; Offre de Lancement</w:t>
      </w:r>
    </w:p>
    <w:p>
      <w:pPr>
        <w:spacing w:after="100"/>
        <w:jc w:val="center"/>
      </w:pPr>
      <w:r>
        <w:rPr>
          <w:rFonts w:ascii="Arial" w:cs="Arial" w:eastAsia="Arial" w:hAnsi="Arial"/>
          <w:color w:val="666666"/>
          <w:sz w:val="22"/>
          <w:szCs w:val="22"/>
        </w:rPr>
        <w:t xml:space="preserve">Version 1.0 — Mars 2026</w:t>
      </w:r>
    </w:p>
    <w:p>
      <w:pPr>
        <w:jc w:val="center"/>
      </w:pPr>
      <w:r>
        <w:rPr>
          <w:rFonts w:ascii="Arial" w:cs="Arial" w:eastAsia="Arial" w:hAnsi="Arial"/>
          <w:i/>
          <w:iCs/>
          <w:color w:val="666666"/>
          <w:sz w:val="20"/>
          <w:szCs w:val="20"/>
        </w:rPr>
        <w:t xml:space="preserve">Document confidentiel</w:t>
      </w:r>
    </w:p>
    <w:p>
      <w:pPr>
        <w:pageBreakBefore/>
        <w:spacing w:after="400"/>
        <w:jc w:val="center"/>
      </w:pPr>
      <w:r>
        <w:rPr>
          <w:rFonts w:ascii="Arial" w:cs="Arial" w:eastAsia="Arial" w:hAnsi="Arial"/>
          <w:b/>
          <w:bCs/>
          <w:color w:val="1B3A5C"/>
          <w:sz w:val="36"/>
          <w:szCs w:val="36"/>
        </w:rPr>
        <w:t xml:space="preserve">OFFRE DE LANCEMENT</w:t>
      </w:r>
    </w:p>
    <w:p>
      <w:pPr>
        <w:pBdr>
          <w:bottom w:val="single" w:color="E67E22" w:sz="4" w:space="1"/>
        </w:pBdr>
        <w:spacing w:after="4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67E22" w:sz="6"/>
              <w:left w:val="single" w:color="E67E22" w:sz="6"/>
              <w:bottom w:val="single" w:color="E67E22" w:sz="6"/>
              <w:right w:val="single" w:color="E67E22" w:sz="6"/>
            </w:tcBorders>
            <w:shd w:fill="FEF9E7" w:val="clear"/>
            <w:tcMar>
              <w:top w:type="dxa" w:w="200"/>
              <w:left w:type="dxa" w:w="300"/>
              <w:bottom w:type="dxa" w:w="200"/>
              <w:right w:type="dxa" w:w="300"/>
            </w:tcMar>
          </w:tcPr>
          <w:p>
            <w:pPr>
              <w:spacing w:after="200"/>
              <w:jc w:val="center"/>
            </w:pPr>
            <w:r>
              <w:rPr>
                <w:rFonts w:ascii="Arial" w:cs="Arial" w:eastAsia="Arial" w:hAnsi="Arial"/>
                <w:b/>
                <w:bCs/>
                <w:color w:val="E67E22"/>
                <w:sz w:val="28"/>
                <w:szCs w:val="28"/>
              </w:rPr>
              <w:t xml:space="preserve">OFFRE LIMITÉE — PREMIERS CLIENTS</w:t>
            </w:r>
          </w:p>
          <w:p>
            <w:pPr>
              <w:spacing w:after="100"/>
              <w:jc w:val="center"/>
            </w:pPr>
            <w:r>
              <w:rPr>
                <w:rFonts w:ascii="Arial" w:cs="Arial" w:eastAsia="Arial" w:hAnsi="Arial"/>
                <w:sz w:val="24"/>
                <w:szCs w:val="24"/>
              </w:rPr>
              <w:t xml:space="preserve">Setup Agent IA : </w:t>
            </w:r>
            <w:r>
              <w:rPr>
                <w:rFonts w:ascii="Arial" w:cs="Arial" w:eastAsia="Arial" w:hAnsi="Arial"/>
                <w:b/>
                <w:bCs/>
                <w:color w:val="E67E22"/>
                <w:sz w:val="32"/>
                <w:szCs w:val="32"/>
              </w:rPr>
              <w:t xml:space="preserve">1 290€ HT</w:t>
            </w:r>
            <w:r>
              <w:rPr>
                <w:rFonts w:ascii="Arial" w:cs="Arial" w:eastAsia="Arial" w:hAnsi="Arial"/>
                <w:sz w:val="24"/>
                <w:szCs w:val="24"/>
              </w:rPr>
              <w:t xml:space="preserve"> au lieu de </w:t>
            </w:r>
            <w:r>
              <w:rPr>
                <w:rFonts w:ascii="Arial" w:cs="Arial" w:eastAsia="Arial" w:hAnsi="Arial"/>
                <w:strike/>
                <w:color w:val="666666"/>
                <w:sz w:val="24"/>
                <w:szCs w:val="24"/>
              </w:rPr>
              <w:t xml:space="preserve">1 490€ HT</w:t>
            </w:r>
          </w:p>
          <w:p>
            <w:pPr>
              <w:spacing w:after="200"/>
              <w:jc w:val="center"/>
            </w:pPr>
            <w:r>
              <w:rPr>
                <w:rFonts w:ascii="Arial" w:cs="Arial" w:eastAsia="Arial" w:hAnsi="Arial"/>
                <w:b/>
                <w:bCs/>
                <w:color w:val="1B3A5C"/>
                <w:sz w:val="22"/>
                <w:szCs w:val="22"/>
              </w:rPr>
              <w:t xml:space="preserve">+ Premier mois d'abonnement OFFERT (valeur 299€)</w:t>
            </w:r>
          </w:p>
          <w:p>
            <w:pPr>
              <w:jc w:val="center"/>
            </w:pPr>
            <w:r>
              <w:rPr>
                <w:rFonts w:ascii="Arial" w:cs="Arial" w:eastAsia="Arial" w:hAnsi="Arial"/>
                <w:i/>
                <w:iCs/>
                <w:color w:val="666666"/>
                <w:sz w:val="22"/>
                <w:szCs w:val="22"/>
              </w:rPr>
              <w:t xml:space="preserve">Soit une économie de 499€ sur votre démarrage</w:t>
            </w:r>
          </w:p>
        </w:tc>
      </w:tr>
    </w:tbl>
    <w:p>
      <w:pPr>
        <w:spacing w:after="400"/>
      </w:pPr>
    </w:p>
    <w:p>
      <w:pPr>
        <w:spacing w:after="200"/>
      </w:pPr>
      <w:r>
        <w:rPr>
          <w:rFonts w:ascii="Arial" w:cs="Arial" w:eastAsia="Arial" w:hAnsi="Arial"/>
          <w:b/>
          <w:bCs/>
          <w:color w:val="1B3A5C"/>
          <w:sz w:val="24"/>
          <w:szCs w:val="24"/>
        </w:rPr>
        <w:t xml:space="preserve">Ce que comprend l'offre de lancement :</w:t>
      </w:r>
    </w:p>
    <w:p>
      <w:pPr>
        <w:pStyle w:val="ListParagraph"/>
        <w:numPr>
          <w:ilvl w:val="0"/>
          <w:numId w:val="2"/>
        </w:numPr>
        <w:spacing w:after="60"/>
      </w:pPr>
      <w:r>
        <w:rPr>
          <w:rFonts w:ascii="Arial" w:cs="Arial" w:eastAsia="Arial" w:hAnsi="Arial"/>
          <w:b/>
          <w:bCs/>
          <w:sz w:val="22"/>
          <w:szCs w:val="22"/>
        </w:rPr>
        <w:t xml:space="preserve">Installation et configuration complète</w:t>
      </w:r>
      <w:r>
        <w:rPr>
          <w:rFonts w:ascii="Arial" w:cs="Arial" w:eastAsia="Arial" w:hAnsi="Arial"/>
          <w:sz w:val="22"/>
          <w:szCs w:val="22"/>
        </w:rPr>
        <w:t xml:space="preserve"> de l'Agent IA</w:t>
      </w:r>
    </w:p>
    <w:p>
      <w:pPr>
        <w:pStyle w:val="ListParagraph"/>
        <w:numPr>
          <w:ilvl w:val="0"/>
          <w:numId w:val="2"/>
        </w:numPr>
        <w:spacing w:after="60"/>
      </w:pPr>
      <w:r>
        <w:rPr>
          <w:rFonts w:ascii="Arial" w:cs="Arial" w:eastAsia="Arial" w:hAnsi="Arial"/>
          <w:b/>
          <w:bCs/>
          <w:sz w:val="22"/>
          <w:szCs w:val="22"/>
        </w:rPr>
        <w:t xml:space="preserve">Personnalisation du prompt</w:t>
      </w:r>
      <w:r>
        <w:rPr>
          <w:rFonts w:ascii="Arial" w:cs="Arial" w:eastAsia="Arial" w:hAnsi="Arial"/>
          <w:sz w:val="22"/>
          <w:szCs w:val="22"/>
        </w:rPr>
        <w:t xml:space="preserve"> adapté à votre métier et vos services</w:t>
      </w:r>
    </w:p>
    <w:p>
      <w:pPr>
        <w:pStyle w:val="ListParagraph"/>
        <w:numPr>
          <w:ilvl w:val="0"/>
          <w:numId w:val="2"/>
        </w:numPr>
        <w:spacing w:after="60"/>
      </w:pPr>
      <w:r>
        <w:rPr>
          <w:rFonts w:ascii="Arial" w:cs="Arial" w:eastAsia="Arial" w:hAnsi="Arial"/>
          <w:b/>
          <w:bCs/>
          <w:sz w:val="22"/>
          <w:szCs w:val="22"/>
        </w:rPr>
        <w:t xml:space="preserve">Intégration</w:t>
      </w:r>
      <w:r>
        <w:rPr>
          <w:rFonts w:ascii="Arial" w:cs="Arial" w:eastAsia="Arial" w:hAnsi="Arial"/>
          <w:sz w:val="22"/>
          <w:szCs w:val="22"/>
        </w:rPr>
        <w:t xml:space="preserve"> avec votre agenda (Google Calendar) et messagerie</w:t>
      </w:r>
    </w:p>
    <w:p>
      <w:pPr>
        <w:pStyle w:val="ListParagraph"/>
        <w:numPr>
          <w:ilvl w:val="0"/>
          <w:numId w:val="2"/>
        </w:numPr>
        <w:spacing w:after="60"/>
      </w:pPr>
      <w:r>
        <w:rPr>
          <w:rFonts w:ascii="Arial" w:cs="Arial" w:eastAsia="Arial" w:hAnsi="Arial"/>
          <w:b/>
          <w:bCs/>
          <w:sz w:val="22"/>
          <w:szCs w:val="22"/>
        </w:rPr>
        <w:t xml:space="preserve">Formation</w:t>
      </w:r>
      <w:r>
        <w:rPr>
          <w:rFonts w:ascii="Arial" w:cs="Arial" w:eastAsia="Arial" w:hAnsi="Arial"/>
          <w:sz w:val="22"/>
          <w:szCs w:val="22"/>
        </w:rPr>
        <w:t xml:space="preserve"> à l'utilisation du tableau de bord</w:t>
      </w:r>
    </w:p>
    <w:p>
      <w:pPr>
        <w:pStyle w:val="ListParagraph"/>
        <w:numPr>
          <w:ilvl w:val="0"/>
          <w:numId w:val="2"/>
        </w:numPr>
        <w:spacing w:after="60"/>
      </w:pPr>
      <w:r>
        <w:rPr>
          <w:rFonts w:ascii="Arial" w:cs="Arial" w:eastAsia="Arial" w:hAnsi="Arial"/>
          <w:b/>
          <w:bCs/>
          <w:sz w:val="22"/>
          <w:szCs w:val="22"/>
        </w:rPr>
        <w:t xml:space="preserve">Support prioritaire</w:t>
      </w:r>
      <w:r>
        <w:rPr>
          <w:rFonts w:ascii="Arial" w:cs="Arial" w:eastAsia="Arial" w:hAnsi="Arial"/>
          <w:sz w:val="22"/>
          <w:szCs w:val="22"/>
        </w:rPr>
        <w:t xml:space="preserve"> pendant le premier mois</w:t>
      </w:r>
    </w:p>
    <w:p>
      <w:pPr>
        <w:spacing w:after="200"/>
      </w:pPr>
    </w:p>
    <w:p>
      <w:pPr>
        <w:jc w:val="center"/>
      </w:pPr>
      <w:r>
        <w:rPr>
          <w:rFonts w:ascii="Arial" w:cs="Arial" w:eastAsia="Arial" w:hAnsi="Arial"/>
          <w:b/>
          <w:bCs/>
          <w:i/>
          <w:iCs/>
          <w:color w:val="E67E22"/>
          <w:sz w:val="22"/>
          <w:szCs w:val="22"/>
        </w:rPr>
        <w:t xml:space="preserve">Offre valable pour les 10 premiers clients — places limitées.</w:t>
      </w:r>
    </w:p>
    <w:p>
      <w:pPr>
        <w:pageBreakBefore/>
        <w:spacing w:after="200"/>
        <w:jc w:val="center"/>
      </w:pPr>
      <w:r>
        <w:rPr>
          <w:rFonts w:ascii="Arial" w:cs="Arial" w:eastAsia="Arial" w:hAnsi="Arial"/>
          <w:b/>
          <w:bCs/>
          <w:color w:val="1B3A5C"/>
          <w:sz w:val="36"/>
          <w:szCs w:val="36"/>
        </w:rPr>
        <w:t xml:space="preserve">GRILLE TARIFAIRE</w:t>
      </w:r>
    </w:p>
    <w:p>
      <w:pPr>
        <w:spacing w:after="300"/>
        <w:jc w:val="center"/>
      </w:pPr>
      <w:r>
        <w:rPr>
          <w:rFonts w:ascii="Arial" w:cs="Arial" w:eastAsia="Arial" w:hAnsi="Arial"/>
          <w:i/>
          <w:iCs/>
          <w:color w:val="666666"/>
          <w:sz w:val="20"/>
          <w:szCs w:val="20"/>
        </w:rPr>
        <w:t xml:space="preserve">Tous les tarifs sont exprimés en euros hors taxes (HT). Les tarifs des automatisations varient en fonction du workflow, de sa complexité, du nombre d'intégrations et du temps de développement.</w:t>
      </w:r>
    </w:p>
    <w:p>
      <w:pPr>
        <w:spacing w:after="150"/>
      </w:pPr>
      <w:r>
        <w:rPr>
          <w:rFonts w:ascii="Arial" w:cs="Arial" w:eastAsia="Arial" w:hAnsi="Arial"/>
          <w:b/>
          <w:bCs/>
          <w:color w:val="2E75B6"/>
          <w:sz w:val="26"/>
          <w:szCs w:val="26"/>
        </w:rPr>
        <w:t xml:space="preserve">1. Agent IA Téléphonique / Conversationnel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1600"/>
        <w:gridCol w:w="2638"/>
      </w:tblGrid>
      <w:tr>
        <w:tc>
          <w:tcPr>
            <w:tcW w:type="dxa" w:w="3200"/>
            <w:tcBorders>
              <w:top w:val="single" w:color="BDC3C7" w:sz="1"/>
              <w:left w:val="single" w:color="BDC3C7" w:sz="1"/>
              <w:bottom w:val="single" w:color="BDC3C7" w:sz="1"/>
              <w:right w:val="single" w:color="BDC3C7"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Service</w:t>
            </w:r>
          </w:p>
        </w:tc>
        <w:tc>
          <w:tcPr>
            <w:tcW w:type="dxa" w:w="2200"/>
            <w:tcBorders>
              <w:top w:val="single" w:color="BDC3C7" w:sz="1"/>
              <w:left w:val="single" w:color="BDC3C7" w:sz="1"/>
              <w:bottom w:val="single" w:color="BDC3C7" w:sz="1"/>
              <w:right w:val="single" w:color="BDC3C7"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Détail</w:t>
            </w:r>
          </w:p>
        </w:tc>
        <w:tc>
          <w:tcPr>
            <w:tcW w:type="dxa" w:w="1600"/>
            <w:tcBorders>
              <w:top w:val="single" w:color="BDC3C7" w:sz="1"/>
              <w:left w:val="single" w:color="BDC3C7" w:sz="1"/>
              <w:bottom w:val="single" w:color="BDC3C7" w:sz="1"/>
              <w:right w:val="single" w:color="BDC3C7"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Tarif</w:t>
            </w:r>
          </w:p>
        </w:tc>
        <w:tc>
          <w:tcPr>
            <w:tcW w:type="dxa" w:w="2638"/>
            <w:tcBorders>
              <w:top w:val="single" w:color="BDC3C7" w:sz="1"/>
              <w:left w:val="single" w:color="BDC3C7" w:sz="1"/>
              <w:bottom w:val="single" w:color="BDC3C7" w:sz="1"/>
              <w:right w:val="single" w:color="BDC3C7"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Notes</w:t>
            </w:r>
          </w:p>
        </w:tc>
      </w:tr>
      <w:tr>
        <w:tc>
          <w:tcPr>
            <w:tcW w:type="dxa" w:w="320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pPr>
              <w:jc w:val="left"/>
            </w:pPr>
            <w:r>
              <w:rPr>
                <w:rFonts w:ascii="Arial" w:cs="Arial" w:eastAsia="Arial" w:hAnsi="Arial"/>
                <w:sz w:val="20"/>
                <w:szCs w:val="20"/>
              </w:rPr>
              <w:t xml:space="preserve">Setup / Installation</w:t>
            </w:r>
          </w:p>
        </w:tc>
        <w:tc>
          <w:tcPr>
            <w:tcW w:type="dxa" w:w="220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pPr>
              <w:jc w:val="left"/>
            </w:pPr>
            <w:r>
              <w:rPr>
                <w:rFonts w:ascii="Arial" w:cs="Arial" w:eastAsia="Arial" w:hAnsi="Arial"/>
                <w:sz w:val="20"/>
                <w:szCs w:val="20"/>
              </w:rPr>
              <w:t xml:space="preserve">Configuration complète, personnalisation, intégrations, formation</w:t>
            </w:r>
          </w:p>
        </w:tc>
        <w:tc>
          <w:tcPr>
            <w:tcW w:type="dxa" w:w="160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pPr>
              <w:jc w:val="center"/>
            </w:pPr>
            <w:r>
              <w:rPr>
                <w:rFonts w:ascii="Arial" w:cs="Arial" w:eastAsia="Arial" w:hAnsi="Arial"/>
                <w:b/>
                <w:bCs/>
                <w:color w:val="1B3A5C"/>
                <w:sz w:val="20"/>
                <w:szCs w:val="20"/>
              </w:rPr>
              <w:t xml:space="preserve">1 490€ HT</w:t>
            </w:r>
          </w:p>
        </w:tc>
        <w:tc>
          <w:tcPr>
            <w:tcW w:type="dxa" w:w="2638"/>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pPr>
              <w:jc w:val="left"/>
            </w:pPr>
            <w:r>
              <w:rPr>
                <w:rFonts w:ascii="Arial" w:cs="Arial" w:eastAsia="Arial" w:hAnsi="Arial"/>
                <w:sz w:val="20"/>
                <w:szCs w:val="20"/>
              </w:rPr>
              <w:t xml:space="preserve">Paiement unique (lancement : 1 290€)</w:t>
            </w:r>
          </w:p>
        </w:tc>
      </w:tr>
      <w:tr>
        <w:tc>
          <w:tcPr>
            <w:tcW w:type="dxa" w:w="32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sz w:val="20"/>
                <w:szCs w:val="20"/>
              </w:rPr>
              <w:t xml:space="preserve">Abonnement mensuel</w:t>
            </w:r>
          </w:p>
        </w:tc>
        <w:tc>
          <w:tcPr>
            <w:tcW w:type="dxa" w:w="22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sz w:val="20"/>
                <w:szCs w:val="20"/>
              </w:rPr>
              <w:t xml:space="preserve">Maintenance, mises à jour, support, hébergement IA</w:t>
            </w:r>
          </w:p>
        </w:tc>
        <w:tc>
          <w:tcPr>
            <w:tcW w:type="dxa" w:w="16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center"/>
            </w:pPr>
            <w:r>
              <w:rPr>
                <w:rFonts w:ascii="Arial" w:cs="Arial" w:eastAsia="Arial" w:hAnsi="Arial"/>
                <w:b/>
                <w:bCs/>
                <w:color w:val="1B3A5C"/>
                <w:sz w:val="20"/>
                <w:szCs w:val="20"/>
              </w:rPr>
              <w:t xml:space="preserve">299€/mois HT</w:t>
            </w:r>
          </w:p>
        </w:tc>
        <w:tc>
          <w:tcPr>
            <w:tcW w:type="dxa" w:w="2638"/>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sz w:val="20"/>
                <w:szCs w:val="20"/>
              </w:rPr>
              <w:t xml:space="preserve">Sans engagement, préavis 30 jours</w:t>
            </w:r>
          </w:p>
        </w:tc>
      </w:tr>
    </w:tbl>
    <w:p>
      <w:pPr>
        <w:spacing w:after="300"/>
      </w:pPr>
    </w:p>
    <w:p>
      <w:pPr>
        <w:spacing w:after="100"/>
      </w:pPr>
      <w:r>
        <w:rPr>
          <w:rFonts w:ascii="Arial" w:cs="Arial" w:eastAsia="Arial" w:hAnsi="Arial"/>
          <w:b/>
          <w:bCs/>
          <w:color w:val="2E75B6"/>
          <w:sz w:val="26"/>
          <w:szCs w:val="26"/>
        </w:rPr>
        <w:t xml:space="preserve">2. Automatisations sur mesure</w:t>
      </w:r>
    </w:p>
    <w:p>
      <w:pPr>
        <w:spacing w:after="150"/>
      </w:pPr>
      <w:r>
        <w:rPr>
          <w:rFonts w:ascii="Arial" w:cs="Arial" w:eastAsia="Arial" w:hAnsi="Arial"/>
          <w:i/>
          <w:iCs/>
          <w:color w:val="666666"/>
          <w:sz w:val="20"/>
          <w:szCs w:val="20"/>
        </w:rPr>
        <w:t xml:space="preserve">Les tarifs ci-dessous sont indicatifs et dépendent de la complexité réelle du workflow demandé. Un devis précis est établi après analyse du besoin.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1600"/>
        <w:gridCol w:w="2638"/>
      </w:tblGrid>
      <w:tr>
        <w:tc>
          <w:tcPr>
            <w:tcW w:type="dxa" w:w="3200"/>
            <w:tcBorders>
              <w:top w:val="single" w:color="BDC3C7" w:sz="1"/>
              <w:left w:val="single" w:color="BDC3C7" w:sz="1"/>
              <w:bottom w:val="single" w:color="BDC3C7" w:sz="1"/>
              <w:right w:val="single" w:color="BDC3C7"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Complexité</w:t>
            </w:r>
          </w:p>
        </w:tc>
        <w:tc>
          <w:tcPr>
            <w:tcW w:type="dxa" w:w="2200"/>
            <w:tcBorders>
              <w:top w:val="single" w:color="BDC3C7" w:sz="1"/>
              <w:left w:val="single" w:color="BDC3C7" w:sz="1"/>
              <w:bottom w:val="single" w:color="BDC3C7" w:sz="1"/>
              <w:right w:val="single" w:color="BDC3C7"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Exemples</w:t>
            </w:r>
          </w:p>
        </w:tc>
        <w:tc>
          <w:tcPr>
            <w:tcW w:type="dxa" w:w="1600"/>
            <w:tcBorders>
              <w:top w:val="single" w:color="BDC3C7" w:sz="1"/>
              <w:left w:val="single" w:color="BDC3C7" w:sz="1"/>
              <w:bottom w:val="single" w:color="BDC3C7" w:sz="1"/>
              <w:right w:val="single" w:color="BDC3C7"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Tarif</w:t>
            </w:r>
          </w:p>
        </w:tc>
        <w:tc>
          <w:tcPr>
            <w:tcW w:type="dxa" w:w="2638"/>
            <w:tcBorders>
              <w:top w:val="single" w:color="BDC3C7" w:sz="1"/>
              <w:left w:val="single" w:color="BDC3C7" w:sz="1"/>
              <w:bottom w:val="single" w:color="BDC3C7" w:sz="1"/>
              <w:right w:val="single" w:color="BDC3C7"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Délai estimatif</w:t>
            </w:r>
          </w:p>
        </w:tc>
      </w:tr>
      <w:tr>
        <w:tc>
          <w:tcPr>
            <w:tcW w:type="dxa" w:w="3200"/>
            <w:tcBorders>
              <w:top w:val="single" w:color="BDC3C7" w:sz="1"/>
              <w:left w:val="single" w:color="BDC3C7" w:sz="1"/>
              <w:bottom w:val="single" w:color="BDC3C7" w:sz="1"/>
              <w:right w:val="single" w:color="BDC3C7" w:sz="1"/>
            </w:tcBorders>
            <w:shd w:fill="E8F8F5" w:val="clear"/>
            <w:tcMar>
              <w:top w:type="dxa" w:w="60"/>
              <w:left w:type="dxa" w:w="120"/>
              <w:bottom w:type="dxa" w:w="60"/>
              <w:right w:type="dxa" w:w="120"/>
            </w:tcMar>
          </w:tcPr>
          <w:p>
            <w:pPr>
              <w:jc w:val="left"/>
            </w:pPr>
            <w:r>
              <w:rPr>
                <w:rFonts w:ascii="Arial" w:cs="Arial" w:eastAsia="Arial" w:hAnsi="Arial"/>
                <w:b/>
                <w:bCs/>
                <w:color w:val="E67E22"/>
                <w:sz w:val="20"/>
                <w:szCs w:val="20"/>
              </w:rPr>
              <w:t xml:space="preserve">Simple</w:t>
            </w:r>
          </w:p>
        </w:tc>
        <w:tc>
          <w:tcPr>
            <w:tcW w:type="dxa" w:w="2200"/>
            <w:tcBorders>
              <w:top w:val="single" w:color="BDC3C7" w:sz="1"/>
              <w:left w:val="single" w:color="BDC3C7" w:sz="1"/>
              <w:bottom w:val="single" w:color="BDC3C7" w:sz="1"/>
              <w:right w:val="single" w:color="BDC3C7" w:sz="1"/>
            </w:tcBorders>
            <w:shd w:fill="E8F8F5" w:val="clear"/>
            <w:tcMar>
              <w:top w:type="dxa" w:w="60"/>
              <w:left w:type="dxa" w:w="120"/>
              <w:bottom w:type="dxa" w:w="60"/>
              <w:right w:type="dxa" w:w="120"/>
            </w:tcMar>
          </w:tcPr>
          <w:p>
            <w:pPr>
              <w:jc w:val="left"/>
            </w:pPr>
            <w:r>
              <w:rPr>
                <w:rFonts w:ascii="Arial" w:cs="Arial" w:eastAsia="Arial" w:hAnsi="Arial"/>
                <w:sz w:val="20"/>
                <w:szCs w:val="20"/>
              </w:rPr>
              <w:t xml:space="preserve">1 workflow, 2-3 nœuds (rappel SMS, notification, alerte email)</w:t>
            </w:r>
          </w:p>
        </w:tc>
        <w:tc>
          <w:tcPr>
            <w:tcW w:type="dxa" w:w="1600"/>
            <w:tcBorders>
              <w:top w:val="single" w:color="BDC3C7" w:sz="1"/>
              <w:left w:val="single" w:color="BDC3C7" w:sz="1"/>
              <w:bottom w:val="single" w:color="BDC3C7" w:sz="1"/>
              <w:right w:val="single" w:color="BDC3C7" w:sz="1"/>
            </w:tcBorders>
            <w:shd w:fill="E8F8F5" w:val="clear"/>
            <w:tcMar>
              <w:top w:type="dxa" w:w="60"/>
              <w:left w:type="dxa" w:w="120"/>
              <w:bottom w:type="dxa" w:w="60"/>
              <w:right w:type="dxa" w:w="120"/>
            </w:tcMar>
          </w:tcPr>
          <w:p>
            <w:pPr>
              <w:jc w:val="center"/>
            </w:pPr>
            <w:r>
              <w:rPr>
                <w:rFonts w:ascii="Arial" w:cs="Arial" w:eastAsia="Arial" w:hAnsi="Arial"/>
                <w:b/>
                <w:bCs/>
                <w:color w:val="1B3A5C"/>
                <w:sz w:val="20"/>
                <w:szCs w:val="20"/>
              </w:rPr>
              <w:t xml:space="preserve">750€ HT</w:t>
            </w:r>
          </w:p>
        </w:tc>
        <w:tc>
          <w:tcPr>
            <w:tcW w:type="dxa" w:w="2638"/>
            <w:tcBorders>
              <w:top w:val="single" w:color="BDC3C7" w:sz="1"/>
              <w:left w:val="single" w:color="BDC3C7" w:sz="1"/>
              <w:bottom w:val="single" w:color="BDC3C7" w:sz="1"/>
              <w:right w:val="single" w:color="BDC3C7" w:sz="1"/>
            </w:tcBorders>
            <w:shd w:fill="E8F8F5" w:val="clear"/>
            <w:tcMar>
              <w:top w:type="dxa" w:w="60"/>
              <w:left w:type="dxa" w:w="120"/>
              <w:bottom w:type="dxa" w:w="60"/>
              <w:right w:type="dxa" w:w="120"/>
            </w:tcMar>
          </w:tcPr>
          <w:p>
            <w:pPr>
              <w:jc w:val="center"/>
            </w:pPr>
            <w:r>
              <w:rPr>
                <w:rFonts w:ascii="Arial" w:cs="Arial" w:eastAsia="Arial" w:hAnsi="Arial"/>
                <w:sz w:val="20"/>
                <w:szCs w:val="20"/>
              </w:rPr>
              <w:t xml:space="preserve">2-3 jours</w:t>
            </w:r>
          </w:p>
        </w:tc>
      </w:tr>
      <w:tr>
        <w:tc>
          <w:tcPr>
            <w:tcW w:type="dxa" w:w="32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bCs/>
                <w:color w:val="E67E22"/>
                <w:sz w:val="20"/>
                <w:szCs w:val="20"/>
              </w:rPr>
              <w:t xml:space="preserve">Moyenne</w:t>
            </w:r>
          </w:p>
        </w:tc>
        <w:tc>
          <w:tcPr>
            <w:tcW w:type="dxa" w:w="22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sz w:val="20"/>
                <w:szCs w:val="20"/>
              </w:rPr>
              <w:t xml:space="preserve">2-3 workflows connectés (suivi devis, relances auto, CRM)</w:t>
            </w:r>
          </w:p>
        </w:tc>
        <w:tc>
          <w:tcPr>
            <w:tcW w:type="dxa" w:w="16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center"/>
            </w:pPr>
            <w:r>
              <w:rPr>
                <w:rFonts w:ascii="Arial" w:cs="Arial" w:eastAsia="Arial" w:hAnsi="Arial"/>
                <w:b/>
                <w:bCs/>
                <w:color w:val="1B3A5C"/>
                <w:sz w:val="20"/>
                <w:szCs w:val="20"/>
              </w:rPr>
              <w:t xml:space="preserve">1 200 à 1 800€ HT</w:t>
            </w:r>
          </w:p>
        </w:tc>
        <w:tc>
          <w:tcPr>
            <w:tcW w:type="dxa" w:w="2638"/>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center"/>
            </w:pPr>
            <w:r>
              <w:rPr>
                <w:rFonts w:ascii="Arial" w:cs="Arial" w:eastAsia="Arial" w:hAnsi="Arial"/>
                <w:sz w:val="20"/>
                <w:szCs w:val="20"/>
              </w:rPr>
              <w:t xml:space="preserve">5-7 jours</w:t>
            </w:r>
          </w:p>
        </w:tc>
      </w:tr>
      <w:tr>
        <w:tc>
          <w:tcPr>
            <w:tcW w:type="dxa" w:w="320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pPr>
              <w:jc w:val="left"/>
            </w:pPr>
            <w:r>
              <w:rPr>
                <w:rFonts w:ascii="Arial" w:cs="Arial" w:eastAsia="Arial" w:hAnsi="Arial"/>
                <w:b/>
                <w:bCs/>
                <w:color w:val="E67E22"/>
                <w:sz w:val="20"/>
                <w:szCs w:val="20"/>
              </w:rPr>
              <w:t xml:space="preserve">Complexe</w:t>
            </w:r>
          </w:p>
        </w:tc>
        <w:tc>
          <w:tcPr>
            <w:tcW w:type="dxa" w:w="220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pPr>
              <w:jc w:val="left"/>
            </w:pPr>
            <w:r>
              <w:rPr>
                <w:rFonts w:ascii="Arial" w:cs="Arial" w:eastAsia="Arial" w:hAnsi="Arial"/>
                <w:sz w:val="20"/>
                <w:szCs w:val="20"/>
              </w:rPr>
              <w:t xml:space="preserve">Flux complet multi-outils (API, base de données, IA, multi-services)</w:t>
            </w:r>
          </w:p>
        </w:tc>
        <w:tc>
          <w:tcPr>
            <w:tcW w:type="dxa" w:w="160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pPr>
              <w:jc w:val="center"/>
            </w:pPr>
            <w:r>
              <w:rPr>
                <w:rFonts w:ascii="Arial" w:cs="Arial" w:eastAsia="Arial" w:hAnsi="Arial"/>
                <w:b/>
                <w:bCs/>
                <w:color w:val="1B3A5C"/>
                <w:sz w:val="20"/>
                <w:szCs w:val="20"/>
              </w:rPr>
              <w:t xml:space="preserve">2 000 à 3 500€ HT</w:t>
            </w:r>
          </w:p>
        </w:tc>
        <w:tc>
          <w:tcPr>
            <w:tcW w:type="dxa" w:w="2638"/>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pPr>
              <w:jc w:val="center"/>
            </w:pPr>
            <w:r>
              <w:rPr>
                <w:rFonts w:ascii="Arial" w:cs="Arial" w:eastAsia="Arial" w:hAnsi="Arial"/>
                <w:sz w:val="20"/>
                <w:szCs w:val="20"/>
              </w:rPr>
              <w:t xml:space="preserve">10-15 jours</w:t>
            </w:r>
          </w:p>
        </w:tc>
      </w:tr>
      <w:tr>
        <w:tc>
          <w:tcPr>
            <w:tcW w:type="dxa" w:w="32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bCs/>
                <w:color w:val="E67E22"/>
                <w:sz w:val="20"/>
                <w:szCs w:val="20"/>
              </w:rPr>
              <w:t xml:space="preserve">Sur mesure</w:t>
            </w:r>
          </w:p>
        </w:tc>
        <w:tc>
          <w:tcPr>
            <w:tcW w:type="dxa" w:w="22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sz w:val="20"/>
                <w:szCs w:val="20"/>
              </w:rPr>
              <w:t xml:space="preserve">Projet complet d'intégration système, transformation digitale</w:t>
            </w:r>
          </w:p>
        </w:tc>
        <w:tc>
          <w:tcPr>
            <w:tcW w:type="dxa" w:w="16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center"/>
            </w:pPr>
            <w:r>
              <w:rPr>
                <w:rFonts w:ascii="Arial" w:cs="Arial" w:eastAsia="Arial" w:hAnsi="Arial"/>
                <w:b/>
                <w:bCs/>
                <w:color w:val="1B3A5C"/>
                <w:sz w:val="20"/>
                <w:szCs w:val="20"/>
              </w:rPr>
              <w:t xml:space="preserve">Sur devis</w:t>
            </w:r>
          </w:p>
        </w:tc>
        <w:tc>
          <w:tcPr>
            <w:tcW w:type="dxa" w:w="2638"/>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center"/>
            </w:pPr>
            <w:r>
              <w:rPr>
                <w:rFonts w:ascii="Arial" w:cs="Arial" w:eastAsia="Arial" w:hAnsi="Arial"/>
                <w:sz w:val="20"/>
                <w:szCs w:val="20"/>
              </w:rPr>
              <w:t xml:space="preserve">Selon projet</w:t>
            </w:r>
          </w:p>
        </w:tc>
      </w:tr>
    </w:tbl>
    <w:p>
      <w:pPr>
        <w:spacing w:after="300"/>
      </w:pPr>
    </w:p>
    <w:p>
      <w:pPr>
        <w:spacing w:after="150"/>
      </w:pPr>
      <w:r>
        <w:rPr>
          <w:rFonts w:ascii="Arial" w:cs="Arial" w:eastAsia="Arial" w:hAnsi="Arial"/>
          <w:b/>
          <w:bCs/>
          <w:color w:val="2E75B6"/>
          <w:sz w:val="26"/>
          <w:szCs w:val="26"/>
        </w:rPr>
        <w:t xml:space="preserve">3. Maintenance &amp; Support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1600"/>
        <w:gridCol w:w="2638"/>
      </w:tblGrid>
      <w:tr>
        <w:tc>
          <w:tcPr>
            <w:tcW w:type="dxa" w:w="3200"/>
            <w:tcBorders>
              <w:top w:val="single" w:color="BDC3C7" w:sz="1"/>
              <w:left w:val="single" w:color="BDC3C7" w:sz="1"/>
              <w:bottom w:val="single" w:color="BDC3C7" w:sz="1"/>
              <w:right w:val="single" w:color="BDC3C7"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Formule</w:t>
            </w:r>
          </w:p>
        </w:tc>
        <w:tc>
          <w:tcPr>
            <w:tcW w:type="dxa" w:w="2200"/>
            <w:tcBorders>
              <w:top w:val="single" w:color="BDC3C7" w:sz="1"/>
              <w:left w:val="single" w:color="BDC3C7" w:sz="1"/>
              <w:bottom w:val="single" w:color="BDC3C7" w:sz="1"/>
              <w:right w:val="single" w:color="BDC3C7"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Inclus</w:t>
            </w:r>
          </w:p>
        </w:tc>
        <w:tc>
          <w:tcPr>
            <w:tcW w:type="dxa" w:w="1600"/>
            <w:tcBorders>
              <w:top w:val="single" w:color="BDC3C7" w:sz="1"/>
              <w:left w:val="single" w:color="BDC3C7" w:sz="1"/>
              <w:bottom w:val="single" w:color="BDC3C7" w:sz="1"/>
              <w:right w:val="single" w:color="BDC3C7"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Tarif</w:t>
            </w:r>
          </w:p>
        </w:tc>
        <w:tc>
          <w:tcPr>
            <w:tcW w:type="dxa" w:w="2638"/>
            <w:tcBorders>
              <w:top w:val="single" w:color="BDC3C7" w:sz="1"/>
              <w:left w:val="single" w:color="BDC3C7" w:sz="1"/>
              <w:bottom w:val="single" w:color="BDC3C7" w:sz="1"/>
              <w:right w:val="single" w:color="BDC3C7"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Notes</w:t>
            </w:r>
          </w:p>
        </w:tc>
      </w:tr>
      <w:tr>
        <w:tc>
          <w:tcPr>
            <w:tcW w:type="dxa" w:w="320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pPr>
              <w:jc w:val="left"/>
            </w:pPr>
            <w:r>
              <w:rPr>
                <w:rFonts w:ascii="Arial" w:cs="Arial" w:eastAsia="Arial" w:hAnsi="Arial"/>
                <w:sz w:val="20"/>
                <w:szCs w:val="20"/>
              </w:rPr>
              <w:t xml:space="preserve">Maintenance automations</w:t>
            </w:r>
          </w:p>
        </w:tc>
        <w:tc>
          <w:tcPr>
            <w:tcW w:type="dxa" w:w="220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pPr>
              <w:jc w:val="left"/>
            </w:pPr>
            <w:r>
              <w:rPr>
                <w:rFonts w:ascii="Arial" w:cs="Arial" w:eastAsia="Arial" w:hAnsi="Arial"/>
                <w:sz w:val="20"/>
                <w:szCs w:val="20"/>
              </w:rPr>
              <w:t xml:space="preserve">Surveillance, corrections de bugs, mises à jour mineures</w:t>
            </w:r>
          </w:p>
        </w:tc>
        <w:tc>
          <w:tcPr>
            <w:tcW w:type="dxa" w:w="160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pPr>
              <w:jc w:val="center"/>
            </w:pPr>
            <w:r>
              <w:rPr>
                <w:rFonts w:ascii="Arial" w:cs="Arial" w:eastAsia="Arial" w:hAnsi="Arial"/>
                <w:b/>
                <w:bCs/>
                <w:color w:val="1B3A5C"/>
                <w:sz w:val="20"/>
                <w:szCs w:val="20"/>
              </w:rPr>
              <w:t xml:space="preserve">149€/mois HT</w:t>
            </w:r>
          </w:p>
        </w:tc>
        <w:tc>
          <w:tcPr>
            <w:tcW w:type="dxa" w:w="2638"/>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pPr>
              <w:jc w:val="left"/>
            </w:pPr>
            <w:r>
              <w:rPr>
                <w:rFonts w:ascii="Arial" w:cs="Arial" w:eastAsia="Arial" w:hAnsi="Arial"/>
                <w:sz w:val="20"/>
                <w:szCs w:val="20"/>
              </w:rPr>
              <w:t xml:space="preserve">Recommandé pour +3 workflows actifs</w:t>
            </w:r>
          </w:p>
        </w:tc>
      </w:tr>
      <w:tr>
        <w:tc>
          <w:tcPr>
            <w:tcW w:type="dxa" w:w="32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sz w:val="20"/>
                <w:szCs w:val="20"/>
              </w:rPr>
              <w:t xml:space="preserve">Support ponctuel</w:t>
            </w:r>
          </w:p>
        </w:tc>
        <w:tc>
          <w:tcPr>
            <w:tcW w:type="dxa" w:w="22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sz w:val="20"/>
                <w:szCs w:val="20"/>
              </w:rPr>
              <w:t xml:space="preserve">Intervention à la demande, dépannage</w:t>
            </w:r>
          </w:p>
        </w:tc>
        <w:tc>
          <w:tcPr>
            <w:tcW w:type="dxa" w:w="16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center"/>
            </w:pPr>
            <w:r>
              <w:rPr>
                <w:rFonts w:ascii="Arial" w:cs="Arial" w:eastAsia="Arial" w:hAnsi="Arial"/>
                <w:b/>
                <w:bCs/>
                <w:color w:val="1B3A5C"/>
                <w:sz w:val="20"/>
                <w:szCs w:val="20"/>
              </w:rPr>
              <w:t xml:space="preserve">90€/h HT</w:t>
            </w:r>
          </w:p>
        </w:tc>
        <w:tc>
          <w:tcPr>
            <w:tcW w:type="dxa" w:w="2638"/>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sz w:val="20"/>
                <w:szCs w:val="20"/>
              </w:rPr>
              <w:t xml:space="preserve">Facturé par tranche de 30 min</w:t>
            </w:r>
          </w:p>
        </w:tc>
      </w:tr>
    </w:tbl>
    <w:p>
      <w:pPr>
        <w:spacing w:after="300"/>
      </w:pPr>
    </w:p>
    <w:p>
      <w:pPr>
        <w:spacing w:after="150"/>
      </w:pPr>
      <w:r>
        <w:rPr>
          <w:rFonts w:ascii="Arial" w:cs="Arial" w:eastAsia="Arial" w:hAnsi="Arial"/>
          <w:b/>
          <w:bCs/>
          <w:color w:val="2E75B6"/>
          <w:sz w:val="26"/>
          <w:szCs w:val="26"/>
        </w:rPr>
        <w:t xml:space="preserve">4. Packs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1600"/>
        <w:gridCol w:w="2638"/>
      </w:tblGrid>
      <w:tr>
        <w:tc>
          <w:tcPr>
            <w:tcW w:type="dxa" w:w="3200"/>
            <w:tcBorders>
              <w:top w:val="single" w:color="BDC3C7" w:sz="1"/>
              <w:left w:val="single" w:color="BDC3C7" w:sz="1"/>
              <w:bottom w:val="single" w:color="BDC3C7" w:sz="1"/>
              <w:right w:val="single" w:color="BDC3C7"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Pack</w:t>
            </w:r>
          </w:p>
        </w:tc>
        <w:tc>
          <w:tcPr>
            <w:tcW w:type="dxa" w:w="2200"/>
            <w:tcBorders>
              <w:top w:val="single" w:color="BDC3C7" w:sz="1"/>
              <w:left w:val="single" w:color="BDC3C7" w:sz="1"/>
              <w:bottom w:val="single" w:color="BDC3C7" w:sz="1"/>
              <w:right w:val="single" w:color="BDC3C7"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Contenu</w:t>
            </w:r>
          </w:p>
        </w:tc>
        <w:tc>
          <w:tcPr>
            <w:tcW w:type="dxa" w:w="1600"/>
            <w:tcBorders>
              <w:top w:val="single" w:color="BDC3C7" w:sz="1"/>
              <w:left w:val="single" w:color="BDC3C7" w:sz="1"/>
              <w:bottom w:val="single" w:color="BDC3C7" w:sz="1"/>
              <w:right w:val="single" w:color="BDC3C7"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Setup</w:t>
            </w:r>
          </w:p>
        </w:tc>
        <w:tc>
          <w:tcPr>
            <w:tcW w:type="dxa" w:w="2638"/>
            <w:tcBorders>
              <w:top w:val="single" w:color="BDC3C7" w:sz="1"/>
              <w:left w:val="single" w:color="BDC3C7" w:sz="1"/>
              <w:bottom w:val="single" w:color="BDC3C7" w:sz="1"/>
              <w:right w:val="single" w:color="BDC3C7"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Mensuel</w:t>
            </w:r>
          </w:p>
        </w:tc>
      </w:tr>
      <w:tr>
        <w:tc>
          <w:tcPr>
            <w:tcW w:type="dxa" w:w="3200"/>
            <w:tcBorders>
              <w:top w:val="single" w:color="BDC3C7" w:sz="1"/>
              <w:left w:val="single" w:color="BDC3C7" w:sz="1"/>
              <w:bottom w:val="single" w:color="BDC3C7" w:sz="1"/>
              <w:right w:val="single" w:color="BDC3C7" w:sz="1"/>
            </w:tcBorders>
            <w:shd w:fill="E8F8F5" w:val="clear"/>
            <w:tcMar>
              <w:top w:type="dxa" w:w="60"/>
              <w:left w:type="dxa" w:w="120"/>
              <w:bottom w:type="dxa" w:w="60"/>
              <w:right w:type="dxa" w:w="120"/>
            </w:tcMar>
          </w:tcPr>
          <w:p>
            <w:pPr>
              <w:jc w:val="left"/>
            </w:pPr>
            <w:r>
              <w:rPr>
                <w:rFonts w:ascii="Arial" w:cs="Arial" w:eastAsia="Arial" w:hAnsi="Arial"/>
                <w:b/>
                <w:bCs/>
                <w:color w:val="E67E22"/>
                <w:sz w:val="20"/>
                <w:szCs w:val="20"/>
              </w:rPr>
              <w:t xml:space="preserve">Pack Essentiel</w:t>
            </w:r>
          </w:p>
        </w:tc>
        <w:tc>
          <w:tcPr>
            <w:tcW w:type="dxa" w:w="2200"/>
            <w:tcBorders>
              <w:top w:val="single" w:color="BDC3C7" w:sz="1"/>
              <w:left w:val="single" w:color="BDC3C7" w:sz="1"/>
              <w:bottom w:val="single" w:color="BDC3C7" w:sz="1"/>
              <w:right w:val="single" w:color="BDC3C7" w:sz="1"/>
            </w:tcBorders>
            <w:shd w:fill="E8F8F5" w:val="clear"/>
            <w:tcMar>
              <w:top w:type="dxa" w:w="60"/>
              <w:left w:type="dxa" w:w="120"/>
              <w:bottom w:type="dxa" w:w="60"/>
              <w:right w:type="dxa" w:w="120"/>
            </w:tcMar>
          </w:tcPr>
          <w:p>
            <w:pPr>
              <w:jc w:val="left"/>
            </w:pPr>
            <w:r>
              <w:rPr>
                <w:rFonts w:ascii="Arial" w:cs="Arial" w:eastAsia="Arial" w:hAnsi="Arial"/>
                <w:sz w:val="20"/>
                <w:szCs w:val="20"/>
              </w:rPr>
              <w:t xml:space="preserve">Agent IA + 1 automatisation simple</w:t>
            </w:r>
          </w:p>
        </w:tc>
        <w:tc>
          <w:tcPr>
            <w:tcW w:type="dxa" w:w="1600"/>
            <w:tcBorders>
              <w:top w:val="single" w:color="BDC3C7" w:sz="1"/>
              <w:left w:val="single" w:color="BDC3C7" w:sz="1"/>
              <w:bottom w:val="single" w:color="BDC3C7" w:sz="1"/>
              <w:right w:val="single" w:color="BDC3C7" w:sz="1"/>
            </w:tcBorders>
            <w:shd w:fill="E8F8F5" w:val="clear"/>
            <w:tcMar>
              <w:top w:type="dxa" w:w="60"/>
              <w:left w:type="dxa" w:w="120"/>
              <w:bottom w:type="dxa" w:w="60"/>
              <w:right w:type="dxa" w:w="120"/>
            </w:tcMar>
          </w:tcPr>
          <w:p>
            <w:pPr>
              <w:jc w:val="center"/>
            </w:pPr>
            <w:r>
              <w:rPr>
                <w:rFonts w:ascii="Arial" w:cs="Arial" w:eastAsia="Arial" w:hAnsi="Arial"/>
                <w:b/>
                <w:bCs/>
                <w:color w:val="1B3A5C"/>
                <w:sz w:val="20"/>
                <w:szCs w:val="20"/>
              </w:rPr>
              <w:t xml:space="preserve">1 990€ HT</w:t>
            </w:r>
          </w:p>
        </w:tc>
        <w:tc>
          <w:tcPr>
            <w:tcW w:type="dxa" w:w="2638"/>
            <w:tcBorders>
              <w:top w:val="single" w:color="BDC3C7" w:sz="1"/>
              <w:left w:val="single" w:color="BDC3C7" w:sz="1"/>
              <w:bottom w:val="single" w:color="BDC3C7" w:sz="1"/>
              <w:right w:val="single" w:color="BDC3C7" w:sz="1"/>
            </w:tcBorders>
            <w:shd w:fill="E8F8F5" w:val="clear"/>
            <w:tcMar>
              <w:top w:type="dxa" w:w="60"/>
              <w:left w:type="dxa" w:w="120"/>
              <w:bottom w:type="dxa" w:w="60"/>
              <w:right w:type="dxa" w:w="120"/>
            </w:tcMar>
          </w:tcPr>
          <w:p>
            <w:pPr>
              <w:jc w:val="center"/>
            </w:pPr>
            <w:r>
              <w:rPr>
                <w:rFonts w:ascii="Arial" w:cs="Arial" w:eastAsia="Arial" w:hAnsi="Arial"/>
                <w:b/>
                <w:bCs/>
                <w:color w:val="1B3A5C"/>
                <w:sz w:val="20"/>
                <w:szCs w:val="20"/>
              </w:rPr>
              <w:t xml:space="preserve">299€/mois</w:t>
            </w:r>
          </w:p>
        </w:tc>
      </w:tr>
      <w:tr>
        <w:tc>
          <w:tcPr>
            <w:tcW w:type="dxa" w:w="32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bCs/>
                <w:color w:val="E67E22"/>
                <w:sz w:val="20"/>
                <w:szCs w:val="20"/>
              </w:rPr>
              <w:t xml:space="preserve">Pack Business</w:t>
            </w:r>
          </w:p>
        </w:tc>
        <w:tc>
          <w:tcPr>
            <w:tcW w:type="dxa" w:w="22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sz w:val="20"/>
                <w:szCs w:val="20"/>
              </w:rPr>
              <w:t xml:space="preserve">Agent IA + 3 automatisations + dashboard</w:t>
            </w:r>
          </w:p>
        </w:tc>
        <w:tc>
          <w:tcPr>
            <w:tcW w:type="dxa" w:w="16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center"/>
            </w:pPr>
            <w:r>
              <w:rPr>
                <w:rFonts w:ascii="Arial" w:cs="Arial" w:eastAsia="Arial" w:hAnsi="Arial"/>
                <w:b/>
                <w:bCs/>
                <w:color w:val="1B3A5C"/>
                <w:sz w:val="20"/>
                <w:szCs w:val="20"/>
              </w:rPr>
              <w:t xml:space="preserve">3 990€ HT</w:t>
            </w:r>
          </w:p>
        </w:tc>
        <w:tc>
          <w:tcPr>
            <w:tcW w:type="dxa" w:w="2638"/>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center"/>
            </w:pPr>
            <w:r>
              <w:rPr>
                <w:rFonts w:ascii="Arial" w:cs="Arial" w:eastAsia="Arial" w:hAnsi="Arial"/>
                <w:b/>
                <w:bCs/>
                <w:color w:val="1B3A5C"/>
                <w:sz w:val="20"/>
                <w:szCs w:val="20"/>
              </w:rPr>
              <w:t xml:space="preserve">349€/mois</w:t>
            </w:r>
          </w:p>
        </w:tc>
      </w:tr>
      <w:tr>
        <w:tc>
          <w:tcPr>
            <w:tcW w:type="dxa" w:w="320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pPr>
              <w:jc w:val="left"/>
            </w:pPr>
            <w:r>
              <w:rPr>
                <w:rFonts w:ascii="Arial" w:cs="Arial" w:eastAsia="Arial" w:hAnsi="Arial"/>
                <w:b/>
                <w:bCs/>
                <w:color w:val="E67E22"/>
                <w:sz w:val="20"/>
                <w:szCs w:val="20"/>
              </w:rPr>
              <w:t xml:space="preserve">Pack Premium</w:t>
            </w:r>
          </w:p>
        </w:tc>
        <w:tc>
          <w:tcPr>
            <w:tcW w:type="dxa" w:w="220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pPr>
              <w:jc w:val="left"/>
            </w:pPr>
            <w:r>
              <w:rPr>
                <w:rFonts w:ascii="Arial" w:cs="Arial" w:eastAsia="Arial" w:hAnsi="Arial"/>
                <w:sz w:val="20"/>
                <w:szCs w:val="20"/>
              </w:rPr>
              <w:t xml:space="preserve">Agent IA + automatisations illimitées + support prioritaire</w:t>
            </w:r>
          </w:p>
        </w:tc>
        <w:tc>
          <w:tcPr>
            <w:tcW w:type="dxa" w:w="1600"/>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pPr>
              <w:jc w:val="center"/>
            </w:pPr>
            <w:r>
              <w:rPr>
                <w:rFonts w:ascii="Arial" w:cs="Arial" w:eastAsia="Arial" w:hAnsi="Arial"/>
                <w:b/>
                <w:bCs/>
                <w:color w:val="1B3A5C"/>
                <w:sz w:val="20"/>
                <w:szCs w:val="20"/>
              </w:rPr>
              <w:t xml:space="preserve">Sur devis</w:t>
            </w:r>
          </w:p>
        </w:tc>
        <w:tc>
          <w:tcPr>
            <w:tcW w:type="dxa" w:w="2638"/>
            <w:tcBorders>
              <w:top w:val="single" w:color="BDC3C7" w:sz="1"/>
              <w:left w:val="single" w:color="BDC3C7" w:sz="1"/>
              <w:bottom w:val="single" w:color="BDC3C7" w:sz="1"/>
              <w:right w:val="single" w:color="BDC3C7" w:sz="1"/>
            </w:tcBorders>
            <w:shd w:fill="EBF5FB" w:val="clear"/>
            <w:tcMar>
              <w:top w:type="dxa" w:w="60"/>
              <w:left w:type="dxa" w:w="120"/>
              <w:bottom w:type="dxa" w:w="60"/>
              <w:right w:type="dxa" w:w="120"/>
            </w:tcMar>
          </w:tcPr>
          <w:p>
            <w:pPr>
              <w:jc w:val="center"/>
            </w:pPr>
            <w:r>
              <w:rPr>
                <w:rFonts w:ascii="Arial" w:cs="Arial" w:eastAsia="Arial" w:hAnsi="Arial"/>
                <w:b/>
                <w:bCs/>
                <w:color w:val="1B3A5C"/>
                <w:sz w:val="20"/>
                <w:szCs w:val="20"/>
              </w:rPr>
              <w:t xml:space="preserve">499€/mois</w:t>
            </w:r>
          </w:p>
        </w:tc>
      </w:tr>
    </w:tbl>
    <w:p>
      <w:pPr>
        <w:pageBreakBefore/>
        <w:spacing w:after="400"/>
        <w:jc w:val="center"/>
      </w:pPr>
      <w:r>
        <w:rPr>
          <w:rFonts w:ascii="Arial" w:cs="Arial" w:eastAsia="Arial" w:hAnsi="Arial"/>
          <w:b/>
          <w:bCs/>
          <w:color w:val="1B3A5C"/>
          <w:sz w:val="36"/>
          <w:szCs w:val="36"/>
        </w:rPr>
        <w:t xml:space="preserve">CONTRAT DE PRESTATION DE SERVICES</w:t>
      </w:r>
    </w:p>
    <w:p>
      <w:pPr>
        <w:spacing w:after="100"/>
      </w:pPr>
      <w:r>
        <w:rPr>
          <w:rFonts w:ascii="Arial" w:cs="Arial" w:eastAsia="Arial" w:hAnsi="Arial"/>
          <w:sz w:val="22"/>
          <w:szCs w:val="22"/>
        </w:rPr>
        <w:t xml:space="preserve">Entre les soussignés :</w:t>
      </w:r>
    </w:p>
    <w:p>
      <w:pPr>
        <w:spacing w:after="100"/>
      </w:pPr>
    </w:p>
    <w:p>
      <w:pPr>
        <w:spacing w:after="100"/>
      </w:pPr>
      <w:r>
        <w:rPr>
          <w:rFonts w:ascii="Arial" w:cs="Arial" w:eastAsia="Arial" w:hAnsi="Arial"/>
          <w:sz w:val="22"/>
          <w:szCs w:val="22"/>
        </w:rPr>
        <w:t xml:space="preserve">TalosPrimes, société [forme juridique], immatriculée au RCS de [ville] sous le numéro [SIRET], dont le siège social est situé à [adresse complète], représentée par [Nom Prénom], en qualité de [fonction], ci-après dénommée "le Prestataire",</w:t>
      </w:r>
    </w:p>
    <w:p>
      <w:pPr>
        <w:spacing w:after="50"/>
      </w:pPr>
    </w:p>
    <w:p>
      <w:pPr>
        <w:spacing w:after="100"/>
      </w:pPr>
      <w:r>
        <w:rPr>
          <w:rFonts w:ascii="Arial" w:cs="Arial" w:eastAsia="Arial" w:hAnsi="Arial"/>
          <w:sz w:val="22"/>
          <w:szCs w:val="22"/>
        </w:rPr>
        <w:t xml:space="preserve">Et</w:t>
      </w:r>
    </w:p>
    <w:p>
      <w:pPr>
        <w:spacing w:after="50"/>
      </w:pPr>
    </w:p>
    <w:p>
      <w:pPr>
        <w:spacing w:after="100"/>
      </w:pPr>
      <w:r>
        <w:rPr>
          <w:rFonts w:ascii="Arial" w:cs="Arial" w:eastAsia="Arial" w:hAnsi="Arial"/>
          <w:sz w:val="22"/>
          <w:szCs w:val="22"/>
        </w:rPr>
        <w:t xml:space="preserve">[Raison sociale du client], [forme juridique], immatriculée au RCS de [ville] sous le numéro [SIRET], dont le siège social est situé à [adresse complète], représentée par [Nom Prénom], en qualité de [fonction], ci-après dénommée "le Client",</w:t>
      </w:r>
    </w:p>
    <w:p>
      <w:pPr>
        <w:spacing w:after="100"/>
      </w:pPr>
    </w:p>
    <w:p>
      <w:pPr>
        <w:spacing w:after="100"/>
      </w:pPr>
      <w:r>
        <w:rPr>
          <w:rFonts w:ascii="Arial" w:cs="Arial" w:eastAsia="Arial" w:hAnsi="Arial"/>
          <w:sz w:val="22"/>
          <w:szCs w:val="22"/>
        </w:rPr>
        <w:t xml:space="preserve">Ci-après dénommées individuellement "la Partie" et collectivement "les Parties".</w:t>
      </w:r>
    </w:p>
    <w:p>
      <w:pPr>
        <w:spacing w:after="100"/>
      </w:pPr>
    </w:p>
    <w:p>
      <w:pPr>
        <w:spacing w:after="100"/>
      </w:pPr>
      <w:r>
        <w:rPr>
          <w:rFonts w:ascii="Arial" w:cs="Arial" w:eastAsia="Arial" w:hAnsi="Arial"/>
          <w:sz w:val="22"/>
          <w:szCs w:val="22"/>
        </w:rPr>
        <w:t xml:space="preserve">IL A ÉTÉ CONVENU CE QUI SUIT :</w:t>
      </w:r>
    </w:p>
    <w:p>
      <w:pPr>
        <w:spacing w:after="150" w:before="300"/>
      </w:pPr>
      <w:r>
        <w:rPr>
          <w:rFonts w:ascii="Arial" w:cs="Arial" w:eastAsia="Arial" w:hAnsi="Arial"/>
          <w:b/>
          <w:bCs/>
          <w:color w:val="1B3A5C"/>
          <w:sz w:val="24"/>
          <w:szCs w:val="24"/>
        </w:rPr>
        <w:t xml:space="preserve">Article 1 — Objet du contrat</w:t>
      </w:r>
    </w:p>
    <w:p>
      <w:pPr>
        <w:spacing w:after="100"/>
      </w:pPr>
      <w:r>
        <w:rPr>
          <w:rFonts w:ascii="Arial" w:cs="Arial" w:eastAsia="Arial" w:hAnsi="Arial"/>
          <w:sz w:val="22"/>
          <w:szCs w:val="22"/>
        </w:rPr>
        <w:t xml:space="preserve">Le présent contrat a pour objet de définir les conditions dans lesquelles le Prestataire fournira au Client des services d'automatisation, d'intelligence artificielle et de solutions numériques, tels que détaillés dans le devis annexé au présent contrat.</w:t>
      </w:r>
    </w:p>
    <w:p>
      <w:pPr>
        <w:spacing w:after="100"/>
      </w:pPr>
      <w:r>
        <w:rPr>
          <w:rFonts w:ascii="Arial" w:cs="Arial" w:eastAsia="Arial" w:hAnsi="Arial"/>
          <w:sz w:val="22"/>
          <w:szCs w:val="22"/>
        </w:rPr>
        <w:t xml:space="preserve">Les services peuvent inclure, sans s'y limiter : la mise en place d'un Agent IA conversationnel, le développement de workflows d'automatisation, l'intégration avec des outils tiers, et l'accès à une plateforme SaaS de gestion.</w:t>
      </w:r>
    </w:p>
    <w:p>
      <w:pPr>
        <w:spacing w:after="150" w:before="300"/>
      </w:pPr>
      <w:r>
        <w:rPr>
          <w:rFonts w:ascii="Arial" w:cs="Arial" w:eastAsia="Arial" w:hAnsi="Arial"/>
          <w:b/>
          <w:bCs/>
          <w:color w:val="1B3A5C"/>
          <w:sz w:val="24"/>
          <w:szCs w:val="24"/>
        </w:rPr>
        <w:t xml:space="preserve">Article 2 — Durée</w:t>
      </w:r>
    </w:p>
    <w:p>
      <w:pPr>
        <w:spacing w:after="100"/>
      </w:pPr>
      <w:r>
        <w:rPr>
          <w:rFonts w:ascii="Arial" w:cs="Arial" w:eastAsia="Arial" w:hAnsi="Arial"/>
          <w:sz w:val="22"/>
          <w:szCs w:val="22"/>
        </w:rPr>
        <w:t xml:space="preserve">Le présent contrat est conclu pour une durée indéterminée à compter de sa date de signature.</w:t>
      </w:r>
    </w:p>
    <w:p>
      <w:pPr>
        <w:spacing w:after="100"/>
      </w:pPr>
      <w:r>
        <w:rPr>
          <w:rFonts w:ascii="Arial" w:cs="Arial" w:eastAsia="Arial" w:hAnsi="Arial"/>
          <w:sz w:val="22"/>
          <w:szCs w:val="22"/>
        </w:rPr>
        <w:t xml:space="preserve">Chaque Partie peut résilier le contrat à tout moment, sous réserve de respecter un préavis de trente (30) jours calendaires, notifié par email avec accusé de réception ou par lettre recommandée.</w:t>
      </w:r>
    </w:p>
    <w:p>
      <w:pPr>
        <w:spacing w:after="100"/>
      </w:pPr>
      <w:r>
        <w:rPr>
          <w:rFonts w:ascii="Arial" w:cs="Arial" w:eastAsia="Arial" w:hAnsi="Arial"/>
          <w:sz w:val="22"/>
          <w:szCs w:val="22"/>
        </w:rPr>
        <w:t xml:space="preserve">La résiliation ne donne pas droit au remboursement des frais d'installation déjà facturés et réglés.</w:t>
      </w:r>
    </w:p>
    <w:p>
      <w:pPr>
        <w:spacing w:after="150" w:before="300"/>
      </w:pPr>
      <w:r>
        <w:rPr>
          <w:rFonts w:ascii="Arial" w:cs="Arial" w:eastAsia="Arial" w:hAnsi="Arial"/>
          <w:b/>
          <w:bCs/>
          <w:color w:val="1B3A5C"/>
          <w:sz w:val="24"/>
          <w:szCs w:val="24"/>
        </w:rPr>
        <w:t xml:space="preserve">Article 3 — Prix et modalités de paiement</w:t>
      </w:r>
    </w:p>
    <w:p>
      <w:pPr>
        <w:spacing w:after="100"/>
      </w:pPr>
      <w:r>
        <w:rPr>
          <w:rFonts w:ascii="Arial" w:cs="Arial" w:eastAsia="Arial" w:hAnsi="Arial"/>
          <w:sz w:val="22"/>
          <w:szCs w:val="22"/>
        </w:rPr>
        <w:t xml:space="preserve">3.1. Les tarifs applicables sont ceux figurant dans la grille tarifaire annexée au présent contrat et/ou dans le devis signé par le Client.</w:t>
      </w:r>
    </w:p>
    <w:p>
      <w:pPr>
        <w:spacing w:after="100"/>
      </w:pPr>
      <w:r>
        <w:rPr>
          <w:rFonts w:ascii="Arial" w:cs="Arial" w:eastAsia="Arial" w:hAnsi="Arial"/>
          <w:sz w:val="22"/>
          <w:szCs w:val="22"/>
        </w:rPr>
        <w:t xml:space="preserve">3.2. Les frais d'installation (setup) sont facturés en une seule fois, payables à la signature du devis. Ce montant n'est pas remboursable, le service d'installation étant réputé exécuté dès le début des travaux de configuration.</w:t>
      </w:r>
    </w:p>
    <w:p>
      <w:pPr>
        <w:spacing w:after="100"/>
      </w:pPr>
      <w:r>
        <w:rPr>
          <w:rFonts w:ascii="Arial" w:cs="Arial" w:eastAsia="Arial" w:hAnsi="Arial"/>
          <w:sz w:val="22"/>
          <w:szCs w:val="22"/>
        </w:rPr>
        <w:t xml:space="preserve">3.3. L'abonnement mensuel est facturé en début de chaque mois civil. Le paiement est exigible sous quinze (15) jours à compter de la date de facturation.</w:t>
      </w:r>
    </w:p>
    <w:p>
      <w:pPr>
        <w:spacing w:after="100"/>
      </w:pPr>
      <w:r>
        <w:rPr>
          <w:rFonts w:ascii="Arial" w:cs="Arial" w:eastAsia="Arial" w:hAnsi="Arial"/>
          <w:sz w:val="22"/>
          <w:szCs w:val="22"/>
        </w:rPr>
        <w:t xml:space="preserve">3.4. Les tarifs des automatisations sur mesure sont établis par devis individuel en fonction de la complexité du workflow, du nombre d'intégrations et du temps de développement estimé. 50% sont dus à la commande, le solde à la livraison.</w:t>
      </w:r>
    </w:p>
    <w:p>
      <w:pPr>
        <w:spacing w:after="100"/>
      </w:pPr>
      <w:r>
        <w:rPr>
          <w:rFonts w:ascii="Arial" w:cs="Arial" w:eastAsia="Arial" w:hAnsi="Arial"/>
          <w:sz w:val="22"/>
          <w:szCs w:val="22"/>
        </w:rPr>
        <w:t xml:space="preserve">3.5. Tous les prix sont exprimés en euros hors taxes (HT). La TVA applicable sera ajoutée conformément à la réglementation en vigueur.</w:t>
      </w:r>
    </w:p>
    <w:p>
      <w:pPr>
        <w:spacing w:after="100"/>
      </w:pPr>
      <w:r>
        <w:rPr>
          <w:rFonts w:ascii="Arial" w:cs="Arial" w:eastAsia="Arial" w:hAnsi="Arial"/>
          <w:sz w:val="22"/>
          <w:szCs w:val="22"/>
        </w:rPr>
        <w:t xml:space="preserve">3.6. En cas de retard de paiement, des pénalités de retard seront appliquées au taux de trois (3) fois le taux d'intérêt légal en vigueur, ainsi qu'une indemnité forfaitaire de recouvrement de 40€.</w:t>
      </w:r>
    </w:p>
    <w:p>
      <w:pPr>
        <w:spacing w:after="150" w:before="300"/>
      </w:pPr>
      <w:r>
        <w:rPr>
          <w:rFonts w:ascii="Arial" w:cs="Arial" w:eastAsia="Arial" w:hAnsi="Arial"/>
          <w:b/>
          <w:bCs/>
          <w:color w:val="1B3A5C"/>
          <w:sz w:val="24"/>
          <w:szCs w:val="24"/>
        </w:rPr>
        <w:t xml:space="preserve">Article 4 — Obligations du Prestataire</w:t>
      </w:r>
    </w:p>
    <w:p>
      <w:pPr>
        <w:spacing w:after="100"/>
      </w:pPr>
      <w:r>
        <w:rPr>
          <w:rFonts w:ascii="Arial" w:cs="Arial" w:eastAsia="Arial" w:hAnsi="Arial"/>
          <w:sz w:val="22"/>
          <w:szCs w:val="22"/>
        </w:rPr>
        <w:t xml:space="preserve">Le Prestataire s'engage à :</w:t>
      </w:r>
    </w:p>
    <w:p>
      <w:pPr>
        <w:pStyle w:val="ListParagraph"/>
        <w:numPr>
          <w:ilvl w:val="0"/>
          <w:numId w:val="2"/>
        </w:numPr>
        <w:spacing w:after="60"/>
      </w:pPr>
      <w:r>
        <w:rPr>
          <w:rFonts w:ascii="Arial" w:cs="Arial" w:eastAsia="Arial" w:hAnsi="Arial"/>
          <w:sz w:val="22"/>
          <w:szCs w:val="22"/>
        </w:rPr>
        <w:t xml:space="preserve">Exécuter les services avec diligence et professionnalisme, conformément aux règles de l'art</w:t>
      </w:r>
    </w:p>
    <w:p>
      <w:pPr>
        <w:pStyle w:val="ListParagraph"/>
        <w:numPr>
          <w:ilvl w:val="0"/>
          <w:numId w:val="2"/>
        </w:numPr>
        <w:spacing w:after="60"/>
      </w:pPr>
      <w:r>
        <w:rPr>
          <w:rFonts w:ascii="Arial" w:cs="Arial" w:eastAsia="Arial" w:hAnsi="Arial"/>
          <w:sz w:val="22"/>
          <w:szCs w:val="22"/>
        </w:rPr>
        <w:t xml:space="preserve">Livrer les services dans les délais convenus dans le devis</w:t>
      </w:r>
    </w:p>
    <w:p>
      <w:pPr>
        <w:pStyle w:val="ListParagraph"/>
        <w:numPr>
          <w:ilvl w:val="0"/>
          <w:numId w:val="2"/>
        </w:numPr>
        <w:spacing w:after="60"/>
      </w:pPr>
      <w:r>
        <w:rPr>
          <w:rFonts w:ascii="Arial" w:cs="Arial" w:eastAsia="Arial" w:hAnsi="Arial"/>
          <w:sz w:val="22"/>
          <w:szCs w:val="22"/>
        </w:rPr>
        <w:t xml:space="preserve">Assurer la maintenance et le bon fonctionnement des solutions déployées pendant la durée de l'abonnement</w:t>
      </w:r>
    </w:p>
    <w:p>
      <w:pPr>
        <w:pStyle w:val="ListParagraph"/>
        <w:numPr>
          <w:ilvl w:val="0"/>
          <w:numId w:val="2"/>
        </w:numPr>
        <w:spacing w:after="60"/>
      </w:pPr>
      <w:r>
        <w:rPr>
          <w:rFonts w:ascii="Arial" w:cs="Arial" w:eastAsia="Arial" w:hAnsi="Arial"/>
          <w:sz w:val="22"/>
          <w:szCs w:val="22"/>
        </w:rPr>
        <w:t xml:space="preserve">Informer le Client de toute difficulté susceptible d'affecter l'exécution des services</w:t>
      </w:r>
    </w:p>
    <w:p>
      <w:pPr>
        <w:pStyle w:val="ListParagraph"/>
        <w:numPr>
          <w:ilvl w:val="0"/>
          <w:numId w:val="2"/>
        </w:numPr>
        <w:spacing w:after="60"/>
      </w:pPr>
      <w:r>
        <w:rPr>
          <w:rFonts w:ascii="Arial" w:cs="Arial" w:eastAsia="Arial" w:hAnsi="Arial"/>
          <w:sz w:val="22"/>
          <w:szCs w:val="22"/>
        </w:rPr>
        <w:t xml:space="preserve">Respecter la confidentialité des données du Client</w:t>
      </w:r>
    </w:p>
    <w:p>
      <w:pPr>
        <w:spacing w:after="150" w:before="300"/>
      </w:pPr>
      <w:r>
        <w:rPr>
          <w:rFonts w:ascii="Arial" w:cs="Arial" w:eastAsia="Arial" w:hAnsi="Arial"/>
          <w:b/>
          <w:bCs/>
          <w:color w:val="1B3A5C"/>
          <w:sz w:val="24"/>
          <w:szCs w:val="24"/>
        </w:rPr>
        <w:t xml:space="preserve">Article 5 — Obligations du Client</w:t>
      </w:r>
    </w:p>
    <w:p>
      <w:pPr>
        <w:spacing w:after="100"/>
      </w:pPr>
      <w:r>
        <w:rPr>
          <w:rFonts w:ascii="Arial" w:cs="Arial" w:eastAsia="Arial" w:hAnsi="Arial"/>
          <w:sz w:val="22"/>
          <w:szCs w:val="22"/>
        </w:rPr>
        <w:t xml:space="preserve">Le Client s'engage à :</w:t>
      </w:r>
    </w:p>
    <w:p>
      <w:pPr>
        <w:pStyle w:val="ListParagraph"/>
        <w:numPr>
          <w:ilvl w:val="0"/>
          <w:numId w:val="2"/>
        </w:numPr>
        <w:spacing w:after="60"/>
      </w:pPr>
      <w:r>
        <w:rPr>
          <w:rFonts w:ascii="Arial" w:cs="Arial" w:eastAsia="Arial" w:hAnsi="Arial"/>
          <w:sz w:val="22"/>
          <w:szCs w:val="22"/>
        </w:rPr>
        <w:t xml:space="preserve">Fournir au Prestataire toutes les informations nécessaires à la bonne exécution des services</w:t>
      </w:r>
    </w:p>
    <w:p>
      <w:pPr>
        <w:pStyle w:val="ListParagraph"/>
        <w:numPr>
          <w:ilvl w:val="0"/>
          <w:numId w:val="2"/>
        </w:numPr>
        <w:spacing w:after="60"/>
      </w:pPr>
      <w:r>
        <w:rPr>
          <w:rFonts w:ascii="Arial" w:cs="Arial" w:eastAsia="Arial" w:hAnsi="Arial"/>
          <w:sz w:val="22"/>
          <w:szCs w:val="22"/>
        </w:rPr>
        <w:t xml:space="preserve">Désigner un interlocuteur référent pour faciliter les échanges</w:t>
      </w:r>
    </w:p>
    <w:p>
      <w:pPr>
        <w:pStyle w:val="ListParagraph"/>
        <w:numPr>
          <w:ilvl w:val="0"/>
          <w:numId w:val="2"/>
        </w:numPr>
        <w:spacing w:after="60"/>
      </w:pPr>
      <w:r>
        <w:rPr>
          <w:rFonts w:ascii="Arial" w:cs="Arial" w:eastAsia="Arial" w:hAnsi="Arial"/>
          <w:sz w:val="22"/>
          <w:szCs w:val="22"/>
        </w:rPr>
        <w:t xml:space="preserve">Régler les factures dans les délais convenus</w:t>
      </w:r>
    </w:p>
    <w:p>
      <w:pPr>
        <w:pStyle w:val="ListParagraph"/>
        <w:numPr>
          <w:ilvl w:val="0"/>
          <w:numId w:val="2"/>
        </w:numPr>
        <w:spacing w:after="60"/>
      </w:pPr>
      <w:r>
        <w:rPr>
          <w:rFonts w:ascii="Arial" w:cs="Arial" w:eastAsia="Arial" w:hAnsi="Arial"/>
          <w:sz w:val="22"/>
          <w:szCs w:val="22"/>
        </w:rPr>
        <w:t xml:space="preserve">Respecter les conditions d'utilisation de la plateforme et des services</w:t>
      </w:r>
    </w:p>
    <w:p>
      <w:pPr>
        <w:pStyle w:val="ListParagraph"/>
        <w:numPr>
          <w:ilvl w:val="0"/>
          <w:numId w:val="2"/>
        </w:numPr>
        <w:spacing w:after="60"/>
      </w:pPr>
      <w:r>
        <w:rPr>
          <w:rFonts w:ascii="Arial" w:cs="Arial" w:eastAsia="Arial" w:hAnsi="Arial"/>
          <w:sz w:val="22"/>
          <w:szCs w:val="22"/>
        </w:rPr>
        <w:t xml:space="preserve">Ne pas tenter de reproduire, décompiler ou rétro-ingénierer les solutions fournies</w:t>
      </w:r>
    </w:p>
    <w:p>
      <w:pPr>
        <w:spacing w:after="150" w:before="300"/>
      </w:pPr>
      <w:r>
        <w:rPr>
          <w:rFonts w:ascii="Arial" w:cs="Arial" w:eastAsia="Arial" w:hAnsi="Arial"/>
          <w:b/>
          <w:bCs/>
          <w:color w:val="1B3A5C"/>
          <w:sz w:val="24"/>
          <w:szCs w:val="24"/>
        </w:rPr>
        <w:t xml:space="preserve">Article 6 — Propriété intellectuelle</w:t>
      </w:r>
    </w:p>
    <w:p>
      <w:pPr>
        <w:spacing w:after="100"/>
      </w:pPr>
      <w:r>
        <w:rPr>
          <w:rFonts w:ascii="Arial" w:cs="Arial" w:eastAsia="Arial" w:hAnsi="Arial"/>
          <w:sz w:val="22"/>
          <w:szCs w:val="22"/>
        </w:rPr>
        <w:t xml:space="preserve">6.1. Le Prestataire conserve l'intégralité des droits de propriété intellectuelle sur les solutions, workflows, prompts, codes et outils développés dans le cadre du présent contrat.</w:t>
      </w:r>
    </w:p>
    <w:p>
      <w:pPr>
        <w:spacing w:after="100"/>
      </w:pPr>
      <w:r>
        <w:rPr>
          <w:rFonts w:ascii="Arial" w:cs="Arial" w:eastAsia="Arial" w:hAnsi="Arial"/>
          <w:sz w:val="22"/>
          <w:szCs w:val="22"/>
        </w:rPr>
        <w:t xml:space="preserve">6.2. Le Client bénéficie d'un droit d'usage non exclusif, non cessible et non transférable, pour la durée du contrat et pour son usage professionnel interne uniquement.</w:t>
      </w:r>
    </w:p>
    <w:p>
      <w:pPr>
        <w:spacing w:after="100"/>
      </w:pPr>
      <w:r>
        <w:rPr>
          <w:rFonts w:ascii="Arial" w:cs="Arial" w:eastAsia="Arial" w:hAnsi="Arial"/>
          <w:sz w:val="22"/>
          <w:szCs w:val="22"/>
        </w:rPr>
        <w:t xml:space="preserve">6.3. En cas de résiliation du contrat, le droit d'usage prend fin immédiatement à l'expiration du préavis.</w:t>
      </w:r>
    </w:p>
    <w:p>
      <w:pPr>
        <w:spacing w:after="150" w:before="300"/>
      </w:pPr>
      <w:r>
        <w:rPr>
          <w:rFonts w:ascii="Arial" w:cs="Arial" w:eastAsia="Arial" w:hAnsi="Arial"/>
          <w:b/>
          <w:bCs/>
          <w:color w:val="1B3A5C"/>
          <w:sz w:val="24"/>
          <w:szCs w:val="24"/>
        </w:rPr>
        <w:t xml:space="preserve">Article 7 — Confidentialité</w:t>
      </w:r>
    </w:p>
    <w:p>
      <w:pPr>
        <w:spacing w:after="100"/>
      </w:pPr>
      <w:r>
        <w:rPr>
          <w:rFonts w:ascii="Arial" w:cs="Arial" w:eastAsia="Arial" w:hAnsi="Arial"/>
          <w:sz w:val="22"/>
          <w:szCs w:val="22"/>
        </w:rPr>
        <w:t xml:space="preserve">Chaque Partie s'engage à garder strictement confidentielles toutes les informations techniques, commerciales ou financières échangées dans le cadre du présent contrat, pendant toute la durée du contrat et pendant une période de deux (2) ans après sa cessation.</w:t>
      </w:r>
    </w:p>
    <w:p>
      <w:pPr>
        <w:spacing w:after="150" w:before="300"/>
      </w:pPr>
      <w:r>
        <w:rPr>
          <w:rFonts w:ascii="Arial" w:cs="Arial" w:eastAsia="Arial" w:hAnsi="Arial"/>
          <w:b/>
          <w:bCs/>
          <w:color w:val="1B3A5C"/>
          <w:sz w:val="24"/>
          <w:szCs w:val="24"/>
        </w:rPr>
        <w:t xml:space="preserve">Article 8 — Responsabilité et garanties</w:t>
      </w:r>
    </w:p>
    <w:p>
      <w:pPr>
        <w:spacing w:after="100"/>
      </w:pPr>
      <w:r>
        <w:rPr>
          <w:rFonts w:ascii="Arial" w:cs="Arial" w:eastAsia="Arial" w:hAnsi="Arial"/>
          <w:sz w:val="22"/>
          <w:szCs w:val="22"/>
        </w:rPr>
        <w:t xml:space="preserve">8.1. Le Prestataire est soumis à une obligation de moyens. Il ne saurait être tenu responsable des résultats commerciaux obtenus par le Client grâce aux solutions mises en place.</w:t>
      </w:r>
    </w:p>
    <w:p>
      <w:pPr>
        <w:spacing w:after="100"/>
      </w:pPr>
      <w:r>
        <w:rPr>
          <w:rFonts w:ascii="Arial" w:cs="Arial" w:eastAsia="Arial" w:hAnsi="Arial"/>
          <w:sz w:val="22"/>
          <w:szCs w:val="22"/>
        </w:rPr>
        <w:t xml:space="preserve">8.2. La responsabilité totale du Prestataire est limitée au montant total des sommes effectivement payées par le Client au cours des douze (12) derniers mois.</w:t>
      </w:r>
    </w:p>
    <w:p>
      <w:pPr>
        <w:spacing w:after="100"/>
      </w:pPr>
      <w:r>
        <w:rPr>
          <w:rFonts w:ascii="Arial" w:cs="Arial" w:eastAsia="Arial" w:hAnsi="Arial"/>
          <w:sz w:val="22"/>
          <w:szCs w:val="22"/>
        </w:rPr>
        <w:t xml:space="preserve">8.3. Le Prestataire ne saurait être tenu responsable des dommages indirects, pertes d'exploitation, pertes de données ou manque à gagner.</w:t>
      </w:r>
    </w:p>
    <w:p>
      <w:pPr>
        <w:spacing w:after="150" w:before="300"/>
      </w:pPr>
      <w:r>
        <w:rPr>
          <w:rFonts w:ascii="Arial" w:cs="Arial" w:eastAsia="Arial" w:hAnsi="Arial"/>
          <w:b/>
          <w:bCs/>
          <w:color w:val="1B3A5C"/>
          <w:sz w:val="24"/>
          <w:szCs w:val="24"/>
        </w:rPr>
        <w:t xml:space="preserve">Article 9 — Force majeure</w:t>
      </w:r>
    </w:p>
    <w:p>
      <w:pPr>
        <w:spacing w:after="100"/>
      </w:pPr>
      <w:r>
        <w:rPr>
          <w:rFonts w:ascii="Arial" w:cs="Arial" w:eastAsia="Arial" w:hAnsi="Arial"/>
          <w:sz w:val="22"/>
          <w:szCs w:val="22"/>
        </w:rPr>
        <w:t xml:space="preserve">Aucune des Parties ne pourra être tenue responsable d'un manquement à ses obligations contractuelles si ce manquement résulte d'un cas de force majeure au sens de l'article 1218 du Code civil.</w:t>
      </w:r>
    </w:p>
    <w:p>
      <w:pPr>
        <w:spacing w:after="150" w:before="300"/>
      </w:pPr>
      <w:r>
        <w:rPr>
          <w:rFonts w:ascii="Arial" w:cs="Arial" w:eastAsia="Arial" w:hAnsi="Arial"/>
          <w:b/>
          <w:bCs/>
          <w:color w:val="1B3A5C"/>
          <w:sz w:val="24"/>
          <w:szCs w:val="24"/>
        </w:rPr>
        <w:t xml:space="preserve">Article 10 — Résiliation anticipée</w:t>
      </w:r>
    </w:p>
    <w:p>
      <w:pPr>
        <w:spacing w:after="100"/>
      </w:pPr>
      <w:r>
        <w:rPr>
          <w:rFonts w:ascii="Arial" w:cs="Arial" w:eastAsia="Arial" w:hAnsi="Arial"/>
          <w:sz w:val="22"/>
          <w:szCs w:val="22"/>
        </w:rPr>
        <w:t xml:space="preserve">En cas de manquement grave de l'une des Parties à ses obligations, l'autre Partie pourra résilier le contrat de plein droit, après mise en demeure restée infructueuse pendant quinze (15) jours, adressée par lettre recommandée avec accusé de réception.</w:t>
      </w:r>
    </w:p>
    <w:p>
      <w:pPr>
        <w:spacing w:after="150" w:before="300"/>
      </w:pPr>
      <w:r>
        <w:rPr>
          <w:rFonts w:ascii="Arial" w:cs="Arial" w:eastAsia="Arial" w:hAnsi="Arial"/>
          <w:b/>
          <w:bCs/>
          <w:color w:val="1B3A5C"/>
          <w:sz w:val="24"/>
          <w:szCs w:val="24"/>
        </w:rPr>
        <w:t xml:space="preserve">Article 11 — Droit applicable et juridiction</w:t>
      </w:r>
    </w:p>
    <w:p>
      <w:pPr>
        <w:spacing w:after="100"/>
      </w:pPr>
      <w:r>
        <w:rPr>
          <w:rFonts w:ascii="Arial" w:cs="Arial" w:eastAsia="Arial" w:hAnsi="Arial"/>
          <w:sz w:val="22"/>
          <w:szCs w:val="22"/>
        </w:rPr>
        <w:t xml:space="preserve">Le présent contrat est régi par le droit français. En cas de litige, les Parties s'engagent à rechercher une solution amiable. À défaut d'accord amiable dans un délai de trente (30) jours, le litige sera soumis au Tribunal compétent de [Ville].</w:t>
      </w:r>
    </w:p>
    <w:p>
      <w:pPr>
        <w:spacing w:after="400"/>
      </w:pPr>
    </w:p>
    <w:p>
      <w:pPr>
        <w:spacing w:after="100"/>
      </w:pPr>
      <w:r>
        <w:rPr>
          <w:rFonts w:ascii="Arial" w:cs="Arial" w:eastAsia="Arial" w:hAnsi="Arial"/>
          <w:sz w:val="22"/>
          <w:szCs w:val="22"/>
        </w:rPr>
        <w:t xml:space="preserve">Fait en deux exemplaires originaux,</w:t>
      </w:r>
    </w:p>
    <w:p>
      <w:pPr>
        <w:spacing w:after="100"/>
      </w:pPr>
      <w:r>
        <w:rPr>
          <w:rFonts w:ascii="Arial" w:cs="Arial" w:eastAsia="Arial" w:hAnsi="Arial"/>
          <w:sz w:val="22"/>
          <w:szCs w:val="22"/>
        </w:rPr>
        <w:t xml:space="preserve">À [Ville], le [Date]</w:t>
      </w:r>
    </w:p>
    <w:p>
      <w:pPr>
        <w:spacing w:after="3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none" w:color="FFFFFF" w:sz="0"/>
              <w:left w:val="none" w:color="FFFFFF" w:sz="0"/>
              <w:bottom w:val="none" w:color="FFFFFF" w:sz="0"/>
              <w:right w:val="none" w:color="FFFFFF" w:sz="0"/>
            </w:tcBorders>
          </w:tcPr>
          <w:p>
            <w:pPr>
              <w:spacing w:after="100"/>
            </w:pPr>
            <w:r>
              <w:rPr>
                <w:rFonts w:ascii="Arial" w:cs="Arial" w:eastAsia="Arial" w:hAnsi="Arial"/>
                <w:b/>
                <w:bCs/>
                <w:sz w:val="22"/>
                <w:szCs w:val="22"/>
              </w:rPr>
              <w:t xml:space="preserve">Le Prestataire</w:t>
            </w:r>
          </w:p>
          <w:p>
            <w:pPr>
              <w:spacing w:after="50"/>
            </w:pPr>
            <w:r>
              <w:rPr>
                <w:rFonts w:ascii="Arial" w:cs="Arial" w:eastAsia="Arial" w:hAnsi="Arial"/>
                <w:sz w:val="22"/>
                <w:szCs w:val="22"/>
              </w:rPr>
              <w:t xml:space="preserve">Nom :</w:t>
            </w:r>
          </w:p>
          <w:p>
            <w:pPr>
              <w:spacing w:after="50"/>
            </w:pPr>
            <w:r>
              <w:rPr>
                <w:rFonts w:ascii="Arial" w:cs="Arial" w:eastAsia="Arial" w:hAnsi="Arial"/>
                <w:sz w:val="22"/>
                <w:szCs w:val="22"/>
              </w:rPr>
              <w:t xml:space="preserve">Signature :</w:t>
            </w:r>
          </w:p>
          <w:p>
            <w:pPr>
              <w:spacing w:after="600"/>
            </w:pPr>
          </w:p>
        </w:tc>
        <w:tc>
          <w:tcPr>
            <w:tcW w:type="dxa" w:w="4819"/>
            <w:tcBorders>
              <w:top w:val="none" w:color="FFFFFF" w:sz="0"/>
              <w:left w:val="none" w:color="FFFFFF" w:sz="0"/>
              <w:bottom w:val="none" w:color="FFFFFF" w:sz="0"/>
              <w:right w:val="none" w:color="FFFFFF" w:sz="0"/>
            </w:tcBorders>
          </w:tcPr>
          <w:p>
            <w:pPr>
              <w:spacing w:after="100"/>
            </w:pPr>
            <w:r>
              <w:rPr>
                <w:rFonts w:ascii="Arial" w:cs="Arial" w:eastAsia="Arial" w:hAnsi="Arial"/>
                <w:b/>
                <w:bCs/>
                <w:sz w:val="22"/>
                <w:szCs w:val="22"/>
              </w:rPr>
              <w:t xml:space="preserve">Le Client</w:t>
            </w:r>
          </w:p>
          <w:p>
            <w:pPr>
              <w:spacing w:after="50"/>
            </w:pPr>
            <w:r>
              <w:rPr>
                <w:rFonts w:ascii="Arial" w:cs="Arial" w:eastAsia="Arial" w:hAnsi="Arial"/>
                <w:sz w:val="22"/>
                <w:szCs w:val="22"/>
              </w:rPr>
              <w:t xml:space="preserve">Nom :</w:t>
            </w:r>
          </w:p>
          <w:p>
            <w:pPr>
              <w:spacing w:after="50"/>
            </w:pPr>
            <w:r>
              <w:rPr>
                <w:rFonts w:ascii="Arial" w:cs="Arial" w:eastAsia="Arial" w:hAnsi="Arial"/>
                <w:sz w:val="22"/>
                <w:szCs w:val="22"/>
              </w:rPr>
              <w:t xml:space="preserve">Signature :</w:t>
            </w:r>
          </w:p>
          <w:p>
            <w:pPr>
              <w:spacing w:after="600"/>
            </w:pPr>
          </w:p>
        </w:tc>
      </w:tr>
    </w:tbl>
    <w:p>
      <w:pPr>
        <w:pageBreakBefore/>
        <w:spacing w:after="400"/>
        <w:jc w:val="center"/>
      </w:pPr>
      <w:r>
        <w:rPr>
          <w:rFonts w:ascii="Arial" w:cs="Arial" w:eastAsia="Arial" w:hAnsi="Arial"/>
          <w:b/>
          <w:bCs/>
          <w:color w:val="1B3A5C"/>
          <w:sz w:val="36"/>
          <w:szCs w:val="36"/>
        </w:rPr>
        <w:t xml:space="preserve">CONDITIONS GÉNÉRALES DE VENTE (CGV)</w:t>
      </w:r>
    </w:p>
    <w:p>
      <w:pPr>
        <w:spacing w:after="150" w:before="300"/>
      </w:pPr>
      <w:r>
        <w:rPr>
          <w:rFonts w:ascii="Arial" w:cs="Arial" w:eastAsia="Arial" w:hAnsi="Arial"/>
          <w:b/>
          <w:bCs/>
          <w:color w:val="1B3A5C"/>
          <w:sz w:val="24"/>
          <w:szCs w:val="24"/>
        </w:rPr>
        <w:t xml:space="preserve">Article 1 — Champ d'application</w:t>
      </w:r>
    </w:p>
    <w:p>
      <w:pPr>
        <w:spacing w:after="100"/>
      </w:pPr>
      <w:r>
        <w:rPr>
          <w:rFonts w:ascii="Arial" w:cs="Arial" w:eastAsia="Arial" w:hAnsi="Arial"/>
          <w:sz w:val="22"/>
          <w:szCs w:val="22"/>
        </w:rPr>
        <w:t xml:space="preserve">Les présentes Conditions Générales de Vente s'appliquent à toutes les prestations de services conclues par TalosPrimes auprès de ses clients professionnels. Toute commande implique l'acceptation sans réserve des présentes CGV.</w:t>
      </w:r>
    </w:p>
    <w:p>
      <w:pPr>
        <w:spacing w:after="150" w:before="300"/>
      </w:pPr>
      <w:r>
        <w:rPr>
          <w:rFonts w:ascii="Arial" w:cs="Arial" w:eastAsia="Arial" w:hAnsi="Arial"/>
          <w:b/>
          <w:bCs/>
          <w:color w:val="1B3A5C"/>
          <w:sz w:val="24"/>
          <w:szCs w:val="24"/>
        </w:rPr>
        <w:t xml:space="preserve">Article 2 — Services proposés</w:t>
      </w:r>
    </w:p>
    <w:p>
      <w:pPr>
        <w:spacing w:after="100"/>
      </w:pPr>
      <w:r>
        <w:rPr>
          <w:rFonts w:ascii="Arial" w:cs="Arial" w:eastAsia="Arial" w:hAnsi="Arial"/>
          <w:sz w:val="22"/>
          <w:szCs w:val="22"/>
        </w:rPr>
        <w:t xml:space="preserve">TalosPrimes propose les services suivants :</w:t>
      </w:r>
    </w:p>
    <w:p>
      <w:pPr>
        <w:pStyle w:val="ListParagraph"/>
        <w:numPr>
          <w:ilvl w:val="0"/>
          <w:numId w:val="2"/>
        </w:numPr>
        <w:spacing w:after="60"/>
      </w:pPr>
      <w:r>
        <w:rPr>
          <w:rFonts w:ascii="Arial" w:cs="Arial" w:eastAsia="Arial" w:hAnsi="Arial"/>
          <w:sz w:val="22"/>
          <w:szCs w:val="22"/>
        </w:rPr>
        <w:t xml:space="preserve">Agent IA conversationnel et téléphonique (configuration, personnalisation, hébergement)</w:t>
      </w:r>
    </w:p>
    <w:p>
      <w:pPr>
        <w:pStyle w:val="ListParagraph"/>
        <w:numPr>
          <w:ilvl w:val="0"/>
          <w:numId w:val="2"/>
        </w:numPr>
        <w:spacing w:after="60"/>
      </w:pPr>
      <w:r>
        <w:rPr>
          <w:rFonts w:ascii="Arial" w:cs="Arial" w:eastAsia="Arial" w:hAnsi="Arial"/>
          <w:sz w:val="22"/>
          <w:szCs w:val="22"/>
        </w:rPr>
        <w:t xml:space="preserve">Développement d'automatisations sur mesure (workflows, intégrations API)</w:t>
      </w:r>
    </w:p>
    <w:p>
      <w:pPr>
        <w:pStyle w:val="ListParagraph"/>
        <w:numPr>
          <w:ilvl w:val="0"/>
          <w:numId w:val="2"/>
        </w:numPr>
        <w:spacing w:after="60"/>
      </w:pPr>
      <w:r>
        <w:rPr>
          <w:rFonts w:ascii="Arial" w:cs="Arial" w:eastAsia="Arial" w:hAnsi="Arial"/>
          <w:sz w:val="22"/>
          <w:szCs w:val="22"/>
        </w:rPr>
        <w:t xml:space="preserve">Plateforme SaaS de gestion (tableau de bord, modules métiers)</w:t>
      </w:r>
    </w:p>
    <w:p>
      <w:pPr>
        <w:pStyle w:val="ListParagraph"/>
        <w:numPr>
          <w:ilvl w:val="0"/>
          <w:numId w:val="2"/>
        </w:numPr>
        <w:spacing w:after="60"/>
      </w:pPr>
      <w:r>
        <w:rPr>
          <w:rFonts w:ascii="Arial" w:cs="Arial" w:eastAsia="Arial" w:hAnsi="Arial"/>
          <w:sz w:val="22"/>
          <w:szCs w:val="22"/>
        </w:rPr>
        <w:t xml:space="preserve">Maintenance, support technique et évolutions</w:t>
      </w:r>
    </w:p>
    <w:p>
      <w:pPr>
        <w:spacing w:after="100"/>
      </w:pPr>
      <w:r>
        <w:rPr>
          <w:rFonts w:ascii="Arial" w:cs="Arial" w:eastAsia="Arial" w:hAnsi="Arial"/>
          <w:sz w:val="22"/>
          <w:szCs w:val="22"/>
        </w:rPr>
        <w:t xml:space="preserve">Le détail des services commandés figure dans le devis signé par le Client.</w:t>
      </w:r>
    </w:p>
    <w:p>
      <w:pPr>
        <w:spacing w:after="150" w:before="300"/>
      </w:pPr>
      <w:r>
        <w:rPr>
          <w:rFonts w:ascii="Arial" w:cs="Arial" w:eastAsia="Arial" w:hAnsi="Arial"/>
          <w:b/>
          <w:bCs/>
          <w:color w:val="1B3A5C"/>
          <w:sz w:val="24"/>
          <w:szCs w:val="24"/>
        </w:rPr>
        <w:t xml:space="preserve">Article 3 — Devis et commande</w:t>
      </w:r>
    </w:p>
    <w:p>
      <w:pPr>
        <w:spacing w:after="100"/>
      </w:pPr>
      <w:r>
        <w:rPr>
          <w:rFonts w:ascii="Arial" w:cs="Arial" w:eastAsia="Arial" w:hAnsi="Arial"/>
          <w:sz w:val="22"/>
          <w:szCs w:val="22"/>
        </w:rPr>
        <w:t xml:space="preserve">3.1. Tout devis établi par le Prestataire est valable trente (30) jours à compter de sa date d'émission.</w:t>
      </w:r>
    </w:p>
    <w:p>
      <w:pPr>
        <w:spacing w:after="100"/>
      </w:pPr>
      <w:r>
        <w:rPr>
          <w:rFonts w:ascii="Arial" w:cs="Arial" w:eastAsia="Arial" w:hAnsi="Arial"/>
          <w:sz w:val="22"/>
          <w:szCs w:val="22"/>
        </w:rPr>
        <w:t xml:space="preserve">3.2. La commande est réputée ferme et définitive à réception du devis signé et du règlement de l'acompte prévu.</w:t>
      </w:r>
    </w:p>
    <w:p>
      <w:pPr>
        <w:spacing w:after="150" w:before="300"/>
      </w:pPr>
      <w:r>
        <w:rPr>
          <w:rFonts w:ascii="Arial" w:cs="Arial" w:eastAsia="Arial" w:hAnsi="Arial"/>
          <w:b/>
          <w:bCs/>
          <w:color w:val="1B3A5C"/>
          <w:sz w:val="24"/>
          <w:szCs w:val="24"/>
        </w:rPr>
        <w:t xml:space="preserve">Article 4 — Tarifs</w:t>
      </w:r>
    </w:p>
    <w:p>
      <w:pPr>
        <w:spacing w:after="100"/>
      </w:pPr>
      <w:r>
        <w:rPr>
          <w:rFonts w:ascii="Arial" w:cs="Arial" w:eastAsia="Arial" w:hAnsi="Arial"/>
          <w:sz w:val="22"/>
          <w:szCs w:val="22"/>
        </w:rPr>
        <w:t xml:space="preserve">4.1. Les tarifs sont ceux figurant dans la grille tarifaire en vigueur au jour de la commande. Les tarifs sont exprimés en euros hors taxes.</w:t>
      </w:r>
    </w:p>
    <w:p>
      <w:pPr>
        <w:spacing w:after="100"/>
      </w:pPr>
      <w:r>
        <w:rPr>
          <w:rFonts w:ascii="Arial" w:cs="Arial" w:eastAsia="Arial" w:hAnsi="Arial"/>
          <w:sz w:val="22"/>
          <w:szCs w:val="22"/>
        </w:rPr>
        <w:t xml:space="preserve">4.2. Le Prestataire se réserve le droit de modifier ses tarifs à tout moment. Les nouveaux tarifs s'appliqueront aux commandes postérieures à la modification. Pour les abonnements en cours, une notification préalable de 60 jours sera adressée au Client.</w:t>
      </w:r>
    </w:p>
    <w:p>
      <w:pPr>
        <w:spacing w:after="150" w:before="300"/>
      </w:pPr>
      <w:r>
        <w:rPr>
          <w:rFonts w:ascii="Arial" w:cs="Arial" w:eastAsia="Arial" w:hAnsi="Arial"/>
          <w:b/>
          <w:bCs/>
          <w:color w:val="1B3A5C"/>
          <w:sz w:val="24"/>
          <w:szCs w:val="24"/>
        </w:rPr>
        <w:t xml:space="preserve">Article 5 — Paiement</w:t>
      </w:r>
    </w:p>
    <w:p>
      <w:pPr>
        <w:spacing w:after="100"/>
      </w:pPr>
      <w:r>
        <w:rPr>
          <w:rFonts w:ascii="Arial" w:cs="Arial" w:eastAsia="Arial" w:hAnsi="Arial"/>
          <w:sz w:val="22"/>
          <w:szCs w:val="22"/>
        </w:rPr>
        <w:t xml:space="preserve">5.1. Les frais de setup sont payables intégralement à la commande.</w:t>
      </w:r>
    </w:p>
    <w:p>
      <w:pPr>
        <w:spacing w:after="100"/>
      </w:pPr>
      <w:r>
        <w:rPr>
          <w:rFonts w:ascii="Arial" w:cs="Arial" w:eastAsia="Arial" w:hAnsi="Arial"/>
          <w:sz w:val="22"/>
          <w:szCs w:val="22"/>
        </w:rPr>
        <w:t xml:space="preserve">5.2. Les automatisations sur mesure sont payables à 50% à la commande et 50% à la livraison.</w:t>
      </w:r>
    </w:p>
    <w:p>
      <w:pPr>
        <w:spacing w:after="100"/>
      </w:pPr>
      <w:r>
        <w:rPr>
          <w:rFonts w:ascii="Arial" w:cs="Arial" w:eastAsia="Arial" w:hAnsi="Arial"/>
          <w:sz w:val="22"/>
          <w:szCs w:val="22"/>
        </w:rPr>
        <w:t xml:space="preserve">5.3. Les abonnements mensuels sont prélevés en début de mois ou facturés avec échéance à 15 jours.</w:t>
      </w:r>
    </w:p>
    <w:p>
      <w:pPr>
        <w:spacing w:after="100"/>
      </w:pPr>
      <w:r>
        <w:rPr>
          <w:rFonts w:ascii="Arial" w:cs="Arial" w:eastAsia="Arial" w:hAnsi="Arial"/>
          <w:sz w:val="22"/>
          <w:szCs w:val="22"/>
        </w:rPr>
        <w:t xml:space="preserve">5.4. Tout retard de paiement entraîne de plein droit l'application de pénalités de retard au taux de trois fois le taux d'intérêt légal, ainsi qu'une indemnité forfaitaire de recouvrement de 40€ (art. L.441-10 et D.441-5 du Code de commerce).</w:t>
      </w:r>
    </w:p>
    <w:p>
      <w:pPr>
        <w:spacing w:after="150" w:before="300"/>
      </w:pPr>
      <w:r>
        <w:rPr>
          <w:rFonts w:ascii="Arial" w:cs="Arial" w:eastAsia="Arial" w:hAnsi="Arial"/>
          <w:b/>
          <w:bCs/>
          <w:color w:val="1B3A5C"/>
          <w:sz w:val="24"/>
          <w:szCs w:val="24"/>
        </w:rPr>
        <w:t xml:space="preserve">Article 6 — Délai d'exécution</w:t>
      </w:r>
    </w:p>
    <w:p>
      <w:pPr>
        <w:spacing w:after="100"/>
      </w:pPr>
      <w:r>
        <w:rPr>
          <w:rFonts w:ascii="Arial" w:cs="Arial" w:eastAsia="Arial" w:hAnsi="Arial"/>
          <w:sz w:val="22"/>
          <w:szCs w:val="22"/>
        </w:rPr>
        <w:t xml:space="preserve">Les délais d'exécution sont communiqués à titre indicatif dans le devis. Le Prestataire s'efforcera de respecter ces délais mais ne pourra être tenu responsable en cas de retard imputable au Client (retard dans la transmission d'informations, indisponibilité, etc.).</w:t>
      </w:r>
    </w:p>
    <w:p>
      <w:pPr>
        <w:spacing w:after="150" w:before="300"/>
      </w:pPr>
      <w:r>
        <w:rPr>
          <w:rFonts w:ascii="Arial" w:cs="Arial" w:eastAsia="Arial" w:hAnsi="Arial"/>
          <w:b/>
          <w:bCs/>
          <w:color w:val="1B3A5C"/>
          <w:sz w:val="24"/>
          <w:szCs w:val="24"/>
        </w:rPr>
        <w:t xml:space="preserve">Article 7 — Réception et validation</w:t>
      </w:r>
    </w:p>
    <w:p>
      <w:pPr>
        <w:spacing w:after="100"/>
      </w:pPr>
      <w:r>
        <w:rPr>
          <w:rFonts w:ascii="Arial" w:cs="Arial" w:eastAsia="Arial" w:hAnsi="Arial"/>
          <w:sz w:val="22"/>
          <w:szCs w:val="22"/>
        </w:rPr>
        <w:t xml:space="preserve">7.1. À la livraison, le Client dispose de sept (7) jours ouvrés pour tester et valider les services livrés.</w:t>
      </w:r>
    </w:p>
    <w:p>
      <w:pPr>
        <w:spacing w:after="100"/>
      </w:pPr>
      <w:r>
        <w:rPr>
          <w:rFonts w:ascii="Arial" w:cs="Arial" w:eastAsia="Arial" w:hAnsi="Arial"/>
          <w:sz w:val="22"/>
          <w:szCs w:val="22"/>
        </w:rPr>
        <w:t xml:space="preserve">7.2. Passé ce délai sans observation écrite, les services sont réputés acceptés sans réserve.</w:t>
      </w:r>
    </w:p>
    <w:p>
      <w:pPr>
        <w:spacing w:after="100"/>
      </w:pPr>
      <w:r>
        <w:rPr>
          <w:rFonts w:ascii="Arial" w:cs="Arial" w:eastAsia="Arial" w:hAnsi="Arial"/>
          <w:sz w:val="22"/>
          <w:szCs w:val="22"/>
        </w:rPr>
        <w:t xml:space="preserve">7.3. En cas de réserves, le Prestataire procèdera aux corrections nécessaires dans un délai raisonnable.</w:t>
      </w:r>
    </w:p>
    <w:p>
      <w:pPr>
        <w:spacing w:after="150" w:before="300"/>
      </w:pPr>
      <w:r>
        <w:rPr>
          <w:rFonts w:ascii="Arial" w:cs="Arial" w:eastAsia="Arial" w:hAnsi="Arial"/>
          <w:b/>
          <w:bCs/>
          <w:color w:val="1B3A5C"/>
          <w:sz w:val="24"/>
          <w:szCs w:val="24"/>
        </w:rPr>
        <w:t xml:space="preserve">Article 8 — Droit de rétractation</w:t>
      </w:r>
    </w:p>
    <w:p>
      <w:pPr>
        <w:spacing w:after="100"/>
      </w:pPr>
      <w:r>
        <w:rPr>
          <w:rFonts w:ascii="Arial" w:cs="Arial" w:eastAsia="Arial" w:hAnsi="Arial"/>
          <w:sz w:val="22"/>
          <w:szCs w:val="22"/>
        </w:rPr>
        <w:t xml:space="preserve">Conformément à l'article L.221-3 du Code de la consommation, le droit de rétractation ne s'applique pas aux contrats conclus entre professionnels. Néanmoins, le Client peut résilier son abonnement à tout moment avec un préavis de 30 jours. Les frais d'installation ne sont pas remboursables, le service étant réputé exécuté dès le début des travaux.</w:t>
      </w:r>
    </w:p>
    <w:p>
      <w:pPr>
        <w:spacing w:after="150" w:before="300"/>
      </w:pPr>
      <w:r>
        <w:rPr>
          <w:rFonts w:ascii="Arial" w:cs="Arial" w:eastAsia="Arial" w:hAnsi="Arial"/>
          <w:b/>
          <w:bCs/>
          <w:color w:val="1B3A5C"/>
          <w:sz w:val="24"/>
          <w:szCs w:val="24"/>
        </w:rPr>
        <w:t xml:space="preserve">Article 9 — Limitation de responsabilité</w:t>
      </w:r>
    </w:p>
    <w:p>
      <w:pPr>
        <w:spacing w:after="100"/>
      </w:pPr>
      <w:r>
        <w:rPr>
          <w:rFonts w:ascii="Arial" w:cs="Arial" w:eastAsia="Arial" w:hAnsi="Arial"/>
          <w:sz w:val="22"/>
          <w:szCs w:val="22"/>
        </w:rPr>
        <w:t xml:space="preserve">La responsabilité du Prestataire est limitée aux dommages directs et prévisibles. Le montant total de la réparation ne pourra excéder le montant des sommes versées par le Client au cours des 12 derniers mois. Le Prestataire ne saurait être tenu responsable des dommages indirects.</w:t>
      </w:r>
    </w:p>
    <w:p>
      <w:pPr>
        <w:spacing w:after="150" w:before="300"/>
      </w:pPr>
      <w:r>
        <w:rPr>
          <w:rFonts w:ascii="Arial" w:cs="Arial" w:eastAsia="Arial" w:hAnsi="Arial"/>
          <w:b/>
          <w:bCs/>
          <w:color w:val="1B3A5C"/>
          <w:sz w:val="24"/>
          <w:szCs w:val="24"/>
        </w:rPr>
        <w:t xml:space="preserve">Article 10 — Propriété intellectuelle</w:t>
      </w:r>
    </w:p>
    <w:p>
      <w:pPr>
        <w:spacing w:after="100"/>
      </w:pPr>
      <w:r>
        <w:rPr>
          <w:rFonts w:ascii="Arial" w:cs="Arial" w:eastAsia="Arial" w:hAnsi="Arial"/>
          <w:sz w:val="22"/>
          <w:szCs w:val="22"/>
        </w:rPr>
        <w:t xml:space="preserve">L'ensemble des solutions, codes, workflows et contenus développés par le Prestataire restent sa propriété exclusive. Le Client bénéficie d'une licence d'utilisation limitée à la durée du contrat.</w:t>
      </w:r>
    </w:p>
    <w:p>
      <w:pPr>
        <w:spacing w:after="150" w:before="300"/>
      </w:pPr>
      <w:r>
        <w:rPr>
          <w:rFonts w:ascii="Arial" w:cs="Arial" w:eastAsia="Arial" w:hAnsi="Arial"/>
          <w:b/>
          <w:bCs/>
          <w:color w:val="1B3A5C"/>
          <w:sz w:val="24"/>
          <w:szCs w:val="24"/>
        </w:rPr>
        <w:t xml:space="preserve">Article 11 — Médiation et litiges</w:t>
      </w:r>
    </w:p>
    <w:p>
      <w:pPr>
        <w:spacing w:after="100"/>
      </w:pPr>
      <w:r>
        <w:rPr>
          <w:rFonts w:ascii="Arial" w:cs="Arial" w:eastAsia="Arial" w:hAnsi="Arial"/>
          <w:sz w:val="22"/>
          <w:szCs w:val="22"/>
        </w:rPr>
        <w:t xml:space="preserve">En cas de litige, les Parties s'engagent à rechercher une solution amiable. À défaut, le Client professionnel peut recourir à un médiateur. Le litige sera soumis aux tribunaux compétents de [Ville].</w:t>
      </w:r>
    </w:p>
    <w:p>
      <w:pPr>
        <w:pageBreakBefore/>
        <w:spacing w:after="400"/>
        <w:jc w:val="center"/>
      </w:pPr>
      <w:r>
        <w:rPr>
          <w:rFonts w:ascii="Arial" w:cs="Arial" w:eastAsia="Arial" w:hAnsi="Arial"/>
          <w:b/>
          <w:bCs/>
          <w:color w:val="1B3A5C"/>
          <w:sz w:val="36"/>
          <w:szCs w:val="36"/>
        </w:rPr>
        <w:t xml:space="preserve">CONDITIONS GÉNÉRALES D'UTILISATION (CGU)</w:t>
      </w:r>
    </w:p>
    <w:p>
      <w:pPr>
        <w:spacing w:after="150" w:before="300"/>
      </w:pPr>
      <w:r>
        <w:rPr>
          <w:rFonts w:ascii="Arial" w:cs="Arial" w:eastAsia="Arial" w:hAnsi="Arial"/>
          <w:b/>
          <w:bCs/>
          <w:color w:val="1B3A5C"/>
          <w:sz w:val="24"/>
          <w:szCs w:val="24"/>
        </w:rPr>
        <w:t xml:space="preserve">Article 1 — Objet</w:t>
      </w:r>
    </w:p>
    <w:p>
      <w:pPr>
        <w:spacing w:after="100"/>
      </w:pPr>
      <w:r>
        <w:rPr>
          <w:rFonts w:ascii="Arial" w:cs="Arial" w:eastAsia="Arial" w:hAnsi="Arial"/>
          <w:sz w:val="22"/>
          <w:szCs w:val="22"/>
        </w:rPr>
        <w:t xml:space="preserve">Les présentes Conditions Générales d'Utilisation ont pour objet de définir les règles d'accès et d'utilisation de la plateforme TalosPrimes, accessible à l'adresse talosprimes.com et ses sous-domaines.</w:t>
      </w:r>
    </w:p>
    <w:p>
      <w:pPr>
        <w:spacing w:after="150" w:before="300"/>
      </w:pPr>
      <w:r>
        <w:rPr>
          <w:rFonts w:ascii="Arial" w:cs="Arial" w:eastAsia="Arial" w:hAnsi="Arial"/>
          <w:b/>
          <w:bCs/>
          <w:color w:val="1B3A5C"/>
          <w:sz w:val="24"/>
          <w:szCs w:val="24"/>
        </w:rPr>
        <w:t xml:space="preserve">Article 2 — Accès à la plateforme</w:t>
      </w:r>
    </w:p>
    <w:p>
      <w:pPr>
        <w:spacing w:after="100"/>
      </w:pPr>
      <w:r>
        <w:rPr>
          <w:rFonts w:ascii="Arial" w:cs="Arial" w:eastAsia="Arial" w:hAnsi="Arial"/>
          <w:sz w:val="22"/>
          <w:szCs w:val="22"/>
        </w:rPr>
        <w:t xml:space="preserve">2.1. L'accès à la plateforme est réservé aux utilisateurs disposant d'un compte valide, créé suite à la souscription d'un abonnement.</w:t>
      </w:r>
    </w:p>
    <w:p>
      <w:pPr>
        <w:spacing w:after="100"/>
      </w:pPr>
      <w:r>
        <w:rPr>
          <w:rFonts w:ascii="Arial" w:cs="Arial" w:eastAsia="Arial" w:hAnsi="Arial"/>
          <w:sz w:val="22"/>
          <w:szCs w:val="22"/>
        </w:rPr>
        <w:t xml:space="preserve">2.2. L'utilisateur est responsable de la confidentialité de ses identifiants de connexion. Toute utilisation effectuée avec ses identifiants est présumée faite par lui.</w:t>
      </w:r>
    </w:p>
    <w:p>
      <w:pPr>
        <w:spacing w:after="100"/>
      </w:pPr>
      <w:r>
        <w:rPr>
          <w:rFonts w:ascii="Arial" w:cs="Arial" w:eastAsia="Arial" w:hAnsi="Arial"/>
          <w:sz w:val="22"/>
          <w:szCs w:val="22"/>
        </w:rPr>
        <w:t xml:space="preserve">2.3. Le Prestataire se réserve le droit de suspendre ou résilier l'accès en cas de violation des présentes CGU.</w:t>
      </w:r>
    </w:p>
    <w:p>
      <w:pPr>
        <w:spacing w:after="150" w:before="300"/>
      </w:pPr>
      <w:r>
        <w:rPr>
          <w:rFonts w:ascii="Arial" w:cs="Arial" w:eastAsia="Arial" w:hAnsi="Arial"/>
          <w:b/>
          <w:bCs/>
          <w:color w:val="1B3A5C"/>
          <w:sz w:val="24"/>
          <w:szCs w:val="24"/>
        </w:rPr>
        <w:t xml:space="preserve">Article 3 — Utilisation autorisée</w:t>
      </w:r>
    </w:p>
    <w:p>
      <w:pPr>
        <w:spacing w:after="100"/>
      </w:pPr>
      <w:r>
        <w:rPr>
          <w:rFonts w:ascii="Arial" w:cs="Arial" w:eastAsia="Arial" w:hAnsi="Arial"/>
          <w:sz w:val="22"/>
          <w:szCs w:val="22"/>
        </w:rPr>
        <w:t xml:space="preserve">L'utilisateur s'engage à utiliser la plateforme conformément à sa destination et à la législation en vigueur. Il lui est interdit de :</w:t>
      </w:r>
    </w:p>
    <w:p>
      <w:pPr>
        <w:pStyle w:val="ListParagraph"/>
        <w:numPr>
          <w:ilvl w:val="0"/>
          <w:numId w:val="2"/>
        </w:numPr>
        <w:spacing w:after="60"/>
      </w:pPr>
      <w:r>
        <w:rPr>
          <w:rFonts w:ascii="Arial" w:cs="Arial" w:eastAsia="Arial" w:hAnsi="Arial"/>
          <w:sz w:val="22"/>
          <w:szCs w:val="22"/>
        </w:rPr>
        <w:t xml:space="preserve">Tenter d'accéder à des fonctionnalités ou données non autorisées</w:t>
      </w:r>
    </w:p>
    <w:p>
      <w:pPr>
        <w:pStyle w:val="ListParagraph"/>
        <w:numPr>
          <w:ilvl w:val="0"/>
          <w:numId w:val="2"/>
        </w:numPr>
        <w:spacing w:after="60"/>
      </w:pPr>
      <w:r>
        <w:rPr>
          <w:rFonts w:ascii="Arial" w:cs="Arial" w:eastAsia="Arial" w:hAnsi="Arial"/>
          <w:sz w:val="22"/>
          <w:szCs w:val="22"/>
        </w:rPr>
        <w:t xml:space="preserve">Copier, modifier, reproduire ou distribuer tout ou partie de la plateforme</w:t>
      </w:r>
    </w:p>
    <w:p>
      <w:pPr>
        <w:pStyle w:val="ListParagraph"/>
        <w:numPr>
          <w:ilvl w:val="0"/>
          <w:numId w:val="2"/>
        </w:numPr>
        <w:spacing w:after="60"/>
      </w:pPr>
      <w:r>
        <w:rPr>
          <w:rFonts w:ascii="Arial" w:cs="Arial" w:eastAsia="Arial" w:hAnsi="Arial"/>
          <w:sz w:val="22"/>
          <w:szCs w:val="22"/>
        </w:rPr>
        <w:t xml:space="preserve">Utiliser la plateforme à des fins illicites, frauduleuses ou malveillantes</w:t>
      </w:r>
    </w:p>
    <w:p>
      <w:pPr>
        <w:pStyle w:val="ListParagraph"/>
        <w:numPr>
          <w:ilvl w:val="0"/>
          <w:numId w:val="2"/>
        </w:numPr>
        <w:spacing w:after="60"/>
      </w:pPr>
      <w:r>
        <w:rPr>
          <w:rFonts w:ascii="Arial" w:cs="Arial" w:eastAsia="Arial" w:hAnsi="Arial"/>
          <w:sz w:val="22"/>
          <w:szCs w:val="22"/>
        </w:rPr>
        <w:t xml:space="preserve">Introduire des virus, programmes malveillants ou tout code nuisible</w:t>
      </w:r>
    </w:p>
    <w:p>
      <w:pPr>
        <w:pStyle w:val="ListParagraph"/>
        <w:numPr>
          <w:ilvl w:val="0"/>
          <w:numId w:val="2"/>
        </w:numPr>
        <w:spacing w:after="60"/>
      </w:pPr>
      <w:r>
        <w:rPr>
          <w:rFonts w:ascii="Arial" w:cs="Arial" w:eastAsia="Arial" w:hAnsi="Arial"/>
          <w:sz w:val="22"/>
          <w:szCs w:val="22"/>
        </w:rPr>
        <w:t xml:space="preserve">Surcharger intentionnellement les serveurs ou perturber le fonctionnement du service</w:t>
      </w:r>
    </w:p>
    <w:p>
      <w:pPr>
        <w:spacing w:after="150" w:before="300"/>
      </w:pPr>
      <w:r>
        <w:rPr>
          <w:rFonts w:ascii="Arial" w:cs="Arial" w:eastAsia="Arial" w:hAnsi="Arial"/>
          <w:b/>
          <w:bCs/>
          <w:color w:val="1B3A5C"/>
          <w:sz w:val="24"/>
          <w:szCs w:val="24"/>
        </w:rPr>
        <w:t xml:space="preserve">Article 4 — Agent IA — Conditions d'utilisation</w:t>
      </w:r>
    </w:p>
    <w:p>
      <w:pPr>
        <w:spacing w:after="100"/>
      </w:pPr>
      <w:r>
        <w:rPr>
          <w:rFonts w:ascii="Arial" w:cs="Arial" w:eastAsia="Arial" w:hAnsi="Arial"/>
          <w:sz w:val="22"/>
          <w:szCs w:val="22"/>
        </w:rPr>
        <w:t xml:space="preserve">4.1. L'Agent IA fourni dans le cadre des services est un outil d'assistance automatique. Ses réponses sont générées par intelligence artificielle et ne constituent pas des conseils professionnels (juridiques, médicaux, financiers, etc.).</w:t>
      </w:r>
    </w:p>
    <w:p>
      <w:pPr>
        <w:spacing w:after="100"/>
      </w:pPr>
      <w:r>
        <w:rPr>
          <w:rFonts w:ascii="Arial" w:cs="Arial" w:eastAsia="Arial" w:hAnsi="Arial"/>
          <w:sz w:val="22"/>
          <w:szCs w:val="22"/>
        </w:rPr>
        <w:t xml:space="preserve">4.2. Le Client est responsable de la vérification et de la validation des actions effectuées par l'Agent IA, notamment la prise de rendez-vous et les communications avec ses propres clients.</w:t>
      </w:r>
    </w:p>
    <w:p>
      <w:pPr>
        <w:spacing w:after="100"/>
      </w:pPr>
      <w:r>
        <w:rPr>
          <w:rFonts w:ascii="Arial" w:cs="Arial" w:eastAsia="Arial" w:hAnsi="Arial"/>
          <w:sz w:val="22"/>
          <w:szCs w:val="22"/>
        </w:rPr>
        <w:t xml:space="preserve">4.3. Le Prestataire ne saurait être tenu responsable des erreurs ou omissions de l'Agent IA.</w:t>
      </w:r>
    </w:p>
    <w:p>
      <w:pPr>
        <w:spacing w:after="150" w:before="300"/>
      </w:pPr>
      <w:r>
        <w:rPr>
          <w:rFonts w:ascii="Arial" w:cs="Arial" w:eastAsia="Arial" w:hAnsi="Arial"/>
          <w:b/>
          <w:bCs/>
          <w:color w:val="1B3A5C"/>
          <w:sz w:val="24"/>
          <w:szCs w:val="24"/>
        </w:rPr>
        <w:t xml:space="preserve">Article 5 — Disponibilité</w:t>
      </w:r>
    </w:p>
    <w:p>
      <w:pPr>
        <w:spacing w:after="100"/>
      </w:pPr>
      <w:r>
        <w:rPr>
          <w:rFonts w:ascii="Arial" w:cs="Arial" w:eastAsia="Arial" w:hAnsi="Arial"/>
          <w:sz w:val="22"/>
          <w:szCs w:val="22"/>
        </w:rPr>
        <w:t xml:space="preserve">Le Prestataire s'efforce d'assurer une disponibilité optimale de la plateforme (99,5% en moyenne mensuelle). Des interruptions pour maintenance pourront intervenir, avec notification préalable de 24 heures sauf urgence technique.</w:t>
      </w:r>
    </w:p>
    <w:p>
      <w:pPr>
        <w:spacing w:after="150" w:before="300"/>
      </w:pPr>
      <w:r>
        <w:rPr>
          <w:rFonts w:ascii="Arial" w:cs="Arial" w:eastAsia="Arial" w:hAnsi="Arial"/>
          <w:b/>
          <w:bCs/>
          <w:color w:val="1B3A5C"/>
          <w:sz w:val="24"/>
          <w:szCs w:val="24"/>
        </w:rPr>
        <w:t xml:space="preserve">Article 6 — Données personnelles</w:t>
      </w:r>
    </w:p>
    <w:p>
      <w:pPr>
        <w:spacing w:after="100"/>
      </w:pPr>
      <w:r>
        <w:rPr>
          <w:rFonts w:ascii="Arial" w:cs="Arial" w:eastAsia="Arial" w:hAnsi="Arial"/>
          <w:sz w:val="22"/>
          <w:szCs w:val="22"/>
        </w:rPr>
        <w:t xml:space="preserve">Le traitement des données personnelles est détaillé dans la Politique de Protection des Données (RGPD) annexée aux présentes.</w:t>
      </w:r>
    </w:p>
    <w:p>
      <w:pPr>
        <w:spacing w:after="150" w:before="300"/>
      </w:pPr>
      <w:r>
        <w:rPr>
          <w:rFonts w:ascii="Arial" w:cs="Arial" w:eastAsia="Arial" w:hAnsi="Arial"/>
          <w:b/>
          <w:bCs/>
          <w:color w:val="1B3A5C"/>
          <w:sz w:val="24"/>
          <w:szCs w:val="24"/>
        </w:rPr>
        <w:t xml:space="preserve">Article 7 — Propriété intellectuelle</w:t>
      </w:r>
    </w:p>
    <w:p>
      <w:pPr>
        <w:spacing w:after="100"/>
      </w:pPr>
      <w:r>
        <w:rPr>
          <w:rFonts w:ascii="Arial" w:cs="Arial" w:eastAsia="Arial" w:hAnsi="Arial"/>
          <w:sz w:val="22"/>
          <w:szCs w:val="22"/>
        </w:rPr>
        <w:t xml:space="preserve">La plateforme TalosPrimes, son architecture, son code source, ses interfaces et son contenu sont protégés par le droit de la propriété intellectuelle. Toute reproduction, même partielle, est strictement interdite sans autorisation écrite préalable.</w:t>
      </w:r>
    </w:p>
    <w:p>
      <w:pPr>
        <w:spacing w:after="150" w:before="300"/>
      </w:pPr>
      <w:r>
        <w:rPr>
          <w:rFonts w:ascii="Arial" w:cs="Arial" w:eastAsia="Arial" w:hAnsi="Arial"/>
          <w:b/>
          <w:bCs/>
          <w:color w:val="1B3A5C"/>
          <w:sz w:val="24"/>
          <w:szCs w:val="24"/>
        </w:rPr>
        <w:t xml:space="preserve">Article 8 — Modification des CGU</w:t>
      </w:r>
    </w:p>
    <w:p>
      <w:pPr>
        <w:spacing w:after="100"/>
      </w:pPr>
      <w:r>
        <w:rPr>
          <w:rFonts w:ascii="Arial" w:cs="Arial" w:eastAsia="Arial" w:hAnsi="Arial"/>
          <w:sz w:val="22"/>
          <w:szCs w:val="22"/>
        </w:rPr>
        <w:t xml:space="preserve">Le Prestataire se réserve le droit de modifier les présentes CGU à tout moment. Les utilisateurs seront informés de toute modification par notification sur la plateforme ou par email. La poursuite de l'utilisation après notification vaut acceptation des CGU modifiées.</w:t>
      </w:r>
    </w:p>
    <w:p>
      <w:pPr>
        <w:pageBreakBefore/>
        <w:spacing w:after="200"/>
        <w:jc w:val="center"/>
      </w:pPr>
      <w:r>
        <w:rPr>
          <w:rFonts w:ascii="Arial" w:cs="Arial" w:eastAsia="Arial" w:hAnsi="Arial"/>
          <w:b/>
          <w:bCs/>
          <w:color w:val="1B3A5C"/>
          <w:sz w:val="36"/>
          <w:szCs w:val="36"/>
        </w:rPr>
        <w:t xml:space="preserve">POLITIQUE DE PROTECTION DES DONNÉES (RGPD)</w:t>
      </w:r>
    </w:p>
    <w:p>
      <w:pPr>
        <w:spacing w:after="400"/>
        <w:jc w:val="center"/>
      </w:pPr>
      <w:r>
        <w:rPr>
          <w:rFonts w:ascii="Arial" w:cs="Arial" w:eastAsia="Arial" w:hAnsi="Arial"/>
          <w:i/>
          <w:iCs/>
          <w:color w:val="666666"/>
          <w:sz w:val="20"/>
          <w:szCs w:val="20"/>
        </w:rPr>
        <w:t xml:space="preserve">Conformément au Règlement Général sur la Protection des Données (UE) 2016/679</w:t>
      </w:r>
    </w:p>
    <w:p>
      <w:pPr>
        <w:spacing w:after="150" w:before="300"/>
      </w:pPr>
      <w:r>
        <w:rPr>
          <w:rFonts w:ascii="Arial" w:cs="Arial" w:eastAsia="Arial" w:hAnsi="Arial"/>
          <w:b/>
          <w:bCs/>
          <w:color w:val="1B3A5C"/>
          <w:sz w:val="24"/>
          <w:szCs w:val="24"/>
        </w:rPr>
        <w:t xml:space="preserve">Article 1 — Responsable du traitement</w:t>
      </w:r>
    </w:p>
    <w:p>
      <w:pPr>
        <w:spacing w:after="100"/>
      </w:pPr>
      <w:r>
        <w:rPr>
          <w:rFonts w:ascii="Arial" w:cs="Arial" w:eastAsia="Arial" w:hAnsi="Arial"/>
          <w:sz w:val="22"/>
          <w:szCs w:val="22"/>
        </w:rPr>
        <w:t xml:space="preserve">Le responsable du traitement des données est TalosPrimes, [forme juridique], [adresse], [email de contact DPO/référent RGPD].</w:t>
      </w:r>
    </w:p>
    <w:p>
      <w:pPr>
        <w:spacing w:after="150" w:before="300"/>
      </w:pPr>
      <w:r>
        <w:rPr>
          <w:rFonts w:ascii="Arial" w:cs="Arial" w:eastAsia="Arial" w:hAnsi="Arial"/>
          <w:b/>
          <w:bCs/>
          <w:color w:val="1B3A5C"/>
          <w:sz w:val="24"/>
          <w:szCs w:val="24"/>
        </w:rPr>
        <w:t xml:space="preserve">Article 2 — Données collectées</w:t>
      </w:r>
    </w:p>
    <w:p>
      <w:pPr>
        <w:spacing w:after="100"/>
      </w:pPr>
      <w:r>
        <w:rPr>
          <w:rFonts w:ascii="Arial" w:cs="Arial" w:eastAsia="Arial" w:hAnsi="Arial"/>
          <w:sz w:val="22"/>
          <w:szCs w:val="22"/>
        </w:rPr>
        <w:t xml:space="preserve">Dans le cadre de ses services, TalosPrimes peut collecter les données suivantes :</w:t>
      </w:r>
    </w:p>
    <w:p>
      <w:pPr>
        <w:pStyle w:val="ListParagraph"/>
        <w:numPr>
          <w:ilvl w:val="0"/>
          <w:numId w:val="2"/>
        </w:numPr>
        <w:spacing w:after="60"/>
      </w:pPr>
      <w:r>
        <w:rPr>
          <w:rFonts w:ascii="Arial" w:cs="Arial" w:eastAsia="Arial" w:hAnsi="Arial"/>
          <w:sz w:val="22"/>
          <w:szCs w:val="22"/>
        </w:rPr>
        <w:t xml:space="preserve">Données d'identification : nom, prénom, raison sociale, adresse, email, téléphone</w:t>
      </w:r>
    </w:p>
    <w:p>
      <w:pPr>
        <w:pStyle w:val="ListParagraph"/>
        <w:numPr>
          <w:ilvl w:val="0"/>
          <w:numId w:val="2"/>
        </w:numPr>
        <w:spacing w:after="60"/>
      </w:pPr>
      <w:r>
        <w:rPr>
          <w:rFonts w:ascii="Arial" w:cs="Arial" w:eastAsia="Arial" w:hAnsi="Arial"/>
          <w:sz w:val="22"/>
          <w:szCs w:val="22"/>
        </w:rPr>
        <w:t xml:space="preserve">Données de connexion : identifiants, logs d'accès, adresses IP</w:t>
      </w:r>
    </w:p>
    <w:p>
      <w:pPr>
        <w:pStyle w:val="ListParagraph"/>
        <w:numPr>
          <w:ilvl w:val="0"/>
          <w:numId w:val="2"/>
        </w:numPr>
        <w:spacing w:after="60"/>
      </w:pPr>
      <w:r>
        <w:rPr>
          <w:rFonts w:ascii="Arial" w:cs="Arial" w:eastAsia="Arial" w:hAnsi="Arial"/>
          <w:sz w:val="22"/>
          <w:szCs w:val="22"/>
        </w:rPr>
        <w:t xml:space="preserve">Données métier : informations saisies dans la plateforme (employés, pointages, absences, clients)</w:t>
      </w:r>
    </w:p>
    <w:p>
      <w:pPr>
        <w:pStyle w:val="ListParagraph"/>
        <w:numPr>
          <w:ilvl w:val="0"/>
          <w:numId w:val="2"/>
        </w:numPr>
        <w:spacing w:after="60"/>
      </w:pPr>
      <w:r>
        <w:rPr>
          <w:rFonts w:ascii="Arial" w:cs="Arial" w:eastAsia="Arial" w:hAnsi="Arial"/>
          <w:sz w:val="22"/>
          <w:szCs w:val="22"/>
        </w:rPr>
        <w:t xml:space="preserve">Données de communication : messages échangés via l'Agent IA (vocaux et textuels)</w:t>
      </w:r>
    </w:p>
    <w:p>
      <w:pPr>
        <w:pStyle w:val="ListParagraph"/>
        <w:numPr>
          <w:ilvl w:val="0"/>
          <w:numId w:val="2"/>
        </w:numPr>
        <w:spacing w:after="60"/>
      </w:pPr>
      <w:r>
        <w:rPr>
          <w:rFonts w:ascii="Arial" w:cs="Arial" w:eastAsia="Arial" w:hAnsi="Arial"/>
          <w:sz w:val="22"/>
          <w:szCs w:val="22"/>
        </w:rPr>
        <w:t xml:space="preserve">Données de facturation : coordonnées bancaires (traitées par notre prestataire de paiement sécurisé, Stripe)</w:t>
      </w:r>
    </w:p>
    <w:p>
      <w:pPr>
        <w:spacing w:after="150" w:before="300"/>
      </w:pPr>
      <w:r>
        <w:rPr>
          <w:rFonts w:ascii="Arial" w:cs="Arial" w:eastAsia="Arial" w:hAnsi="Arial"/>
          <w:b/>
          <w:bCs/>
          <w:color w:val="1B3A5C"/>
          <w:sz w:val="24"/>
          <w:szCs w:val="24"/>
        </w:rPr>
        <w:t xml:space="preserve">Article 3 — Finalités du traitement</w:t>
      </w:r>
    </w:p>
    <w:p>
      <w:pPr>
        <w:spacing w:after="100"/>
      </w:pPr>
      <w:r>
        <w:rPr>
          <w:rFonts w:ascii="Arial" w:cs="Arial" w:eastAsia="Arial" w:hAnsi="Arial"/>
          <w:sz w:val="22"/>
          <w:szCs w:val="22"/>
        </w:rPr>
        <w:t xml:space="preserve">Les données collectées sont traitées pour les finalités suivantes :</w:t>
      </w:r>
    </w:p>
    <w:p>
      <w:pPr>
        <w:pStyle w:val="ListParagraph"/>
        <w:numPr>
          <w:ilvl w:val="0"/>
          <w:numId w:val="2"/>
        </w:numPr>
        <w:spacing w:after="60"/>
      </w:pPr>
      <w:r>
        <w:rPr>
          <w:rFonts w:ascii="Arial" w:cs="Arial" w:eastAsia="Arial" w:hAnsi="Arial"/>
          <w:sz w:val="22"/>
          <w:szCs w:val="22"/>
        </w:rPr>
        <w:t xml:space="preserve">Exécution des services commandés (base légale : exécution du contrat)</w:t>
      </w:r>
    </w:p>
    <w:p>
      <w:pPr>
        <w:pStyle w:val="ListParagraph"/>
        <w:numPr>
          <w:ilvl w:val="0"/>
          <w:numId w:val="2"/>
        </w:numPr>
        <w:spacing w:after="60"/>
      </w:pPr>
      <w:r>
        <w:rPr>
          <w:rFonts w:ascii="Arial" w:cs="Arial" w:eastAsia="Arial" w:hAnsi="Arial"/>
          <w:sz w:val="22"/>
          <w:szCs w:val="22"/>
        </w:rPr>
        <w:t xml:space="preserve">Gestion de la relation client et support technique (base légale : intérêt légitime)</w:t>
      </w:r>
    </w:p>
    <w:p>
      <w:pPr>
        <w:pStyle w:val="ListParagraph"/>
        <w:numPr>
          <w:ilvl w:val="0"/>
          <w:numId w:val="2"/>
        </w:numPr>
        <w:spacing w:after="60"/>
      </w:pPr>
      <w:r>
        <w:rPr>
          <w:rFonts w:ascii="Arial" w:cs="Arial" w:eastAsia="Arial" w:hAnsi="Arial"/>
          <w:sz w:val="22"/>
          <w:szCs w:val="22"/>
        </w:rPr>
        <w:t xml:space="preserve">Facturation et gestion comptable (base légale : obligation légale)</w:t>
      </w:r>
    </w:p>
    <w:p>
      <w:pPr>
        <w:pStyle w:val="ListParagraph"/>
        <w:numPr>
          <w:ilvl w:val="0"/>
          <w:numId w:val="2"/>
        </w:numPr>
        <w:spacing w:after="60"/>
      </w:pPr>
      <w:r>
        <w:rPr>
          <w:rFonts w:ascii="Arial" w:cs="Arial" w:eastAsia="Arial" w:hAnsi="Arial"/>
          <w:sz w:val="22"/>
          <w:szCs w:val="22"/>
        </w:rPr>
        <w:t xml:space="preserve">Amélioration des services et de l'Agent IA (base légale : intérêt légitime avec anonymisation)</w:t>
      </w:r>
    </w:p>
    <w:p>
      <w:pPr>
        <w:pStyle w:val="ListParagraph"/>
        <w:numPr>
          <w:ilvl w:val="0"/>
          <w:numId w:val="2"/>
        </w:numPr>
        <w:spacing w:after="60"/>
      </w:pPr>
      <w:r>
        <w:rPr>
          <w:rFonts w:ascii="Arial" w:cs="Arial" w:eastAsia="Arial" w:hAnsi="Arial"/>
          <w:sz w:val="22"/>
          <w:szCs w:val="22"/>
        </w:rPr>
        <w:t xml:space="preserve">Communication commerciale (base légale : consentement)</w:t>
      </w:r>
    </w:p>
    <w:p>
      <w:pPr>
        <w:spacing w:after="150" w:before="300"/>
      </w:pPr>
      <w:r>
        <w:rPr>
          <w:rFonts w:ascii="Arial" w:cs="Arial" w:eastAsia="Arial" w:hAnsi="Arial"/>
          <w:b/>
          <w:bCs/>
          <w:color w:val="1B3A5C"/>
          <w:sz w:val="24"/>
          <w:szCs w:val="24"/>
        </w:rPr>
        <w:t xml:space="preserve">Article 4 — Durée de conservation</w:t>
      </w:r>
    </w:p>
    <w:p>
      <w:pPr>
        <w:spacing w:after="100"/>
      </w:pPr>
      <w:r>
        <w:rPr>
          <w:rFonts w:ascii="Arial" w:cs="Arial" w:eastAsia="Arial" w:hAnsi="Arial"/>
          <w:sz w:val="22"/>
          <w:szCs w:val="22"/>
        </w:rPr>
        <w:t xml:space="preserve">Les données personnelles sont conservées pendant la durée strictement nécessaire aux finalités pour lesquelles elles ont été collectées :</w:t>
      </w:r>
    </w:p>
    <w:p>
      <w:pPr>
        <w:pStyle w:val="ListParagraph"/>
        <w:numPr>
          <w:ilvl w:val="0"/>
          <w:numId w:val="2"/>
        </w:numPr>
        <w:spacing w:after="60"/>
      </w:pPr>
      <w:r>
        <w:rPr>
          <w:rFonts w:ascii="Arial" w:cs="Arial" w:eastAsia="Arial" w:hAnsi="Arial"/>
          <w:sz w:val="22"/>
          <w:szCs w:val="22"/>
        </w:rPr>
        <w:t xml:space="preserve">Données clients actifs : durée du contrat + 3 ans après la fin de la relation commerciale</w:t>
      </w:r>
    </w:p>
    <w:p>
      <w:pPr>
        <w:pStyle w:val="ListParagraph"/>
        <w:numPr>
          <w:ilvl w:val="0"/>
          <w:numId w:val="2"/>
        </w:numPr>
        <w:spacing w:after="60"/>
      </w:pPr>
      <w:r>
        <w:rPr>
          <w:rFonts w:ascii="Arial" w:cs="Arial" w:eastAsia="Arial" w:hAnsi="Arial"/>
          <w:sz w:val="22"/>
          <w:szCs w:val="22"/>
        </w:rPr>
        <w:t xml:space="preserve">Données de facturation : 10 ans (obligation comptable et fiscale)</w:t>
      </w:r>
    </w:p>
    <w:p>
      <w:pPr>
        <w:pStyle w:val="ListParagraph"/>
        <w:numPr>
          <w:ilvl w:val="0"/>
          <w:numId w:val="2"/>
        </w:numPr>
        <w:spacing w:after="60"/>
      </w:pPr>
      <w:r>
        <w:rPr>
          <w:rFonts w:ascii="Arial" w:cs="Arial" w:eastAsia="Arial" w:hAnsi="Arial"/>
          <w:sz w:val="22"/>
          <w:szCs w:val="22"/>
        </w:rPr>
        <w:t xml:space="preserve">Données de connexion / logs : 12 mois</w:t>
      </w:r>
    </w:p>
    <w:p>
      <w:pPr>
        <w:pStyle w:val="ListParagraph"/>
        <w:numPr>
          <w:ilvl w:val="0"/>
          <w:numId w:val="2"/>
        </w:numPr>
        <w:spacing w:after="60"/>
      </w:pPr>
      <w:r>
        <w:rPr>
          <w:rFonts w:ascii="Arial" w:cs="Arial" w:eastAsia="Arial" w:hAnsi="Arial"/>
          <w:sz w:val="22"/>
          <w:szCs w:val="22"/>
        </w:rPr>
        <w:t xml:space="preserve">Enregistrements Agent IA (audio) : 6 mois maximum, puis suppression automatique</w:t>
      </w:r>
    </w:p>
    <w:p>
      <w:pPr>
        <w:spacing w:after="150" w:before="300"/>
      </w:pPr>
      <w:r>
        <w:rPr>
          <w:rFonts w:ascii="Arial" w:cs="Arial" w:eastAsia="Arial" w:hAnsi="Arial"/>
          <w:b/>
          <w:bCs/>
          <w:color w:val="1B3A5C"/>
          <w:sz w:val="24"/>
          <w:szCs w:val="24"/>
        </w:rPr>
        <w:t xml:space="preserve">Article 5 — Destinataires des données</w:t>
      </w:r>
    </w:p>
    <w:p>
      <w:pPr>
        <w:spacing w:after="100"/>
      </w:pPr>
      <w:r>
        <w:rPr>
          <w:rFonts w:ascii="Arial" w:cs="Arial" w:eastAsia="Arial" w:hAnsi="Arial"/>
          <w:sz w:val="22"/>
          <w:szCs w:val="22"/>
        </w:rPr>
        <w:t xml:space="preserve">Les données peuvent être transmises aux catégories de destinataires suivantes :</w:t>
      </w:r>
    </w:p>
    <w:p>
      <w:pPr>
        <w:pStyle w:val="ListParagraph"/>
        <w:numPr>
          <w:ilvl w:val="0"/>
          <w:numId w:val="2"/>
        </w:numPr>
        <w:spacing w:after="60"/>
      </w:pPr>
      <w:r>
        <w:rPr>
          <w:rFonts w:ascii="Arial" w:cs="Arial" w:eastAsia="Arial" w:hAnsi="Arial"/>
          <w:sz w:val="22"/>
          <w:szCs w:val="22"/>
        </w:rPr>
        <w:t xml:space="preserve">Sous-traitants techniques : hébergement (Supabase / OVH), paiement (Stripe), IA (OpenAI)</w:t>
      </w:r>
    </w:p>
    <w:p>
      <w:pPr>
        <w:pStyle w:val="ListParagraph"/>
        <w:numPr>
          <w:ilvl w:val="0"/>
          <w:numId w:val="2"/>
        </w:numPr>
        <w:spacing w:after="60"/>
      </w:pPr>
      <w:r>
        <w:rPr>
          <w:rFonts w:ascii="Arial" w:cs="Arial" w:eastAsia="Arial" w:hAnsi="Arial"/>
          <w:sz w:val="22"/>
          <w:szCs w:val="22"/>
        </w:rPr>
        <w:t xml:space="preserve">Prestataires d'intégration : Google (Calendar, Gmail), Telegram, Qonto (sur activation par le Client)</w:t>
      </w:r>
    </w:p>
    <w:p>
      <w:pPr>
        <w:spacing w:after="100"/>
      </w:pPr>
      <w:r>
        <w:rPr>
          <w:rFonts w:ascii="Arial" w:cs="Arial" w:eastAsia="Arial" w:hAnsi="Arial"/>
          <w:sz w:val="22"/>
          <w:szCs w:val="22"/>
        </w:rPr>
        <w:t xml:space="preserve">Aucune donnée n'est vendue ou cédée à des tiers à des fins commerciales.</w:t>
      </w:r>
    </w:p>
    <w:p>
      <w:pPr>
        <w:spacing w:after="100"/>
      </w:pPr>
      <w:r>
        <w:rPr>
          <w:rFonts w:ascii="Arial" w:cs="Arial" w:eastAsia="Arial" w:hAnsi="Arial"/>
          <w:sz w:val="22"/>
          <w:szCs w:val="22"/>
        </w:rPr>
        <w:t xml:space="preserve">En cas de transfert hors UE (OpenAI, Supabase), celui-ci est encadré par des clauses contractuelles types de la Commission européenne ou par l'adhésion du prestataire au Data Privacy Framework.</w:t>
      </w:r>
    </w:p>
    <w:p>
      <w:pPr>
        <w:spacing w:after="150" w:before="300"/>
      </w:pPr>
      <w:r>
        <w:rPr>
          <w:rFonts w:ascii="Arial" w:cs="Arial" w:eastAsia="Arial" w:hAnsi="Arial"/>
          <w:b/>
          <w:bCs/>
          <w:color w:val="1B3A5C"/>
          <w:sz w:val="24"/>
          <w:szCs w:val="24"/>
        </w:rPr>
        <w:t xml:space="preserve">Article 6 — Sécurité des données</w:t>
      </w:r>
    </w:p>
    <w:p>
      <w:pPr>
        <w:spacing w:after="100"/>
      </w:pPr>
      <w:r>
        <w:rPr>
          <w:rFonts w:ascii="Arial" w:cs="Arial" w:eastAsia="Arial" w:hAnsi="Arial"/>
          <w:sz w:val="22"/>
          <w:szCs w:val="22"/>
        </w:rPr>
        <w:t xml:space="preserve">TalosPrimes met en œuvre les mesures techniques et organisationnelles suivantes :</w:t>
      </w:r>
    </w:p>
    <w:p>
      <w:pPr>
        <w:pStyle w:val="ListParagraph"/>
        <w:numPr>
          <w:ilvl w:val="0"/>
          <w:numId w:val="2"/>
        </w:numPr>
        <w:spacing w:after="60"/>
      </w:pPr>
      <w:r>
        <w:rPr>
          <w:rFonts w:ascii="Arial" w:cs="Arial" w:eastAsia="Arial" w:hAnsi="Arial"/>
          <w:sz w:val="22"/>
          <w:szCs w:val="22"/>
        </w:rPr>
        <w:t xml:space="preserve">Chiffrement des données en transit (TLS/HTTPS) et au repos</w:t>
      </w:r>
    </w:p>
    <w:p>
      <w:pPr>
        <w:pStyle w:val="ListParagraph"/>
        <w:numPr>
          <w:ilvl w:val="0"/>
          <w:numId w:val="2"/>
        </w:numPr>
        <w:spacing w:after="60"/>
      </w:pPr>
      <w:r>
        <w:rPr>
          <w:rFonts w:ascii="Arial" w:cs="Arial" w:eastAsia="Arial" w:hAnsi="Arial"/>
          <w:sz w:val="22"/>
          <w:szCs w:val="22"/>
        </w:rPr>
        <w:t xml:space="preserve">Authentification sécurisée avec hachage des mots de passe</w:t>
      </w:r>
    </w:p>
    <w:p>
      <w:pPr>
        <w:pStyle w:val="ListParagraph"/>
        <w:numPr>
          <w:ilvl w:val="0"/>
          <w:numId w:val="2"/>
        </w:numPr>
        <w:spacing w:after="60"/>
      </w:pPr>
      <w:r>
        <w:rPr>
          <w:rFonts w:ascii="Arial" w:cs="Arial" w:eastAsia="Arial" w:hAnsi="Arial"/>
          <w:sz w:val="22"/>
          <w:szCs w:val="22"/>
        </w:rPr>
        <w:t xml:space="preserve">Isolation des données par tenant (architecture multi-tenant avec Row Level Security)</w:t>
      </w:r>
    </w:p>
    <w:p>
      <w:pPr>
        <w:pStyle w:val="ListParagraph"/>
        <w:numPr>
          <w:ilvl w:val="0"/>
          <w:numId w:val="2"/>
        </w:numPr>
        <w:spacing w:after="60"/>
      </w:pPr>
      <w:r>
        <w:rPr>
          <w:rFonts w:ascii="Arial" w:cs="Arial" w:eastAsia="Arial" w:hAnsi="Arial"/>
          <w:sz w:val="22"/>
          <w:szCs w:val="22"/>
        </w:rPr>
        <w:t xml:space="preserve">Sauvegardes automatiques quotidiennes</w:t>
      </w:r>
    </w:p>
    <w:p>
      <w:pPr>
        <w:pStyle w:val="ListParagraph"/>
        <w:numPr>
          <w:ilvl w:val="0"/>
          <w:numId w:val="2"/>
        </w:numPr>
        <w:spacing w:after="60"/>
      </w:pPr>
      <w:r>
        <w:rPr>
          <w:rFonts w:ascii="Arial" w:cs="Arial" w:eastAsia="Arial" w:hAnsi="Arial"/>
          <w:sz w:val="22"/>
          <w:szCs w:val="22"/>
        </w:rPr>
        <w:t xml:space="preserve">Accès restreint aux données par les équipes techniques (principe du moindre privilège)</w:t>
      </w:r>
    </w:p>
    <w:p>
      <w:pPr>
        <w:spacing w:after="150" w:before="300"/>
      </w:pPr>
      <w:r>
        <w:rPr>
          <w:rFonts w:ascii="Arial" w:cs="Arial" w:eastAsia="Arial" w:hAnsi="Arial"/>
          <w:b/>
          <w:bCs/>
          <w:color w:val="1B3A5C"/>
          <w:sz w:val="24"/>
          <w:szCs w:val="24"/>
        </w:rPr>
        <w:t xml:space="preserve">Article 7 — Droits des personnes concernées</w:t>
      </w:r>
    </w:p>
    <w:p>
      <w:pPr>
        <w:spacing w:after="100"/>
      </w:pPr>
      <w:r>
        <w:rPr>
          <w:rFonts w:ascii="Arial" w:cs="Arial" w:eastAsia="Arial" w:hAnsi="Arial"/>
          <w:sz w:val="22"/>
          <w:szCs w:val="22"/>
        </w:rPr>
        <w:t xml:space="preserve">Conformément au RGPD, toute personne dispose des droits suivants :</w:t>
      </w:r>
    </w:p>
    <w:p>
      <w:pPr>
        <w:pStyle w:val="ListParagraph"/>
        <w:numPr>
          <w:ilvl w:val="0"/>
          <w:numId w:val="2"/>
        </w:numPr>
        <w:spacing w:after="60"/>
      </w:pPr>
      <w:r>
        <w:rPr>
          <w:rFonts w:ascii="Arial" w:cs="Arial" w:eastAsia="Arial" w:hAnsi="Arial"/>
          <w:sz w:val="22"/>
          <w:szCs w:val="22"/>
        </w:rPr>
        <w:t xml:space="preserve">Droit d'accès à ses données personnelles</w:t>
      </w:r>
    </w:p>
    <w:p>
      <w:pPr>
        <w:pStyle w:val="ListParagraph"/>
        <w:numPr>
          <w:ilvl w:val="0"/>
          <w:numId w:val="2"/>
        </w:numPr>
        <w:spacing w:after="60"/>
      </w:pPr>
      <w:r>
        <w:rPr>
          <w:rFonts w:ascii="Arial" w:cs="Arial" w:eastAsia="Arial" w:hAnsi="Arial"/>
          <w:sz w:val="22"/>
          <w:szCs w:val="22"/>
        </w:rPr>
        <w:t xml:space="preserve">Droit de rectification des données inexactes ou incomplètes</w:t>
      </w:r>
    </w:p>
    <w:p>
      <w:pPr>
        <w:pStyle w:val="ListParagraph"/>
        <w:numPr>
          <w:ilvl w:val="0"/>
          <w:numId w:val="2"/>
        </w:numPr>
        <w:spacing w:after="60"/>
      </w:pPr>
      <w:r>
        <w:rPr>
          <w:rFonts w:ascii="Arial" w:cs="Arial" w:eastAsia="Arial" w:hAnsi="Arial"/>
          <w:sz w:val="22"/>
          <w:szCs w:val="22"/>
        </w:rPr>
        <w:t xml:space="preserve">Droit à l'effacement (« droit à l'oubli »)</w:t>
      </w:r>
    </w:p>
    <w:p>
      <w:pPr>
        <w:pStyle w:val="ListParagraph"/>
        <w:numPr>
          <w:ilvl w:val="0"/>
          <w:numId w:val="2"/>
        </w:numPr>
        <w:spacing w:after="60"/>
      </w:pPr>
      <w:r>
        <w:rPr>
          <w:rFonts w:ascii="Arial" w:cs="Arial" w:eastAsia="Arial" w:hAnsi="Arial"/>
          <w:sz w:val="22"/>
          <w:szCs w:val="22"/>
        </w:rPr>
        <w:t xml:space="preserve">Droit à la limitation du traitement</w:t>
      </w:r>
    </w:p>
    <w:p>
      <w:pPr>
        <w:pStyle w:val="ListParagraph"/>
        <w:numPr>
          <w:ilvl w:val="0"/>
          <w:numId w:val="2"/>
        </w:numPr>
        <w:spacing w:after="60"/>
      </w:pPr>
      <w:r>
        <w:rPr>
          <w:rFonts w:ascii="Arial" w:cs="Arial" w:eastAsia="Arial" w:hAnsi="Arial"/>
          <w:sz w:val="22"/>
          <w:szCs w:val="22"/>
        </w:rPr>
        <w:t xml:space="preserve">Droit à la portabilité des données</w:t>
      </w:r>
    </w:p>
    <w:p>
      <w:pPr>
        <w:pStyle w:val="ListParagraph"/>
        <w:numPr>
          <w:ilvl w:val="0"/>
          <w:numId w:val="2"/>
        </w:numPr>
        <w:spacing w:after="60"/>
      </w:pPr>
      <w:r>
        <w:rPr>
          <w:rFonts w:ascii="Arial" w:cs="Arial" w:eastAsia="Arial" w:hAnsi="Arial"/>
          <w:sz w:val="22"/>
          <w:szCs w:val="22"/>
        </w:rPr>
        <w:t xml:space="preserve">Droit d'opposition au traitement</w:t>
      </w:r>
    </w:p>
    <w:p>
      <w:pPr>
        <w:spacing w:after="100"/>
      </w:pPr>
      <w:r>
        <w:rPr>
          <w:rFonts w:ascii="Arial" w:cs="Arial" w:eastAsia="Arial" w:hAnsi="Arial"/>
          <w:sz w:val="22"/>
          <w:szCs w:val="22"/>
        </w:rPr>
        <w:t xml:space="preserve">Ces droits peuvent être exercés par email à [email RGPD] ou par courrier à l'adresse du siège social. Une réponse sera apportée dans un délai maximum d'un (1) mois.</w:t>
      </w:r>
    </w:p>
    <w:p>
      <w:pPr>
        <w:spacing w:after="100"/>
      </w:pPr>
      <w:r>
        <w:rPr>
          <w:rFonts w:ascii="Arial" w:cs="Arial" w:eastAsia="Arial" w:hAnsi="Arial"/>
          <w:sz w:val="22"/>
          <w:szCs w:val="22"/>
        </w:rPr>
        <w:t xml:space="preserve">En cas de réclamation, la personne concernée peut saisir la CNIL (www.cnil.fr).</w:t>
      </w:r>
    </w:p>
    <w:p>
      <w:pPr>
        <w:spacing w:after="150" w:before="300"/>
      </w:pPr>
      <w:r>
        <w:rPr>
          <w:rFonts w:ascii="Arial" w:cs="Arial" w:eastAsia="Arial" w:hAnsi="Arial"/>
          <w:b/>
          <w:bCs/>
          <w:color w:val="1B3A5C"/>
          <w:sz w:val="24"/>
          <w:szCs w:val="24"/>
        </w:rPr>
        <w:t xml:space="preserve">Article 8 — Cookies</w:t>
      </w:r>
    </w:p>
    <w:p>
      <w:pPr>
        <w:spacing w:after="100"/>
      </w:pPr>
      <w:r>
        <w:rPr>
          <w:rFonts w:ascii="Arial" w:cs="Arial" w:eastAsia="Arial" w:hAnsi="Arial"/>
          <w:sz w:val="22"/>
          <w:szCs w:val="22"/>
        </w:rPr>
        <w:t xml:space="preserve">La plateforme TalosPrimes utilise des cookies strictement nécessaires au fonctionnement du service (authentification, session). Aucun cookie publicitaire ou de traçage n'est utilisé.</w:t>
      </w:r>
    </w:p>
    <w:p>
      <w:pPr>
        <w:spacing w:after="150" w:before="300"/>
      </w:pPr>
      <w:r>
        <w:rPr>
          <w:rFonts w:ascii="Arial" w:cs="Arial" w:eastAsia="Arial" w:hAnsi="Arial"/>
          <w:b/>
          <w:bCs/>
          <w:color w:val="1B3A5C"/>
          <w:sz w:val="24"/>
          <w:szCs w:val="24"/>
        </w:rPr>
        <w:t xml:space="preserve">Article 9 — Notification de violation</w:t>
      </w:r>
    </w:p>
    <w:p>
      <w:pPr>
        <w:spacing w:after="100"/>
      </w:pPr>
      <w:r>
        <w:rPr>
          <w:rFonts w:ascii="Arial" w:cs="Arial" w:eastAsia="Arial" w:hAnsi="Arial"/>
          <w:sz w:val="22"/>
          <w:szCs w:val="22"/>
        </w:rPr>
        <w:t xml:space="preserve">En cas de violation de données personnelles, TalosPrimes s'engage à notifier la CNIL dans les 72 heures suivant la découverte de la violation et à informer les personnes concernées si la violation est susceptible d'engendrer un risque élevé pour leurs droits et libertés.</w:t>
      </w:r>
    </w:p>
    <w:p>
      <w:pPr>
        <w:pageBreakBefore/>
        <w:spacing w:after="400"/>
        <w:jc w:val="center"/>
      </w:pPr>
      <w:r>
        <w:rPr>
          <w:rFonts w:ascii="Arial" w:cs="Arial" w:eastAsia="Arial" w:hAnsi="Arial"/>
          <w:b/>
          <w:bCs/>
          <w:color w:val="1B3A5C"/>
          <w:sz w:val="36"/>
          <w:szCs w:val="36"/>
        </w:rPr>
        <w:t xml:space="preserve">MENTIONS LÉGALES</w:t>
      </w:r>
    </w:p>
    <w:p>
      <w:pPr>
        <w:spacing w:after="150" w:before="300"/>
      </w:pPr>
      <w:r>
        <w:rPr>
          <w:rFonts w:ascii="Arial" w:cs="Arial" w:eastAsia="Arial" w:hAnsi="Arial"/>
          <w:b/>
          <w:bCs/>
          <w:color w:val="1B3A5C"/>
          <w:sz w:val="24"/>
          <w:szCs w:val="24"/>
        </w:rPr>
        <w:t xml:space="preserve">1. Éditeur du site</w:t>
      </w:r>
    </w:p>
    <w:p>
      <w:pPr>
        <w:spacing w:after="100"/>
      </w:pPr>
      <w:r>
        <w:rPr>
          <w:rFonts w:ascii="Arial" w:cs="Arial" w:eastAsia="Arial" w:hAnsi="Arial"/>
          <w:sz w:val="22"/>
          <w:szCs w:val="22"/>
        </w:rPr>
        <w:t xml:space="preserve">Raison sociale : TalosPrimes</w:t>
      </w:r>
    </w:p>
    <w:p>
      <w:pPr>
        <w:spacing w:after="100"/>
      </w:pPr>
      <w:r>
        <w:rPr>
          <w:rFonts w:ascii="Arial" w:cs="Arial" w:eastAsia="Arial" w:hAnsi="Arial"/>
          <w:sz w:val="22"/>
          <w:szCs w:val="22"/>
        </w:rPr>
        <w:t xml:space="preserve">Forme juridique : [SAS / SARL / Auto-entrepreneur]</w:t>
      </w:r>
    </w:p>
    <w:p>
      <w:pPr>
        <w:spacing w:after="100"/>
      </w:pPr>
      <w:r>
        <w:rPr>
          <w:rFonts w:ascii="Arial" w:cs="Arial" w:eastAsia="Arial" w:hAnsi="Arial"/>
          <w:sz w:val="22"/>
          <w:szCs w:val="22"/>
        </w:rPr>
        <w:t xml:space="preserve">Capital social : [montant] euros</w:t>
      </w:r>
    </w:p>
    <w:p>
      <w:pPr>
        <w:spacing w:after="100"/>
      </w:pPr>
      <w:r>
        <w:rPr>
          <w:rFonts w:ascii="Arial" w:cs="Arial" w:eastAsia="Arial" w:hAnsi="Arial"/>
          <w:sz w:val="22"/>
          <w:szCs w:val="22"/>
        </w:rPr>
        <w:t xml:space="preserve">Siège social : [adresse complète]</w:t>
      </w:r>
    </w:p>
    <w:p>
      <w:pPr>
        <w:spacing w:after="100"/>
      </w:pPr>
      <w:r>
        <w:rPr>
          <w:rFonts w:ascii="Arial" w:cs="Arial" w:eastAsia="Arial" w:hAnsi="Arial"/>
          <w:sz w:val="22"/>
          <w:szCs w:val="22"/>
        </w:rPr>
        <w:t xml:space="preserve">SIRET : [numéro SIRET]</w:t>
      </w:r>
    </w:p>
    <w:p>
      <w:pPr>
        <w:spacing w:after="100"/>
      </w:pPr>
      <w:r>
        <w:rPr>
          <w:rFonts w:ascii="Arial" w:cs="Arial" w:eastAsia="Arial" w:hAnsi="Arial"/>
          <w:sz w:val="22"/>
          <w:szCs w:val="22"/>
        </w:rPr>
        <w:t xml:space="preserve">RCS : [ville d'immatriculation]</w:t>
      </w:r>
    </w:p>
    <w:p>
      <w:pPr>
        <w:spacing w:after="100"/>
      </w:pPr>
      <w:r>
        <w:rPr>
          <w:rFonts w:ascii="Arial" w:cs="Arial" w:eastAsia="Arial" w:hAnsi="Arial"/>
          <w:sz w:val="22"/>
          <w:szCs w:val="22"/>
        </w:rPr>
        <w:t xml:space="preserve">Numéro de TVA intracommunautaire : [numéro TVA]</w:t>
      </w:r>
    </w:p>
    <w:p>
      <w:pPr>
        <w:spacing w:after="100"/>
      </w:pPr>
      <w:r>
        <w:rPr>
          <w:rFonts w:ascii="Arial" w:cs="Arial" w:eastAsia="Arial" w:hAnsi="Arial"/>
          <w:sz w:val="22"/>
          <w:szCs w:val="22"/>
        </w:rPr>
        <w:t xml:space="preserve">Directeur de la publication : [Nom Prénom]</w:t>
      </w:r>
    </w:p>
    <w:p>
      <w:pPr>
        <w:spacing w:after="100"/>
      </w:pPr>
      <w:r>
        <w:rPr>
          <w:rFonts w:ascii="Arial" w:cs="Arial" w:eastAsia="Arial" w:hAnsi="Arial"/>
          <w:sz w:val="22"/>
          <w:szCs w:val="22"/>
        </w:rPr>
        <w:t xml:space="preserve">Email : [email de contact]</w:t>
      </w:r>
    </w:p>
    <w:p>
      <w:pPr>
        <w:spacing w:after="100"/>
      </w:pPr>
      <w:r>
        <w:rPr>
          <w:rFonts w:ascii="Arial" w:cs="Arial" w:eastAsia="Arial" w:hAnsi="Arial"/>
          <w:sz w:val="22"/>
          <w:szCs w:val="22"/>
        </w:rPr>
        <w:t xml:space="preserve">Téléphone : [numéro]</w:t>
      </w:r>
    </w:p>
    <w:p>
      <w:pPr>
        <w:spacing w:after="150" w:before="300"/>
      </w:pPr>
      <w:r>
        <w:rPr>
          <w:rFonts w:ascii="Arial" w:cs="Arial" w:eastAsia="Arial" w:hAnsi="Arial"/>
          <w:b/>
          <w:bCs/>
          <w:color w:val="1B3A5C"/>
          <w:sz w:val="24"/>
          <w:szCs w:val="24"/>
        </w:rPr>
        <w:t xml:space="preserve">2. Hébergement</w:t>
      </w:r>
    </w:p>
    <w:p>
      <w:pPr>
        <w:spacing w:after="100"/>
      </w:pPr>
      <w:r>
        <w:rPr>
          <w:rFonts w:ascii="Arial" w:cs="Arial" w:eastAsia="Arial" w:hAnsi="Arial"/>
          <w:sz w:val="22"/>
          <w:szCs w:val="22"/>
        </w:rPr>
        <w:t xml:space="preserve">Site web et application : hébergés par Vercel Inc., 440 N Barranca Ave #4133, Covina, CA 91723, États-Unis.</w:t>
      </w:r>
    </w:p>
    <w:p>
      <w:pPr>
        <w:spacing w:after="100"/>
      </w:pPr>
      <w:r>
        <w:rPr>
          <w:rFonts w:ascii="Arial" w:cs="Arial" w:eastAsia="Arial" w:hAnsi="Arial"/>
          <w:sz w:val="22"/>
          <w:szCs w:val="22"/>
        </w:rPr>
        <w:t xml:space="preserve">Base de données : hébergée par Supabase Inc., 970 Toa Payoh North #07-04, Singapore 318992.</w:t>
      </w:r>
    </w:p>
    <w:p>
      <w:pPr>
        <w:spacing w:after="100"/>
      </w:pPr>
      <w:r>
        <w:rPr>
          <w:rFonts w:ascii="Arial" w:cs="Arial" w:eastAsia="Arial" w:hAnsi="Arial"/>
          <w:sz w:val="22"/>
          <w:szCs w:val="22"/>
        </w:rPr>
        <w:t xml:space="preserve">Automatisations (n8n) : hébergées sur serveur privé OVH, 2 rue Kellermann, 59100 Roubaix, France.</w:t>
      </w:r>
    </w:p>
    <w:p>
      <w:pPr>
        <w:spacing w:after="150" w:before="300"/>
      </w:pPr>
      <w:r>
        <w:rPr>
          <w:rFonts w:ascii="Arial" w:cs="Arial" w:eastAsia="Arial" w:hAnsi="Arial"/>
          <w:b/>
          <w:bCs/>
          <w:color w:val="1B3A5C"/>
          <w:sz w:val="24"/>
          <w:szCs w:val="24"/>
        </w:rPr>
        <w:t xml:space="preserve">3. Propriété intellectuelle</w:t>
      </w:r>
    </w:p>
    <w:p>
      <w:pPr>
        <w:spacing w:after="100"/>
      </w:pPr>
      <w:r>
        <w:rPr>
          <w:rFonts w:ascii="Arial" w:cs="Arial" w:eastAsia="Arial" w:hAnsi="Arial"/>
          <w:sz w:val="22"/>
          <w:szCs w:val="22"/>
        </w:rPr>
        <w:t xml:space="preserve">L'ensemble du contenu du site talosprimes.com (textes, images, logos, icônes, logiciels, base de données) est protégé par les lois relatives à la propriété intellectuelle et reste la propriété exclusive de TalosPrimes, sauf mention contraire.</w:t>
      </w:r>
    </w:p>
    <w:p>
      <w:pPr>
        <w:spacing w:after="100"/>
      </w:pPr>
      <w:r>
        <w:rPr>
          <w:rFonts w:ascii="Arial" w:cs="Arial" w:eastAsia="Arial" w:hAnsi="Arial"/>
          <w:sz w:val="22"/>
          <w:szCs w:val="22"/>
        </w:rPr>
        <w:t xml:space="preserve">Toute reproduction, représentation, modification ou distribution, même partielle, sans autorisation préalable écrite est strictement interdite et constitue une contrefaçon sanctionnée par les articles L.335-2 et suivants du Code de la propriété intellectuelle.</w:t>
      </w:r>
    </w:p>
    <w:p>
      <w:pPr>
        <w:spacing w:after="150" w:before="300"/>
      </w:pPr>
      <w:r>
        <w:rPr>
          <w:rFonts w:ascii="Arial" w:cs="Arial" w:eastAsia="Arial" w:hAnsi="Arial"/>
          <w:b/>
          <w:bCs/>
          <w:color w:val="1B3A5C"/>
          <w:sz w:val="24"/>
          <w:szCs w:val="24"/>
        </w:rPr>
        <w:t xml:space="preserve">4. Données personnelles</w:t>
      </w:r>
    </w:p>
    <w:p>
      <w:pPr>
        <w:spacing w:after="100"/>
      </w:pPr>
      <w:r>
        <w:rPr>
          <w:rFonts w:ascii="Arial" w:cs="Arial" w:eastAsia="Arial" w:hAnsi="Arial"/>
          <w:sz w:val="22"/>
          <w:szCs w:val="22"/>
        </w:rPr>
        <w:t xml:space="preserve">Le traitement des données personnelles est détaillé dans notre Politique de Protection des Données (RGPD). Pour exercer vos droits, contactez-nous à [email RGPD].</w:t>
      </w:r>
    </w:p>
    <w:p>
      <w:pPr>
        <w:spacing w:after="100"/>
      </w:pPr>
      <w:r>
        <w:rPr>
          <w:rFonts w:ascii="Arial" w:cs="Arial" w:eastAsia="Arial" w:hAnsi="Arial"/>
          <w:sz w:val="22"/>
          <w:szCs w:val="22"/>
        </w:rPr>
        <w:t xml:space="preserve">Référent RGPD / DPO : [Nom ou mention "Le responsable de la société"]</w:t>
      </w:r>
    </w:p>
    <w:p>
      <w:pPr>
        <w:spacing w:after="150" w:before="300"/>
      </w:pPr>
      <w:r>
        <w:rPr>
          <w:rFonts w:ascii="Arial" w:cs="Arial" w:eastAsia="Arial" w:hAnsi="Arial"/>
          <w:b/>
          <w:bCs/>
          <w:color w:val="1B3A5C"/>
          <w:sz w:val="24"/>
          <w:szCs w:val="24"/>
        </w:rPr>
        <w:t xml:space="preserve">5. Cookies</w:t>
      </w:r>
    </w:p>
    <w:p>
      <w:pPr>
        <w:spacing w:after="100"/>
      </w:pPr>
      <w:r>
        <w:rPr>
          <w:rFonts w:ascii="Arial" w:cs="Arial" w:eastAsia="Arial" w:hAnsi="Arial"/>
          <w:sz w:val="22"/>
          <w:szCs w:val="22"/>
        </w:rPr>
        <w:t xml:space="preserve">Le site utilise uniquement des cookies techniques nécessaires au fonctionnement du service. Aucun cookie publicitaire n'est déposé. Pour plus d'informations, consultez notre Politique de Protection des Données.</w:t>
      </w:r>
    </w:p>
    <w:p>
      <w:pPr>
        <w:spacing w:after="150" w:before="300"/>
      </w:pPr>
      <w:r>
        <w:rPr>
          <w:rFonts w:ascii="Arial" w:cs="Arial" w:eastAsia="Arial" w:hAnsi="Arial"/>
          <w:b/>
          <w:bCs/>
          <w:color w:val="1B3A5C"/>
          <w:sz w:val="24"/>
          <w:szCs w:val="24"/>
        </w:rPr>
        <w:t xml:space="preserve">6. Limitation de responsabilité</w:t>
      </w:r>
    </w:p>
    <w:p>
      <w:pPr>
        <w:spacing w:after="100"/>
      </w:pPr>
      <w:r>
        <w:rPr>
          <w:rFonts w:ascii="Arial" w:cs="Arial" w:eastAsia="Arial" w:hAnsi="Arial"/>
          <w:sz w:val="22"/>
          <w:szCs w:val="22"/>
        </w:rPr>
        <w:t xml:space="preserve">TalosPrimes s'efforce d'assurer l'exactitude des informations diffusées sur son site mais ne saurait garantir leur exhaustivité ou leur actualité. TalosPrimes décline toute responsabilité en cas d'erreur ou d'omission.</w:t>
      </w:r>
    </w:p>
    <w:p>
      <w:pPr>
        <w:spacing w:after="100"/>
      </w:pPr>
      <w:r>
        <w:rPr>
          <w:rFonts w:ascii="Arial" w:cs="Arial" w:eastAsia="Arial" w:hAnsi="Arial"/>
          <w:sz w:val="22"/>
          <w:szCs w:val="22"/>
        </w:rPr>
        <w:t xml:space="preserve">TalosPrimes ne saurait être tenue responsable des dommages directs ou indirects résultant de l'utilisation du site ou de l'impossibilité d'y accéder.</w:t>
      </w:r>
    </w:p>
    <w:p>
      <w:pPr>
        <w:spacing w:after="150" w:before="300"/>
      </w:pPr>
      <w:r>
        <w:rPr>
          <w:rFonts w:ascii="Arial" w:cs="Arial" w:eastAsia="Arial" w:hAnsi="Arial"/>
          <w:b/>
          <w:bCs/>
          <w:color w:val="1B3A5C"/>
          <w:sz w:val="24"/>
          <w:szCs w:val="24"/>
        </w:rPr>
        <w:t xml:space="preserve">7. Liens hypertextes</w:t>
      </w:r>
    </w:p>
    <w:p>
      <w:pPr>
        <w:spacing w:after="100"/>
      </w:pPr>
      <w:r>
        <w:rPr>
          <w:rFonts w:ascii="Arial" w:cs="Arial" w:eastAsia="Arial" w:hAnsi="Arial"/>
          <w:sz w:val="22"/>
          <w:szCs w:val="22"/>
        </w:rPr>
        <w:t xml:space="preserve">Le site peut contenir des liens vers des sites tiers. TalosPrimes n'exerce aucun contrôle sur ces sites et décline toute responsabilité quant à leur contenu.</w:t>
      </w:r>
    </w:p>
    <w:p>
      <w:pPr>
        <w:spacing w:after="150" w:before="300"/>
      </w:pPr>
      <w:r>
        <w:rPr>
          <w:rFonts w:ascii="Arial" w:cs="Arial" w:eastAsia="Arial" w:hAnsi="Arial"/>
          <w:b/>
          <w:bCs/>
          <w:color w:val="1B3A5C"/>
          <w:sz w:val="24"/>
          <w:szCs w:val="24"/>
        </w:rPr>
        <w:t xml:space="preserve">8. Droit applicable</w:t>
      </w:r>
    </w:p>
    <w:p>
      <w:pPr>
        <w:spacing w:after="100"/>
      </w:pPr>
      <w:r>
        <w:rPr>
          <w:rFonts w:ascii="Arial" w:cs="Arial" w:eastAsia="Arial" w:hAnsi="Arial"/>
          <w:sz w:val="22"/>
          <w:szCs w:val="22"/>
        </w:rPr>
        <w:t xml:space="preserve">Les présentes mentions légales sont régies par le droit français. En cas de litige, les tribunaux compétents de [Ville] seront seuls compétents.</w:t>
      </w:r>
    </w:p>
    <w:p>
      <w:pPr>
        <w:spacing w:after="400"/>
      </w:pPr>
    </w:p>
    <w:p>
      <w:pPr>
        <w:jc w:val="center"/>
      </w:pPr>
      <w:r>
        <w:rPr>
          <w:rFonts w:ascii="Arial" w:cs="Arial" w:eastAsia="Arial" w:hAnsi="Arial"/>
          <w:i/>
          <w:iCs/>
          <w:color w:val="666666"/>
          <w:sz w:val="20"/>
          <w:szCs w:val="20"/>
        </w:rPr>
        <w:t xml:space="preserve">Dernière mise à jour : Mars 2026</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C3C7" w:sz="2" w:space="4"/>
      </w:pBdr>
      <w:tabs>
        <w:tab w:val="right" w:pos="9026"/>
      </w:tabs>
    </w:pPr>
    <w:r>
      <w:rPr>
        <w:rFonts w:ascii="Arial" w:cs="Arial" w:eastAsia="Arial" w:hAnsi="Arial"/>
        <w:color w:val="666666"/>
        <w:sz w:val="16"/>
        <w:szCs w:val="16"/>
      </w:rPr>
      <w:t xml:space="preserve">TalosPrimes — Solutions d'Automatisation &amp; IA</w:t>
    </w:r>
    <w:r>
      <w:rPr>
        <w:rFonts w:ascii="Arial" w:cs="Arial" w:eastAsia="Arial" w:hAnsi="Arial"/>
        <w:color w:val="666666"/>
        <w:sz w:val="16"/>
        <w:szCs w:val="16"/>
      </w:rPr>
      <w:t xml:space="preserve">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DC3C7" w:sz="2" w:space="4"/>
      </w:pBdr>
      <w:tabs>
        <w:tab w:val="right" w:pos="9026"/>
      </w:tabs>
    </w:pPr>
    <w:r>
      <w:rPr>
        <w:rFonts w:ascii="Arial" w:cs="Arial" w:eastAsia="Arial" w:hAnsi="Arial"/>
        <w:b/>
        <w:bCs/>
        <w:color w:val="666666"/>
        <w:sz w:val="18"/>
        <w:szCs w:val="18"/>
      </w:rPr>
      <w:t xml:space="preserve">TalosPrimes</w:t>
    </w:r>
    <w:r>
      <w:rPr>
        <w:rFonts w:ascii="Arial" w:cs="Arial" w:eastAsia="Arial" w:hAnsi="Arial"/>
        <w:i/>
        <w:iCs/>
        <w:color w:val="666666"/>
        <w:sz w:val="16"/>
        <w:szCs w:val="16"/>
      </w:rPr>
      <w:t xml:space="preserve">	Dossier Commercial — Confidentiel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Article %1 -"/>
      <w:lvlJc w:val="left"/>
      <w:pPr>
        <w:ind w:left="0" w:hanging="0"/>
      </w:pPr>
      <w:rPr>
        <w:b/>
        <w:bCs/>
        <w:sz w:val="24"/>
        <w:szCs w:val="24"/>
      </w:r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80" w:before="24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2026-03-04T17:29:59.443Z</dcterms:created>
  <dcterms:modified xsi:type="dcterms:W3CDTF">2026-03-04T17:29:59.443Z</dcterms:modified>
</cp:coreProperties>
</file>

<file path=docProps/custom.xml><?xml version="1.0" encoding="utf-8"?>
<Properties xmlns="http://schemas.openxmlformats.org/officeDocument/2006/custom-properties" xmlns:vt="http://schemas.openxmlformats.org/officeDocument/2006/docPropsVTypes"/>
</file>