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Comparatif Plateformes Agréées</w:t>
      </w:r>
    </w:p>
    <w:p>
      <w:pPr>
        <w:spacing w:after="100"/>
        <w:jc w:val="center"/>
      </w:pPr>
      <w:r>
        <w:rPr>
          <w:rFonts w:ascii="Arial" w:cs="Arial" w:eastAsia="Arial" w:hAnsi="Arial"/>
          <w:color w:val="2C3E50"/>
          <w:sz w:val="32"/>
          <w:szCs w:val="32"/>
        </w:rPr>
        <w:t xml:space="preserve">Facturation Électronique 2026</w:t>
      </w:r>
    </w:p>
    <w:p>
      <w:pPr>
        <w:spacing w:after="400"/>
        <w:jc w:val="center"/>
      </w:pPr>
      <w:r>
        <w:rPr>
          <w:rFonts w:ascii="Arial" w:cs="Arial" w:eastAsia="Arial" w:hAnsi="Arial"/>
          <w:i/>
          <w:iCs/>
          <w:color w:val="7F8C8D"/>
          <w:sz w:val="22"/>
          <w:szCs w:val="22"/>
        </w:rPr>
        <w:t xml:space="preserve">Iopole vs Seqino — Analyse pour intégration SaaS TalosPrimes</w:t>
      </w:r>
    </w:p>
    <w:p>
      <w:pPr>
        <w:pStyle w:val="Heading1"/>
      </w:pPr>
      <w:r>
        <w:t xml:space="preserve">1. Contexte et enjeux</w:t>
      </w:r>
    </w:p>
    <w:p>
      <w:pPr>
        <w:spacing w:after="120"/>
      </w:pPr>
      <w:r>
        <w:t xml:space="preserve">TalosPrimes doit se mettre en conformité avec la réforme de la facturation électronique française. À partir du </w:t>
      </w:r>
      <w:r>
        <w:rPr>
          <w:b/>
          <w:bCs/>
        </w:rPr>
        <w:t xml:space="preserve">1er septembre 2026</w:t>
      </w:r>
      <w:r>
        <w:t xml:space="preserve">, toutes les entreprises devront pouvoir recevoir des factures électroniques, et les grandes entreprises / ETI devront émettre. Les PME suivent en septembre 2027.</w:t>
      </w:r>
    </w:p>
    <w:p>
      <w:pPr>
        <w:spacing w:after="120"/>
      </w:pPr>
      <w:r>
        <w:t xml:space="preserve">En tant qu’éditeur SaaS, TalosPrimes a besoin d’une </w:t>
      </w:r>
      <w:r>
        <w:rPr>
          <w:b/>
          <w:bCs/>
        </w:rPr>
        <w:t xml:space="preserve">Plateforme Agréée (PA, ex-PDP) API-first</w:t>
      </w:r>
      <w:r>
        <w:t xml:space="preserve"> pour intégrer la facturation électronique sans devenir PA soi-même. Deux solutions se démarquent : </w:t>
      </w:r>
      <w:r>
        <w:rPr>
          <w:b/>
          <w:bCs/>
          <w:color w:val="2980B9"/>
        </w:rPr>
        <w:t xml:space="preserve">Iopole</w:t>
      </w:r>
      <w:r>
        <w:t xml:space="preserve"> et </w:t>
      </w:r>
      <w:r>
        <w:rPr>
          <w:b/>
          <w:bCs/>
          <w:color w:val="27AE60"/>
        </w:rPr>
        <w:t xml:space="preserve">Seqino</w:t>
      </w:r>
      <w:r>
        <w:t xml:space="preserve">.</w:t>
      </w:r>
    </w:p>
    <w:p>
      <w:pPr>
        <w:pStyle w:val="Heading1"/>
      </w:pPr>
      <w:r>
        <w:t xml:space="preserve">2. Profil des deux plateformes</w:t>
      </w:r>
    </w:p>
    <w:p>
      <w:pPr>
        <w:pStyle w:val="Heading2"/>
      </w:pPr>
      <w:r>
        <w:rPr>
          <w:color w:val="2980B9"/>
        </w:rPr>
        <w:t xml:space="preserve">Iopole</w:t>
      </w:r>
      <w:r>
        <w:t xml:space="preserve"> — Le pure player API-first</w:t>
      </w:r>
    </w:p>
    <w:p>
      <w:pPr>
        <w:pStyle w:val="ListParagraph"/>
        <w:numPr>
          <w:ilvl w:val="0"/>
          <w:numId w:val="2"/>
        </w:numPr>
        <w:spacing w:after="80"/>
      </w:pPr>
      <w:r>
        <w:rPr>
          <w:b/>
          <w:bCs/>
        </w:rPr>
        <w:t xml:space="preserve">Créé en 2022</w:t>
      </w:r>
      <w:r>
        <w:t xml:space="preserve">, startup française spécialisée e-invoicing pour éditeurs de logiciels</w:t>
      </w:r>
    </w:p>
    <w:p>
      <w:pPr>
        <w:pStyle w:val="ListParagraph"/>
        <w:numPr>
          <w:ilvl w:val="0"/>
          <w:numId w:val="2"/>
        </w:numPr>
        <w:spacing w:after="80"/>
      </w:pPr>
      <w:r>
        <w:t xml:space="preserve">Immatriculée PA par la DGFiP, hébergée en France sur infrastructure </w:t>
      </w:r>
      <w:r>
        <w:rPr>
          <w:b/>
          <w:bCs/>
        </w:rPr>
        <w:t xml:space="preserve">SecNumCloud + ISO 27001</w:t>
      </w:r>
    </w:p>
    <w:p>
      <w:pPr>
        <w:pStyle w:val="ListParagraph"/>
        <w:numPr>
          <w:ilvl w:val="0"/>
          <w:numId w:val="2"/>
        </w:numPr>
        <w:spacing w:after="80"/>
      </w:pPr>
      <w:r>
        <w:t xml:space="preserve">Positionnement : </w:t>
      </w:r>
      <w:r>
        <w:rPr>
          <w:b/>
          <w:bCs/>
        </w:rPr>
        <w:t xml:space="preserve">infrastructure invisible et white-label</w:t>
      </w:r>
      <w:r>
        <w:t xml:space="preserve"> pour éditeurs, intégrateurs et ESN</w:t>
      </w:r>
    </w:p>
    <w:p>
      <w:pPr>
        <w:pStyle w:val="ListParagraph"/>
        <w:numPr>
          <w:ilvl w:val="0"/>
          <w:numId w:val="2"/>
        </w:numPr>
        <w:spacing w:after="80"/>
      </w:pPr>
      <w:r>
        <w:t xml:space="preserve">Point d’accès Peppol certifié (40 pays, 100M+ factures/an)</w:t>
      </w:r>
    </w:p>
    <w:p>
      <w:pPr>
        <w:pStyle w:val="ListParagraph"/>
        <w:numPr>
          <w:ilvl w:val="0"/>
          <w:numId w:val="2"/>
        </w:numPr>
        <w:spacing w:after="200"/>
      </w:pPr>
      <w:r>
        <w:t xml:space="preserve">SLA annoncé : </w:t>
      </w:r>
      <w:r>
        <w:rPr>
          <w:b/>
          <w:bCs/>
        </w:rPr>
        <w:t xml:space="preserve">99,9%</w:t>
      </w:r>
    </w:p>
    <w:p>
      <w:pPr>
        <w:pStyle w:val="Heading2"/>
      </w:pPr>
      <w:r>
        <w:rPr>
          <w:color w:val="27AE60"/>
        </w:rPr>
        <w:t xml:space="preserve">Seqino</w:t>
      </w:r>
      <w:r>
        <w:t xml:space="preserve"> — L’adossé bancaire</w:t>
      </w:r>
    </w:p>
    <w:p>
      <w:pPr>
        <w:pStyle w:val="ListParagraph"/>
        <w:numPr>
          <w:ilvl w:val="0"/>
          <w:numId w:val="2"/>
        </w:numPr>
        <w:spacing w:after="80"/>
      </w:pPr>
      <w:r>
        <w:rPr>
          <w:b/>
          <w:bCs/>
        </w:rPr>
        <w:t xml:space="preserve">Créé en 2021</w:t>
      </w:r>
      <w:r>
        <w:t xml:space="preserve">, racheté par le </w:t>
      </w:r>
      <w:r>
        <w:rPr>
          <w:b/>
          <w:bCs/>
        </w:rPr>
        <w:t xml:space="preserve">Crédit Mutuel Arkéa</w:t>
      </w:r>
      <w:r>
        <w:t xml:space="preserve"> — garantie de pérennité financière</w:t>
      </w:r>
    </w:p>
    <w:p>
      <w:pPr>
        <w:pStyle w:val="ListParagraph"/>
        <w:numPr>
          <w:ilvl w:val="0"/>
          <w:numId w:val="2"/>
        </w:numPr>
        <w:spacing w:after="80"/>
      </w:pPr>
      <w:r>
        <w:t xml:space="preserve">PA immatriculée n°0048 par la DGFiP</w:t>
      </w:r>
    </w:p>
    <w:p>
      <w:pPr>
        <w:pStyle w:val="ListParagraph"/>
        <w:numPr>
          <w:ilvl w:val="0"/>
          <w:numId w:val="2"/>
        </w:numPr>
        <w:spacing w:after="80"/>
      </w:pPr>
      <w:r>
        <w:t xml:space="preserve">Certifications : </w:t>
      </w:r>
      <w:r>
        <w:rPr>
          <w:b/>
          <w:bCs/>
        </w:rPr>
        <w:t xml:space="preserve">NF525, NF203, ISO 27001, SecNumCloud</w:t>
      </w:r>
    </w:p>
    <w:p>
      <w:pPr>
        <w:pStyle w:val="ListParagraph"/>
        <w:numPr>
          <w:ilvl w:val="0"/>
          <w:numId w:val="2"/>
        </w:numPr>
        <w:spacing w:after="80"/>
      </w:pPr>
      <w:r>
        <w:t xml:space="preserve">Positionnement : logiciel complet de facturation + API PA en marque blanche/grise</w:t>
      </w:r>
    </w:p>
    <w:p>
      <w:pPr>
        <w:pStyle w:val="ListParagraph"/>
        <w:numPr>
          <w:ilvl w:val="0"/>
          <w:numId w:val="2"/>
        </w:numPr>
        <w:spacing w:after="80"/>
      </w:pPr>
      <w:r>
        <w:t xml:space="preserve">Références : INTIA (12 000 utilisateurs), OpenProd</w:t>
      </w:r>
    </w:p>
    <w:p>
      <w:pPr>
        <w:pStyle w:val="ListParagraph"/>
        <w:numPr>
          <w:ilvl w:val="0"/>
          <w:numId w:val="2"/>
        </w:numPr>
        <w:spacing w:after="200"/>
      </w:pPr>
      <w:r>
        <w:t xml:space="preserve">Connecté au réseau Peppol</w:t>
      </w:r>
    </w:p>
    <w:p>
      <w:pPr>
        <w:pStyle w:val="Heading1"/>
      </w:pPr>
      <w:r>
        <w:t xml:space="preserve">3. Comparatif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Iopole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Seqino</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Création</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2022 (startup)</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2021 (Groupe CM Arkéa)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Immatriculation PA</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Oui (DGFiP)</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Oui, n°0048 (DGFiP)</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Approche</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API-first / pure player</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Logiciel + API PA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Cible principale</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Éditeurs, ISV, ESN</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Éditeurs, cabinets comptables, banques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Formats</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UBL, CII, Factur-X, ZUGFeRD, JSON, EDIFACT</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UBL, CII, Factur-X</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Hébergement</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France, SecNumCloud</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France, SecNumCloud</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Certifications</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ISO 27001</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NF525, NF203, ISO 27001</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Peppol</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Point d’accès certifié (40 pays)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Connecté au réseau</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Archivage légal</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NF 461 intégré</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Intégré (NF203)</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Sandbox gratuite</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Oui</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Non précisé</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SDK / Langages</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Documentation API complète, packs intégration</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API RESTful + SDK multi-langages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Marque blanche</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Oui, full white-label</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Oui, marque blanche + grise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E-reporting</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Intégré (PPF/PA/OD)</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Intégré</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Onboarding</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KYC/KYB intégré, accompagnement éditeur</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Support technique réactif + doc</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SLA</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99,9%</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Non communiqué</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Cachet électronique</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Oui (option)</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Non précisé</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Tarification</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3 modèles : par facture / abonnement / dossier</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Sur devis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Références publiques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Peu de références publiées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INTIA (12K users), OpenProd</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9"/>
                <w:szCs w:val="19"/>
              </w:rPr>
              <w:t xml:space="preserve">Pérennité</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Startup (risque lié)</w:t>
            </w:r>
          </w:p>
        </w:tc>
        <w:tc>
          <w:tcPr>
            <w:tcW w:type="dxa" w:w="35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9"/>
                <w:szCs w:val="19"/>
              </w:rPr>
              <w:t xml:space="preserve">Groupe bancaire (solide)</w:t>
            </w:r>
          </w:p>
        </w:tc>
      </w:tr>
    </w:tbl>
    <w:p>
      <w:pPr>
        <w:pStyle w:val="Heading1"/>
      </w:pPr>
      <w:r>
        <w:t xml:space="preserve">4. Avantages et inconvénients</w:t>
      </w:r>
    </w:p>
    <w:p>
      <w:pPr>
        <w:pStyle w:val="Heading2"/>
      </w:pPr>
      <w:r>
        <w:rPr>
          <w:color w:val="2980B9"/>
        </w:rPr>
        <w:t xml:space="preserve">Iopole</w:t>
      </w:r>
    </w:p>
    <w:p>
      <w:pPr>
        <w:pStyle w:val="Heading3"/>
      </w:pPr>
      <w:r>
        <w:rPr>
          <w:color w:val="27AE60"/>
        </w:rPr>
        <w:t xml:space="preserve">Avantages</w:t>
      </w:r>
    </w:p>
    <w:p>
      <w:pPr>
        <w:pStyle w:val="ListParagraph"/>
        <w:numPr>
          <w:ilvl w:val="0"/>
          <w:numId w:val="3"/>
        </w:numPr>
        <w:spacing w:after="60"/>
      </w:pPr>
      <w:r>
        <w:rPr>
          <w:b/>
          <w:bCs/>
        </w:rPr>
        <w:t xml:space="preserve">API-first pur</w:t>
      </w:r>
      <w:r>
        <w:t xml:space="preserve"> — conçu dès le départ pour les éditeurs, pas un logiciel avec API ajoutée après coup</w:t>
      </w:r>
    </w:p>
    <w:p>
      <w:pPr>
        <w:pStyle w:val="ListParagraph"/>
        <w:numPr>
          <w:ilvl w:val="0"/>
          <w:numId w:val="3"/>
        </w:numPr>
        <w:spacing w:after="60"/>
      </w:pPr>
      <w:r>
        <w:rPr>
          <w:b/>
          <w:bCs/>
        </w:rPr>
        <w:t xml:space="preserve">Interopérabilité maximale</w:t>
      </w:r>
      <w:r>
        <w:t xml:space="preserve"> — plus de formats supportés (EDIFACT, ZUGFeRD, JSON en plus des standards)</w:t>
      </w:r>
    </w:p>
    <w:p>
      <w:pPr>
        <w:pStyle w:val="ListParagraph"/>
        <w:numPr>
          <w:ilvl w:val="0"/>
          <w:numId w:val="3"/>
        </w:numPr>
        <w:spacing w:after="60"/>
      </w:pPr>
      <w:r>
        <w:rPr>
          <w:b/>
          <w:bCs/>
        </w:rPr>
        <w:t xml:space="preserve">Sandbox gratuite</w:t>
      </w:r>
      <w:r>
        <w:t xml:space="preserve"> — possibilité de tester avant de s’engager</w:t>
      </w:r>
    </w:p>
    <w:p>
      <w:pPr>
        <w:pStyle w:val="ListParagraph"/>
        <w:numPr>
          <w:ilvl w:val="0"/>
          <w:numId w:val="3"/>
        </w:numPr>
        <w:spacing w:after="60"/>
      </w:pPr>
      <w:r>
        <w:rPr>
          <w:b/>
          <w:bCs/>
        </w:rPr>
        <w:t xml:space="preserve">SLA 99,9% annoncé</w:t>
      </w:r>
      <w:r>
        <w:t xml:space="preserve"> — engagement de disponibilité clair</w:t>
      </w:r>
    </w:p>
    <w:p>
      <w:pPr>
        <w:pStyle w:val="ListParagraph"/>
        <w:numPr>
          <w:ilvl w:val="0"/>
          <w:numId w:val="3"/>
        </w:numPr>
        <w:spacing w:after="60"/>
      </w:pPr>
      <w:r>
        <w:rPr>
          <w:b/>
          <w:bCs/>
        </w:rPr>
        <w:t xml:space="preserve">Point d’accès Peppol certifié</w:t>
      </w:r>
      <w:r>
        <w:t xml:space="preserve"> — ouverture internationale native (40 pays)</w:t>
      </w:r>
    </w:p>
    <w:p>
      <w:pPr>
        <w:pStyle w:val="ListParagraph"/>
        <w:numPr>
          <w:ilvl w:val="0"/>
          <w:numId w:val="3"/>
        </w:numPr>
        <w:spacing w:after="60"/>
      </w:pPr>
      <w:r>
        <w:rPr>
          <w:b/>
          <w:bCs/>
        </w:rPr>
        <w:t xml:space="preserve">Tarification flexible</w:t>
      </w:r>
      <w:r>
        <w:t xml:space="preserve"> — 3 modèles adaptés aux différents profils d’éditeurs</w:t>
      </w:r>
    </w:p>
    <w:p>
      <w:pPr>
        <w:pStyle w:val="ListParagraph"/>
        <w:numPr>
          <w:ilvl w:val="0"/>
          <w:numId w:val="3"/>
        </w:numPr>
        <w:spacing w:after="200"/>
      </w:pPr>
      <w:r>
        <w:rPr>
          <w:b/>
          <w:bCs/>
        </w:rPr>
        <w:t xml:space="preserve">Full white-label</w:t>
      </w:r>
      <w:r>
        <w:t xml:space="preserve"> — TalosPrimes reste la marque visible pour les clients</w:t>
      </w:r>
    </w:p>
    <w:p>
      <w:pPr>
        <w:pStyle w:val="Heading3"/>
      </w:pPr>
      <w:r>
        <w:rPr>
          <w:color w:val="E74C3C"/>
        </w:rPr>
        <w:t xml:space="preserve">Inconvénients</w:t>
      </w:r>
    </w:p>
    <w:p>
      <w:pPr>
        <w:pStyle w:val="ListParagraph"/>
        <w:numPr>
          <w:ilvl w:val="0"/>
          <w:numId w:val="4"/>
        </w:numPr>
        <w:spacing w:after="60"/>
      </w:pPr>
      <w:r>
        <w:rPr>
          <w:b/>
          <w:bCs/>
        </w:rPr>
        <w:t xml:space="preserve">Startup jeune (2022)</w:t>
      </w:r>
      <w:r>
        <w:t xml:space="preserve"> — risque de pérennité si le marché se consolide</w:t>
      </w:r>
    </w:p>
    <w:p>
      <w:pPr>
        <w:pStyle w:val="ListParagraph"/>
        <w:numPr>
          <w:ilvl w:val="0"/>
          <w:numId w:val="4"/>
        </w:numPr>
        <w:spacing w:after="60"/>
      </w:pPr>
      <w:r>
        <w:rPr>
          <w:b/>
          <w:bCs/>
        </w:rPr>
        <w:t xml:space="preserve">Peu de références publiques</w:t>
      </w:r>
      <w:r>
        <w:t xml:space="preserve"> — difficile d’évaluer la fiabilité en production à grande échelle</w:t>
      </w:r>
    </w:p>
    <w:p>
      <w:pPr>
        <w:pStyle w:val="ListParagraph"/>
        <w:numPr>
          <w:ilvl w:val="0"/>
          <w:numId w:val="4"/>
        </w:numPr>
        <w:spacing w:after="200"/>
      </w:pPr>
      <w:r>
        <w:rPr>
          <w:b/>
          <w:bCs/>
        </w:rPr>
        <w:t xml:space="preserve">Tarifs non publics</w:t>
      </w:r>
      <w:r>
        <w:t xml:space="preserve"> — nécessite un contact commercial pour connaître les coûts réels</w:t>
      </w:r>
    </w:p>
    <w:p>
      <w:pPr>
        <w:pStyle w:val="Heading2"/>
      </w:pPr>
      <w:r>
        <w:rPr>
          <w:color w:val="27AE60"/>
        </w:rPr>
        <w:t xml:space="preserve">Seqino</w:t>
      </w:r>
    </w:p>
    <w:p>
      <w:pPr>
        <w:pStyle w:val="Heading3"/>
      </w:pPr>
      <w:r>
        <w:rPr>
          <w:color w:val="27AE60"/>
        </w:rPr>
        <w:t xml:space="preserve">Avantages</w:t>
      </w:r>
    </w:p>
    <w:p>
      <w:pPr>
        <w:pStyle w:val="ListParagraph"/>
        <w:numPr>
          <w:ilvl w:val="0"/>
          <w:numId w:val="3"/>
        </w:numPr>
        <w:spacing w:after="60"/>
      </w:pPr>
      <w:r>
        <w:rPr>
          <w:b/>
          <w:bCs/>
        </w:rPr>
        <w:t xml:space="preserve">Adossé au Crédit Mutuel Arkéa</w:t>
      </w:r>
      <w:r>
        <w:t xml:space="preserve"> — pérennité financière assurée, pas de risque de disparition</w:t>
      </w:r>
    </w:p>
    <w:p>
      <w:pPr>
        <w:pStyle w:val="ListParagraph"/>
        <w:numPr>
          <w:ilvl w:val="0"/>
          <w:numId w:val="3"/>
        </w:numPr>
        <w:spacing w:after="60"/>
      </w:pPr>
      <w:r>
        <w:rPr>
          <w:b/>
          <w:bCs/>
        </w:rPr>
        <w:t xml:space="preserve">Certifications maximales</w:t>
      </w:r>
      <w:r>
        <w:t xml:space="preserve"> — NF525 + NF203 + ISO 27001, le plus haut niveau de conformité</w:t>
      </w:r>
    </w:p>
    <w:p>
      <w:pPr>
        <w:pStyle w:val="ListParagraph"/>
        <w:numPr>
          <w:ilvl w:val="0"/>
          <w:numId w:val="3"/>
        </w:numPr>
        <w:spacing w:after="60"/>
      </w:pPr>
      <w:r>
        <w:rPr>
          <w:b/>
          <w:bCs/>
        </w:rPr>
        <w:t xml:space="preserve">SDK multi-langages</w:t>
      </w:r>
      <w:r>
        <w:t xml:space="preserve"> — facilite l’intégration technique avec des bibliothèques prêtes à l’emploi</w:t>
      </w:r>
    </w:p>
    <w:p>
      <w:pPr>
        <w:pStyle w:val="ListParagraph"/>
        <w:numPr>
          <w:ilvl w:val="0"/>
          <w:numId w:val="3"/>
        </w:numPr>
        <w:spacing w:after="60"/>
      </w:pPr>
      <w:r>
        <w:rPr>
          <w:b/>
          <w:bCs/>
        </w:rPr>
        <w:t xml:space="preserve">Références solides</w:t>
      </w:r>
      <w:r>
        <w:t xml:space="preserve"> — INTIA (12 000 utilisateurs), OpenProd, preuves de déploiement en production</w:t>
      </w:r>
    </w:p>
    <w:p>
      <w:pPr>
        <w:pStyle w:val="ListParagraph"/>
        <w:numPr>
          <w:ilvl w:val="0"/>
          <w:numId w:val="3"/>
        </w:numPr>
        <w:spacing w:after="60"/>
      </w:pPr>
      <w:r>
        <w:rPr>
          <w:b/>
          <w:bCs/>
        </w:rPr>
        <w:t xml:space="preserve">Double offre marque blanche + grise</w:t>
      </w:r>
      <w:r>
        <w:t xml:space="preserve"> — flexibilité selon que l’on veut ou non porter sa propre immatriculation PA</w:t>
      </w:r>
    </w:p>
    <w:p>
      <w:pPr>
        <w:pStyle w:val="ListParagraph"/>
        <w:numPr>
          <w:ilvl w:val="0"/>
          <w:numId w:val="3"/>
        </w:numPr>
        <w:spacing w:after="200"/>
      </w:pPr>
      <w:r>
        <w:rPr>
          <w:b/>
          <w:bCs/>
        </w:rPr>
        <w:t xml:space="preserve">Logiciel complet en plus de l’API</w:t>
      </w:r>
      <w:r>
        <w:t xml:space="preserve"> — peut servir de portail dédié pour des clients qui n’ont pas de logiciel</w:t>
      </w:r>
    </w:p>
    <w:p>
      <w:pPr>
        <w:pStyle w:val="Heading3"/>
      </w:pPr>
      <w:r>
        <w:rPr>
          <w:color w:val="E74C3C"/>
        </w:rPr>
        <w:t xml:space="preserve">Inconvénients</w:t>
      </w:r>
    </w:p>
    <w:p>
      <w:pPr>
        <w:pStyle w:val="ListParagraph"/>
        <w:numPr>
          <w:ilvl w:val="0"/>
          <w:numId w:val="4"/>
        </w:numPr>
        <w:spacing w:after="60"/>
      </w:pPr>
      <w:r>
        <w:rPr>
          <w:b/>
          <w:bCs/>
        </w:rPr>
        <w:t xml:space="preserve">Moins API-first</w:t>
      </w:r>
      <w:r>
        <w:t xml:space="preserve"> — c’est d’abord un logiciel avec API, pas une infra pure pour développeurs</w:t>
      </w:r>
    </w:p>
    <w:p>
      <w:pPr>
        <w:pStyle w:val="ListParagraph"/>
        <w:numPr>
          <w:ilvl w:val="0"/>
          <w:numId w:val="4"/>
        </w:numPr>
        <w:spacing w:after="60"/>
      </w:pPr>
      <w:r>
        <w:rPr>
          <w:b/>
          <w:bCs/>
        </w:rPr>
        <w:t xml:space="preserve">Sandbox non confirmée</w:t>
      </w:r>
      <w:r>
        <w:t xml:space="preserve"> — pas d’information claire sur un environnement de test gratuit</w:t>
      </w:r>
    </w:p>
    <w:p>
      <w:pPr>
        <w:pStyle w:val="ListParagraph"/>
        <w:numPr>
          <w:ilvl w:val="0"/>
          <w:numId w:val="4"/>
        </w:numPr>
        <w:spacing w:after="60"/>
      </w:pPr>
      <w:r>
        <w:rPr>
          <w:b/>
          <w:bCs/>
        </w:rPr>
        <w:t xml:space="preserve">SLA non communiqué</w:t>
      </w:r>
      <w:r>
        <w:t xml:space="preserve"> — pas d’engagement de disponibilité publié</w:t>
      </w:r>
    </w:p>
    <w:p>
      <w:pPr>
        <w:pStyle w:val="ListParagraph"/>
        <w:numPr>
          <w:ilvl w:val="0"/>
          <w:numId w:val="4"/>
        </w:numPr>
        <w:spacing w:after="60"/>
      </w:pPr>
      <w:r>
        <w:rPr>
          <w:b/>
          <w:bCs/>
        </w:rPr>
        <w:t xml:space="preserve">Moins de formats</w:t>
      </w:r>
      <w:r>
        <w:t xml:space="preserve"> — pas de mention EDIFACT, ZUGFeRD, JSON natif</w:t>
      </w:r>
    </w:p>
    <w:p>
      <w:pPr>
        <w:pStyle w:val="ListParagraph"/>
        <w:numPr>
          <w:ilvl w:val="0"/>
          <w:numId w:val="4"/>
        </w:numPr>
        <w:spacing w:after="200"/>
      </w:pPr>
      <w:r>
        <w:rPr>
          <w:b/>
          <w:bCs/>
        </w:rPr>
        <w:t xml:space="preserve">Tarifs sur devis uniquement</w:t>
      </w:r>
      <w:r>
        <w:t xml:space="preserve"> — aucune transparence tarifaire</w:t>
      </w:r>
    </w:p>
    <w:p>
      <w:pPr>
        <w:pStyle w:val="Heading1"/>
      </w:pPr>
      <w:r>
        <w:t xml:space="preserve">5. Recommandation pour TalosPrimes</w:t>
      </w:r>
    </w:p>
    <w:p>
      <w:pPr>
        <w:spacing w:after="120"/>
      </w:pPr>
      <w:r>
        <w:t xml:space="preserve">Pour un SaaS comme TalosPrimes, le critère n°1 est la </w:t>
      </w:r>
      <w:r>
        <w:rPr>
          <w:b/>
          <w:bCs/>
        </w:rPr>
        <w:t xml:space="preserve">qualité d’intégration API</w:t>
      </w:r>
      <w:r>
        <w:t xml:space="preserve"> et la capacité à fonctionner en infrastructure invisible. Deux scénarios se dessinent :</w:t>
      </w:r>
    </w:p>
    <w:p>
      <w:pPr>
        <w:spacing w:after="120" w:before="200"/>
      </w:pPr>
      <w:r>
        <w:rPr>
          <w:b/>
          <w:bCs/>
          <w:color w:val="2980B9"/>
        </w:rPr>
        <w:t xml:space="preserve">Scénario A — Iopole (recommandé pour la rapidité d’intégration)</w:t>
      </w:r>
    </w:p>
    <w:p>
      <w:pPr>
        <w:spacing w:after="80"/>
      </w:pPr>
      <w:r>
        <w:t xml:space="preserve">Si la priorité est d’intégrer vite avec une API pensée pour les développeurs, Iopole est le choix idéal. La sandbox gratuite permet de démarrer immédiatement. Le SLA 99,9% et le support éditeur dédié rassurent sur la production. Le risque est la jeunesse de la startup.</w:t>
      </w:r>
    </w:p>
    <w:p>
      <w:pPr>
        <w:spacing w:after="120" w:before="200"/>
      </w:pPr>
      <w:r>
        <w:rPr>
          <w:b/>
          <w:bCs/>
          <w:color w:val="27AE60"/>
        </w:rPr>
        <w:t xml:space="preserve">Scénario B — Seqino (recommandé pour la pérennité)</w:t>
      </w:r>
    </w:p>
    <w:p>
      <w:pPr>
        <w:spacing w:after="80"/>
      </w:pPr>
      <w:r>
        <w:t xml:space="preserve">Si la priorité est la solidité financière et les certifications, Seqino est imbattable. L’adossement au Crédit Mutuel Arkéa élimine le risque de disparition. Les références INTIA et OpenProd prouvent le fonctionnement en production. Le risque est une intégration potentiellement plus rigide.</w:t>
      </w:r>
    </w:p>
    <w:p>
      <w:pPr>
        <w:pStyle w:val="Heading1"/>
      </w:pPr>
      <w:r>
        <w:t xml:space="preserve">6. Prochaines étapes</w:t>
      </w:r>
    </w:p>
    <w:p>
      <w:pPr>
        <w:pStyle w:val="ListParagraph"/>
        <w:numPr>
          <w:ilvl w:val="0"/>
          <w:numId w:val="2"/>
        </w:numPr>
        <w:spacing w:after="80"/>
      </w:pPr>
      <w:r>
        <w:rPr>
          <w:b/>
          <w:bCs/>
        </w:rPr>
        <w:t xml:space="preserve">Contacter les deux plateformes</w:t>
      </w:r>
      <w:r>
        <w:t xml:space="preserve"> pour obtenir les tarifs exacts et l’accès sandbox</w:t>
      </w:r>
    </w:p>
    <w:p>
      <w:pPr>
        <w:pStyle w:val="ListParagraph"/>
        <w:numPr>
          <w:ilvl w:val="0"/>
          <w:numId w:val="2"/>
        </w:numPr>
        <w:spacing w:after="80"/>
      </w:pPr>
      <w:r>
        <w:rPr>
          <w:b/>
          <w:bCs/>
        </w:rPr>
        <w:t xml:space="preserve">Tester l’API Iopole en sandbox</w:t>
      </w:r>
      <w:r>
        <w:t xml:space="preserve"> (gratuit) pour valider la facilité d’intégration avec notre stack Node.js/n8n</w:t>
      </w:r>
    </w:p>
    <w:p>
      <w:pPr>
        <w:pStyle w:val="ListParagraph"/>
        <w:numPr>
          <w:ilvl w:val="0"/>
          <w:numId w:val="2"/>
        </w:numPr>
        <w:spacing w:after="80"/>
      </w:pPr>
      <w:r>
        <w:rPr>
          <w:b/>
          <w:bCs/>
        </w:rPr>
        <w:t xml:space="preserve">Demander une démo Seqino</w:t>
      </w:r>
      <w:r>
        <w:t xml:space="preserve"> pour comparer la documentation API et le support technique</w:t>
      </w:r>
    </w:p>
    <w:p>
      <w:pPr>
        <w:pStyle w:val="ListParagraph"/>
        <w:numPr>
          <w:ilvl w:val="0"/>
          <w:numId w:val="2"/>
        </w:numPr>
        <w:spacing w:after="80"/>
      </w:pPr>
      <w:r>
        <w:rPr>
          <w:b/>
          <w:bCs/>
        </w:rPr>
        <w:t xml:space="preserve">Comparer les coûts</w:t>
      </w:r>
      <w:r>
        <w:t xml:space="preserve"> sur la base de notre volume prévisionnel (~500-2000 factures/mois par tenant)</w:t>
      </w:r>
    </w:p>
    <w:p>
      <w:pPr>
        <w:pStyle w:val="ListParagraph"/>
        <w:numPr>
          <w:ilvl w:val="0"/>
          <w:numId w:val="2"/>
        </w:numPr>
        <w:spacing w:after="200"/>
      </w:pPr>
      <w:r>
        <w:rPr>
          <w:b/>
          <w:bCs/>
        </w:rPr>
        <w:t xml:space="preserve">Décider avant fin avril 2026</w:t>
      </w:r>
      <w:r>
        <w:t xml:space="preserve"> pour avoir 4 mois d’intégration avant l’échéance de septembre</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Confidentiel — TalosPrimes — Mars 2026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b/>
        <w:bCs/>
        <w:color w:val="1B4F72"/>
        <w:sz w:val="18"/>
        <w:szCs w:val="18"/>
      </w:rPr>
      <w:t xml:space="preserve">TalosPrimes</w:t>
    </w:r>
    <w:r>
      <w:rPr>
        <w:rFonts w:ascii="Arial" w:cs="Arial" w:eastAsia="Arial" w:hAnsi="Arial"/>
        <w:color w:val="7F8C8D"/>
        <w:sz w:val="16"/>
        <w:szCs w:val="16"/>
      </w:rPr>
      <w:t xml:space="preserve">	Comparatif Plateformes Agréées (PA)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2026-03-04T07:29:33.151Z</dcterms:created>
  <dcterms:modified xsi:type="dcterms:W3CDTF">2026-03-04T07:29:33.152Z</dcterms:modified>
</cp:coreProperties>
</file>

<file path=docProps/custom.xml><?xml version="1.0" encoding="utf-8"?>
<Properties xmlns="http://schemas.openxmlformats.org/officeDocument/2006/custom-properties" xmlns:vt="http://schemas.openxmlformats.org/officeDocument/2006/docPropsVTypes"/>
</file>