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2DE2" w14:textId="1B3EC3E5" w:rsidR="00CD7DD4" w:rsidRPr="00D46961" w:rsidRDefault="00D46961" w:rsidP="00D46961">
      <w:pPr>
        <w:pStyle w:val="Titre1"/>
        <w:numPr>
          <w:ilvl w:val="0"/>
          <w:numId w:val="0"/>
        </w:numPr>
      </w:pPr>
      <w:r>
        <w:t>L</w:t>
      </w:r>
      <w:r w:rsidR="00CD7DD4" w:rsidRPr="00D46961">
        <w:t xml:space="preserve">es paramètres </w:t>
      </w:r>
      <w:r w:rsidR="006D71FD" w:rsidRPr="00D46961">
        <w:t xml:space="preserve">de la </w:t>
      </w:r>
      <w:proofErr w:type="spellStart"/>
      <w:r w:rsidR="006D71FD" w:rsidRPr="00D46961">
        <w:t>Toolbar</w:t>
      </w:r>
      <w:proofErr w:type="spellEnd"/>
      <w:r w:rsidR="006D71FD" w:rsidRPr="00D46961">
        <w:t xml:space="preserve"> de</w:t>
      </w:r>
      <w:r w:rsidR="00CD7DD4" w:rsidRPr="00D46961">
        <w:t xml:space="preserve"> </w:t>
      </w:r>
      <w:proofErr w:type="spellStart"/>
      <w:r w:rsidR="00CD7DD4" w:rsidRPr="00D46961">
        <w:t>GeoDataViz</w:t>
      </w:r>
      <w:proofErr w:type="spellEnd"/>
    </w:p>
    <w:p w14:paraId="274BC8FB" w14:textId="77777777" w:rsidR="00CD7DD4" w:rsidRDefault="00CD7DD4" w:rsidP="00FF0373"/>
    <w:p w14:paraId="7E40A5D7" w14:textId="26FEB77E" w:rsidR="00CD7DD4" w:rsidRDefault="00626DCB" w:rsidP="00FF0373">
      <w:r>
        <w:t xml:space="preserve">Une </w:t>
      </w:r>
      <w:proofErr w:type="spellStart"/>
      <w:r>
        <w:t>Toolbar</w:t>
      </w:r>
      <w:proofErr w:type="spellEnd"/>
      <w:r>
        <w:t xml:space="preserve"> est disponible pour paramétrer le </w:t>
      </w:r>
      <w:proofErr w:type="spellStart"/>
      <w:r>
        <w:t>DataViz</w:t>
      </w:r>
      <w:proofErr w:type="spellEnd"/>
      <w:r w:rsidR="00C003EB">
        <w:t>.</w:t>
      </w:r>
    </w:p>
    <w:p w14:paraId="43AF535D" w14:textId="77777777" w:rsidR="00626DCB" w:rsidRDefault="00626DCB" w:rsidP="00FF0373"/>
    <w:p w14:paraId="6F37C0B5" w14:textId="72F038E3" w:rsidR="00626DCB" w:rsidRDefault="00626DCB" w:rsidP="00FF0373">
      <w:r w:rsidRPr="00626DCB">
        <w:rPr>
          <w:noProof/>
        </w:rPr>
        <w:drawing>
          <wp:inline distT="0" distB="0" distL="0" distR="0" wp14:anchorId="04C35328" wp14:editId="5459CE37">
            <wp:extent cx="3048425" cy="447737"/>
            <wp:effectExtent l="0" t="0" r="0" b="9525"/>
            <wp:docPr id="85004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4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D930" w14:textId="77777777" w:rsidR="00626DCB" w:rsidRDefault="00626DCB" w:rsidP="00FF0373"/>
    <w:p w14:paraId="3AC52232" w14:textId="7C90DBCF" w:rsidR="00626DCB" w:rsidRDefault="00626DCB" w:rsidP="00767ABE">
      <w:pPr>
        <w:jc w:val="both"/>
      </w:pPr>
      <w:r>
        <w:t xml:space="preserve">L’icône </w:t>
      </w:r>
      <w:r w:rsidRPr="00626DCB">
        <w:rPr>
          <w:noProof/>
        </w:rPr>
        <w:drawing>
          <wp:inline distT="0" distB="0" distL="0" distR="0" wp14:anchorId="7D456286" wp14:editId="69E1982D">
            <wp:extent cx="285790" cy="247685"/>
            <wp:effectExtent l="0" t="0" r="0" b="0"/>
            <wp:docPr id="13950839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83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permet de sauvegarder le dataviz dans différents formats comme JPG, PNG et SVG.</w:t>
      </w:r>
      <w:r w:rsidR="00767ABE">
        <w:t xml:space="preserve"> </w:t>
      </w:r>
      <w:r w:rsidR="00767ABE" w:rsidRPr="00767ABE">
        <w:rPr>
          <w:b/>
          <w:bCs/>
        </w:rPr>
        <w:t xml:space="preserve">Cette option est uniquement </w:t>
      </w:r>
      <w:r w:rsidR="00767ABE">
        <w:rPr>
          <w:b/>
          <w:bCs/>
        </w:rPr>
        <w:t>accessible</w:t>
      </w:r>
      <w:r w:rsidR="00767ABE" w:rsidRPr="00767ABE">
        <w:rPr>
          <w:b/>
          <w:bCs/>
        </w:rPr>
        <w:t xml:space="preserve"> pour les utilisateurs disposant d’un compte utilisateur (payant)</w:t>
      </w:r>
      <w:r w:rsidR="00767ABE">
        <w:rPr>
          <w:b/>
          <w:bCs/>
        </w:rPr>
        <w:t>.</w:t>
      </w:r>
    </w:p>
    <w:p w14:paraId="773429C9" w14:textId="2BA02A4A" w:rsidR="00626DCB" w:rsidRDefault="00626DCB" w:rsidP="00FF0373">
      <w:r>
        <w:t xml:space="preserve">L’icône </w:t>
      </w:r>
      <w:r w:rsidRPr="00626DCB">
        <w:rPr>
          <w:noProof/>
        </w:rPr>
        <w:drawing>
          <wp:inline distT="0" distB="0" distL="0" distR="0" wp14:anchorId="1DF4CF14" wp14:editId="53B8F806">
            <wp:extent cx="285790" cy="276264"/>
            <wp:effectExtent l="0" t="0" r="0" b="9525"/>
            <wp:docPr id="2045633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33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permet de se déplacer dans le dataviz.</w:t>
      </w:r>
    </w:p>
    <w:p w14:paraId="5643749F" w14:textId="51CA858C" w:rsidR="00626DCB" w:rsidRDefault="00626DCB" w:rsidP="00F53156">
      <w:pPr>
        <w:jc w:val="both"/>
      </w:pPr>
      <w:r>
        <w:t xml:space="preserve">Les icônes </w:t>
      </w:r>
      <w:r w:rsidRPr="00626DCB">
        <w:rPr>
          <w:noProof/>
        </w:rPr>
        <w:drawing>
          <wp:inline distT="0" distB="0" distL="0" distR="0" wp14:anchorId="2BBDADE3" wp14:editId="26C4A121">
            <wp:extent cx="657317" cy="304843"/>
            <wp:effectExtent l="0" t="0" r="0" b="0"/>
            <wp:docPr id="13511244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24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permettent de zoomer et dézoomer dans le dataviz. Il est également possible</w:t>
      </w:r>
      <w:r w:rsidR="008307F4">
        <w:t xml:space="preserve"> d’utiliser la molette de la souris ou</w:t>
      </w:r>
      <w:r>
        <w:t xml:space="preserve"> de </w:t>
      </w:r>
      <w:r w:rsidR="008307F4">
        <w:t>« pincer</w:t>
      </w:r>
      <w:r>
        <w:t> » avec les doigts depuis une tablette ou un touchpad</w:t>
      </w:r>
      <w:r w:rsidR="008307F4">
        <w:t xml:space="preserve"> pour zoomer</w:t>
      </w:r>
      <w:r>
        <w:t>.</w:t>
      </w:r>
    </w:p>
    <w:p w14:paraId="23F32A83" w14:textId="1C132EFF" w:rsidR="00626DCB" w:rsidRDefault="00626DCB" w:rsidP="00F53156">
      <w:pPr>
        <w:jc w:val="both"/>
      </w:pPr>
      <w:r>
        <w:t>L’icône</w:t>
      </w:r>
      <w:r w:rsidR="00C003EB">
        <w:t xml:space="preserve"> </w:t>
      </w:r>
      <w:r>
        <w:t xml:space="preserve"> </w:t>
      </w:r>
      <w:r w:rsidR="001D6A69" w:rsidRPr="001D6A69">
        <w:rPr>
          <w:noProof/>
        </w:rPr>
        <w:drawing>
          <wp:inline distT="0" distB="0" distL="0" distR="0" wp14:anchorId="0CB3A5D2" wp14:editId="62ED2B73">
            <wp:extent cx="400106" cy="304843"/>
            <wp:effectExtent l="0" t="0" r="0" b="0"/>
            <wp:docPr id="11488856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85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A69">
        <w:t xml:space="preserve"> </w:t>
      </w:r>
      <w:r w:rsidR="00C003EB">
        <w:t xml:space="preserve"> </w:t>
      </w:r>
      <w:r w:rsidR="001D6A69">
        <w:t>permet de remettre le dataviz dans son état originel.</w:t>
      </w:r>
    </w:p>
    <w:p w14:paraId="732F051B" w14:textId="3031F327" w:rsidR="001D6A69" w:rsidRDefault="001D6A69" w:rsidP="00F53156">
      <w:pPr>
        <w:jc w:val="both"/>
      </w:pPr>
      <w:r>
        <w:t>L’icône</w:t>
      </w:r>
      <w:r w:rsidR="00C003EB">
        <w:t xml:space="preserve"> </w:t>
      </w:r>
      <w:r>
        <w:t xml:space="preserve"> </w:t>
      </w:r>
      <w:r w:rsidRPr="001D6A69">
        <w:rPr>
          <w:noProof/>
        </w:rPr>
        <w:drawing>
          <wp:inline distT="0" distB="0" distL="0" distR="0" wp14:anchorId="31B313A3" wp14:editId="3E051840">
            <wp:extent cx="314369" cy="295316"/>
            <wp:effectExtent l="0" t="0" r="9525" b="9525"/>
            <wp:docPr id="19950109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10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permet d</w:t>
      </w:r>
      <w:r w:rsidR="008307F4">
        <w:t>’activer ou non l’affichage de données en surimpression</w:t>
      </w:r>
      <w:r>
        <w:t>.</w:t>
      </w:r>
    </w:p>
    <w:p w14:paraId="765050D7" w14:textId="70421AFE" w:rsidR="008307F4" w:rsidRDefault="008307F4" w:rsidP="00F53156">
      <w:pPr>
        <w:jc w:val="both"/>
      </w:pPr>
      <w:r>
        <w:t>L’icône</w:t>
      </w:r>
      <w:r w:rsidR="00C003EB">
        <w:t xml:space="preserve"> </w:t>
      </w:r>
      <w:r>
        <w:t xml:space="preserve"> </w:t>
      </w:r>
      <w:r w:rsidRPr="008307F4">
        <w:rPr>
          <w:noProof/>
        </w:rPr>
        <w:drawing>
          <wp:inline distT="0" distB="0" distL="0" distR="0" wp14:anchorId="2FC95880" wp14:editId="5A54E61D">
            <wp:extent cx="285790" cy="257211"/>
            <wp:effectExtent l="0" t="0" r="0" b="9525"/>
            <wp:docPr id="20340211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21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07F4">
        <w:t xml:space="preserve"> </w:t>
      </w:r>
      <w:r w:rsidR="00C003EB">
        <w:t xml:space="preserve"> </w:t>
      </w:r>
      <w:r>
        <w:t>permet de normaliser localement l’échelle de couleur. Par défaut l’échelle de couleur est centrée sur la moyenne pondérée nationale</w:t>
      </w:r>
      <w:r w:rsidR="00F53156">
        <w:t>. A</w:t>
      </w:r>
      <w:r>
        <w:t>près avoir activé la normalisation locale, l’échelle est centrée sur la moyenne pondérée locale.</w:t>
      </w:r>
    </w:p>
    <w:p w14:paraId="441AD2D2" w14:textId="06EE3BF3" w:rsidR="008307F4" w:rsidRDefault="008307F4" w:rsidP="00F53156">
      <w:pPr>
        <w:jc w:val="both"/>
      </w:pPr>
      <w:r>
        <w:t>L’icône</w:t>
      </w:r>
      <w:r w:rsidR="00C003EB">
        <w:t xml:space="preserve"> </w:t>
      </w:r>
      <w:r>
        <w:t xml:space="preserve"> </w:t>
      </w:r>
      <w:r w:rsidRPr="008307F4">
        <w:rPr>
          <w:noProof/>
        </w:rPr>
        <w:drawing>
          <wp:inline distT="0" distB="0" distL="0" distR="0" wp14:anchorId="014B348A" wp14:editId="3D2B42FD">
            <wp:extent cx="323895" cy="314369"/>
            <wp:effectExtent l="0" t="0" r="0" b="9525"/>
            <wp:docPr id="16431425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42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C003EB">
        <w:t xml:space="preserve"> </w:t>
      </w:r>
      <w:r>
        <w:t>permet de supprimer les lignes de contours grises autours des délimitations géographiques comme les IRIS et les communes.</w:t>
      </w:r>
    </w:p>
    <w:p w14:paraId="12C029C9" w14:textId="3D1C6F7F" w:rsidR="008307F4" w:rsidRDefault="008307F4" w:rsidP="008307F4">
      <w:r>
        <w:t>L’icône</w:t>
      </w:r>
      <w:r w:rsidR="00C003EB">
        <w:t xml:space="preserve"> </w:t>
      </w:r>
      <w:r>
        <w:t xml:space="preserve"> </w:t>
      </w:r>
      <w:r w:rsidRPr="008307F4">
        <w:rPr>
          <w:noProof/>
        </w:rPr>
        <w:drawing>
          <wp:inline distT="0" distB="0" distL="0" distR="0" wp14:anchorId="4263095F" wp14:editId="6C6B65FD">
            <wp:extent cx="371527" cy="381053"/>
            <wp:effectExtent l="0" t="0" r="9525" b="0"/>
            <wp:docPr id="11072175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17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permet d’afficher ou non une carte géographique en </w:t>
      </w:r>
      <w:r w:rsidR="003A0B80">
        <w:t>arrière-plan</w:t>
      </w:r>
      <w:r>
        <w:t>.</w:t>
      </w:r>
    </w:p>
    <w:p w14:paraId="40D716D5" w14:textId="77777777" w:rsidR="00961BBB" w:rsidRDefault="00961BBB" w:rsidP="00FF0373"/>
    <w:p w14:paraId="11C4ACCE" w14:textId="004DC2D3" w:rsidR="005B2483" w:rsidRDefault="00ED318A" w:rsidP="00EB028F">
      <w:pPr>
        <w:pStyle w:val="Paragraphedeliste"/>
        <w:numPr>
          <w:ilvl w:val="1"/>
          <w:numId w:val="18"/>
        </w:numPr>
        <w:rPr>
          <w:b/>
          <w:bCs/>
          <w:sz w:val="28"/>
          <w:szCs w:val="28"/>
        </w:rPr>
      </w:pPr>
      <w:r w:rsidRPr="000E7654">
        <w:rPr>
          <w:b/>
          <w:bCs/>
          <w:sz w:val="28"/>
          <w:szCs w:val="28"/>
        </w:rPr>
        <w:t xml:space="preserve">Les paramètres avancés de </w:t>
      </w:r>
      <w:proofErr w:type="spellStart"/>
      <w:r w:rsidRPr="000E7654">
        <w:rPr>
          <w:b/>
          <w:bCs/>
          <w:sz w:val="28"/>
          <w:szCs w:val="28"/>
        </w:rPr>
        <w:t>GeoDataViz</w:t>
      </w:r>
      <w:proofErr w:type="spellEnd"/>
    </w:p>
    <w:p w14:paraId="11F537A2" w14:textId="77777777" w:rsidR="00347155" w:rsidRDefault="00347155" w:rsidP="00347155">
      <w:pPr>
        <w:rPr>
          <w:b/>
          <w:bCs/>
          <w:sz w:val="28"/>
          <w:szCs w:val="28"/>
        </w:rPr>
      </w:pPr>
    </w:p>
    <w:p w14:paraId="0AA4CF6A" w14:textId="35E7BDAB" w:rsidR="00347155" w:rsidRPr="00347155" w:rsidRDefault="00347155" w:rsidP="00347155">
      <w:pPr>
        <w:jc w:val="both"/>
        <w:rPr>
          <w:sz w:val="24"/>
          <w:szCs w:val="24"/>
        </w:rPr>
      </w:pPr>
      <w:r w:rsidRPr="00347155">
        <w:rPr>
          <w:sz w:val="24"/>
          <w:szCs w:val="24"/>
        </w:rPr>
        <w:t>Nous présentons ici l’ensemble des paramètres disponibles pour l’accessibilité aux professionnels de santé</w:t>
      </w:r>
      <w:r>
        <w:rPr>
          <w:sz w:val="24"/>
          <w:szCs w:val="24"/>
        </w:rPr>
        <w:t xml:space="preserve">. Les options sont plus limitées pour les services hospitaliers et les autres services de santé du fait des indicateurs plus simples utilisés. </w:t>
      </w:r>
    </w:p>
    <w:p w14:paraId="7DB56B2D" w14:textId="77777777" w:rsidR="00FF0373" w:rsidRDefault="00FF0373" w:rsidP="00FF0373"/>
    <w:p w14:paraId="57DAFD01" w14:textId="4CF1605B" w:rsidR="00FF0373" w:rsidRDefault="0095500A" w:rsidP="00E23605">
      <w:pPr>
        <w:jc w:val="center"/>
      </w:pPr>
      <w:r w:rsidRPr="0095500A">
        <w:rPr>
          <w:noProof/>
        </w:rPr>
        <w:lastRenderedPageBreak/>
        <w:drawing>
          <wp:inline distT="0" distB="0" distL="0" distR="0" wp14:anchorId="630A6C7B" wp14:editId="07973A7A">
            <wp:extent cx="5760720" cy="2641600"/>
            <wp:effectExtent l="0" t="0" r="0" b="6350"/>
            <wp:docPr id="15757644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64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7D09" w14:textId="77777777" w:rsidR="007F3F33" w:rsidRDefault="007F3F33" w:rsidP="00FF0373"/>
    <w:p w14:paraId="580773F5" w14:textId="63B237D8" w:rsidR="005B2483" w:rsidRDefault="005B2483">
      <w:r>
        <w:t>Plusieurs paramètres sont disponibles </w:t>
      </w:r>
      <w:r w:rsidR="00ED318A">
        <w:t>et peuvent être modifiés par l’utilisateur</w:t>
      </w:r>
    </w:p>
    <w:p w14:paraId="140D877C" w14:textId="77777777" w:rsidR="00ED318A" w:rsidRDefault="00ED318A">
      <w:pPr>
        <w:rPr>
          <w:kern w:val="0"/>
          <w14:ligatures w14:val="none"/>
        </w:rPr>
      </w:pPr>
    </w:p>
    <w:p w14:paraId="1FDA3546" w14:textId="7C69A69D" w:rsidR="005B2483" w:rsidRDefault="005B2483">
      <w:pPr>
        <w:pStyle w:val="Paragraphedeliste"/>
        <w:numPr>
          <w:ilvl w:val="0"/>
          <w:numId w:val="8"/>
        </w:numPr>
        <w:spacing w:line="256" w:lineRule="auto"/>
        <w:jc w:val="both"/>
        <w:rPr>
          <w:rFonts w:eastAsia="Times New Roman"/>
          <w:kern w:val="0"/>
          <w14:ligatures w14:val="none"/>
        </w:rPr>
      </w:pPr>
      <w:r w:rsidRPr="00ED318A">
        <w:rPr>
          <w:rFonts w:eastAsia="Times New Roman"/>
          <w:b/>
          <w:bCs/>
        </w:rPr>
        <w:t>Durée de trajet maximale</w:t>
      </w:r>
      <w:r>
        <w:rPr>
          <w:rFonts w:eastAsia="Times New Roman"/>
        </w:rPr>
        <w:t xml:space="preserve"> : les calculs d’APL ont été réalisés pour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d</m:t>
            </m:r>
          </m:e>
          <m:sub>
            <m:r>
              <w:rPr>
                <w:rFonts w:ascii="Cambria Math" w:eastAsia="Times New Roman" w:hAnsi="Cambria Math"/>
              </w:rPr>
              <m:t>0</m:t>
            </m:r>
          </m:sub>
        </m:sSub>
      </m:oMath>
      <w:r>
        <w:rPr>
          <w:rFonts w:eastAsia="Times New Roman"/>
        </w:rPr>
        <w:t>= 30, 45 ou 60 minutes.</w:t>
      </w:r>
    </w:p>
    <w:p w14:paraId="277B13FF" w14:textId="2D17A2D0" w:rsidR="005B2483" w:rsidRDefault="005B2483">
      <w:pPr>
        <w:pStyle w:val="Paragraphedeliste"/>
        <w:numPr>
          <w:ilvl w:val="0"/>
          <w:numId w:val="8"/>
        </w:numPr>
        <w:spacing w:line="256" w:lineRule="auto"/>
        <w:jc w:val="both"/>
        <w:rPr>
          <w:rFonts w:eastAsia="Times New Roman"/>
          <w:kern w:val="0"/>
          <w14:ligatures w14:val="none"/>
        </w:rPr>
      </w:pPr>
      <w:r w:rsidRPr="00ED318A">
        <w:rPr>
          <w:rFonts w:eastAsia="Times New Roman"/>
          <w:b/>
          <w:bCs/>
        </w:rPr>
        <w:t xml:space="preserve">Calcul des </w:t>
      </w:r>
      <w:r w:rsidR="00ED318A" w:rsidRPr="00ED318A">
        <w:rPr>
          <w:rFonts w:eastAsia="Times New Roman"/>
          <w:b/>
          <w:bCs/>
        </w:rPr>
        <w:t>temps de trajet</w:t>
      </w:r>
      <w:r>
        <w:rPr>
          <w:rFonts w:eastAsia="Times New Roman"/>
        </w:rPr>
        <w:t> : les durées de déplacement ont été calculées en heures creuses et en heures pleines.</w:t>
      </w:r>
    </w:p>
    <w:p w14:paraId="7A3A3D41" w14:textId="6018E2FE" w:rsidR="005B2483" w:rsidRDefault="005B2483">
      <w:pPr>
        <w:pStyle w:val="Paragraphedeliste"/>
        <w:numPr>
          <w:ilvl w:val="0"/>
          <w:numId w:val="8"/>
        </w:numPr>
        <w:spacing w:line="256" w:lineRule="auto"/>
        <w:jc w:val="both"/>
        <w:rPr>
          <w:rFonts w:eastAsia="Times New Roman"/>
          <w:kern w:val="0"/>
          <w14:ligatures w14:val="none"/>
        </w:rPr>
      </w:pPr>
      <w:r w:rsidRPr="00ED318A">
        <w:rPr>
          <w:rFonts w:eastAsia="Times New Roman"/>
          <w:b/>
          <w:bCs/>
        </w:rPr>
        <w:t>Constante de la fonction de décroissance</w:t>
      </w:r>
      <w:r>
        <w:rPr>
          <w:rFonts w:eastAsia="Times New Roman"/>
        </w:rPr>
        <w:t xml:space="preserve"> : il s’agit de la constante </w:t>
      </w:r>
      <m:oMath>
        <m:r>
          <w:rPr>
            <w:rFonts w:ascii="Cambria Math" w:eastAsia="Times New Roman" w:hAnsi="Cambria Math"/>
          </w:rPr>
          <m:t>a</m:t>
        </m:r>
      </m:oMath>
      <w:r>
        <w:rPr>
          <w:rFonts w:eastAsia="Times New Roman"/>
        </w:rPr>
        <w:t xml:space="preserve"> de la fonction </w:t>
      </w:r>
      <m:oMath>
        <m:r>
          <w:rPr>
            <w:rFonts w:ascii="Cambria Math" w:eastAsia="Times New Roman" w:hAnsi="Cambria Math"/>
          </w:rPr>
          <m:t>exp(a</m:t>
        </m:r>
        <m:r>
          <w:rPr>
            <w:rFonts w:ascii="Cambria Math" w:eastAsia="Times New Roman" w:hAnsi="Cambria Math" w:cs="Times New Roman"/>
          </w:rPr>
          <m:t>×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d</m:t>
            </m:r>
          </m:e>
          <m:sub>
            <m:r>
              <w:rPr>
                <w:rFonts w:ascii="Cambria Math" w:eastAsia="Times New Roman" w:hAnsi="Cambria Math"/>
              </w:rPr>
              <m:t>ij</m:t>
            </m:r>
          </m:sub>
        </m:sSub>
        <m:r>
          <w:rPr>
            <w:rFonts w:ascii="Cambria Math" w:eastAsia="Times New Roman" w:hAnsi="Cambria Math"/>
          </w:rPr>
          <m:t>)</m:t>
        </m:r>
      </m:oMath>
      <w:r w:rsidR="00F53156">
        <w:rPr>
          <w:rFonts w:eastAsia="Times New Roman"/>
          <w:sz w:val="28"/>
          <w:szCs w:val="28"/>
        </w:rPr>
        <w:t xml:space="preserve">. </w:t>
      </w:r>
      <w:r w:rsidR="00F53156" w:rsidRPr="00F53156">
        <w:rPr>
          <w:rFonts w:eastAsia="Times New Roman"/>
        </w:rPr>
        <w:t>L</w:t>
      </w:r>
      <w:r w:rsidRPr="00F53156">
        <w:rPr>
          <w:rFonts w:eastAsia="Times New Roman"/>
        </w:rPr>
        <w:t>es</w:t>
      </w:r>
      <w:r>
        <w:rPr>
          <w:rFonts w:eastAsia="Times New Roman"/>
        </w:rPr>
        <w:t xml:space="preserve"> valeurs </w:t>
      </w:r>
      <w:r w:rsidR="00F53156">
        <w:rPr>
          <w:rFonts w:eastAsia="Times New Roman"/>
        </w:rPr>
        <w:t xml:space="preserve">pour </w:t>
      </w:r>
      <m:oMath>
        <m:r>
          <w:rPr>
            <w:rFonts w:ascii="Cambria Math" w:eastAsia="Times New Roman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="Times New Roman" w:hAnsi="Cambria Math"/>
                <w:i/>
              </w:rPr>
            </m:ctrlPr>
          </m:dPr>
          <m:e>
            <m:r>
              <w:rPr>
                <w:rFonts w:ascii="Cambria Math" w:eastAsia="Times New Roman" w:hAnsi="Cambria Math"/>
              </w:rPr>
              <m:t>-0.04; -0.06; -0.08; -0.10; _0.12</m:t>
            </m:r>
          </m:e>
        </m:d>
      </m:oMath>
      <w:r>
        <w:rPr>
          <w:rFonts w:eastAsia="Times New Roman"/>
        </w:rPr>
        <w:t xml:space="preserve"> ont été </w:t>
      </w:r>
      <w:r w:rsidR="00F53156">
        <w:rPr>
          <w:rFonts w:eastAsia="Times New Roman"/>
        </w:rPr>
        <w:t>calcul</w:t>
      </w:r>
      <w:r>
        <w:rPr>
          <w:rFonts w:eastAsia="Times New Roman"/>
        </w:rPr>
        <w:t>ées.</w:t>
      </w:r>
    </w:p>
    <w:p w14:paraId="31AA4567" w14:textId="6529C32A" w:rsidR="00986A66" w:rsidRPr="00986A66" w:rsidRDefault="005B2483" w:rsidP="00986A66">
      <w:pPr>
        <w:pStyle w:val="Paragraphedeliste"/>
        <w:numPr>
          <w:ilvl w:val="0"/>
          <w:numId w:val="8"/>
        </w:numPr>
        <w:spacing w:line="256" w:lineRule="auto"/>
        <w:jc w:val="both"/>
        <w:rPr>
          <w:rFonts w:eastAsia="Times New Roman"/>
          <w:kern w:val="0"/>
          <w14:ligatures w14:val="none"/>
        </w:rPr>
      </w:pPr>
      <w:r w:rsidRPr="00986A66">
        <w:rPr>
          <w:rFonts w:eastAsia="Times New Roman"/>
          <w:b/>
          <w:bCs/>
        </w:rPr>
        <w:t>Type d’APL</w:t>
      </w:r>
      <w:r w:rsidRPr="00986A66">
        <w:rPr>
          <w:rFonts w:eastAsia="Times New Roman"/>
        </w:rPr>
        <w:t xml:space="preserve"> : </w:t>
      </w:r>
      <w:r w:rsidR="00986A66" w:rsidRPr="00986A66">
        <w:rPr>
          <w:rFonts w:eastAsia="Times New Roman"/>
        </w:rPr>
        <w:t>L’APL standard ne prend en compte que les professionnels de santé exerçant en libéral. L’option “</w:t>
      </w:r>
      <w:r w:rsidR="00986A66">
        <w:rPr>
          <w:rFonts w:eastAsia="Times New Roman"/>
        </w:rPr>
        <w:t>A</w:t>
      </w:r>
      <w:r w:rsidR="00986A66" w:rsidRPr="00986A66">
        <w:rPr>
          <w:rFonts w:eastAsia="Times New Roman"/>
        </w:rPr>
        <w:t xml:space="preserve">vec </w:t>
      </w:r>
      <w:r w:rsidR="00986A66">
        <w:rPr>
          <w:rFonts w:eastAsia="Times New Roman"/>
        </w:rPr>
        <w:t xml:space="preserve">les </w:t>
      </w:r>
      <w:r w:rsidR="00986A66" w:rsidRPr="00986A66">
        <w:rPr>
          <w:rFonts w:eastAsia="Times New Roman"/>
        </w:rPr>
        <w:t>salariés” élargit le périmètre en intégrant également les professionnels de santé salariés des structures de type maison de santé.</w:t>
      </w:r>
    </w:p>
    <w:p w14:paraId="4FA2C34E" w14:textId="4AF199E8" w:rsidR="005B2483" w:rsidRPr="00986A66" w:rsidRDefault="005B2483" w:rsidP="00986A66">
      <w:pPr>
        <w:pStyle w:val="Paragraphedeliste"/>
        <w:numPr>
          <w:ilvl w:val="0"/>
          <w:numId w:val="8"/>
        </w:numPr>
        <w:spacing w:line="256" w:lineRule="auto"/>
        <w:jc w:val="both"/>
        <w:rPr>
          <w:rFonts w:eastAsia="Times New Roman"/>
          <w:kern w:val="0"/>
          <w14:ligatures w14:val="none"/>
        </w:rPr>
      </w:pPr>
      <w:r w:rsidRPr="00986A66">
        <w:rPr>
          <w:rFonts w:eastAsia="Times New Roman"/>
          <w:b/>
          <w:bCs/>
        </w:rPr>
        <w:t>Résolution :</w:t>
      </w:r>
      <w:r w:rsidRPr="00986A66">
        <w:rPr>
          <w:rFonts w:eastAsia="Times New Roman"/>
        </w:rPr>
        <w:t xml:space="preserve"> paramètre du module de visualisation permettant d’accélérer le traitement.</w:t>
      </w:r>
    </w:p>
    <w:p w14:paraId="7A383E92" w14:textId="1C13A806" w:rsidR="00E80AAB" w:rsidRDefault="005B2483" w:rsidP="00322966">
      <w:pPr>
        <w:pStyle w:val="Paragraphedeliste"/>
        <w:numPr>
          <w:ilvl w:val="0"/>
          <w:numId w:val="8"/>
        </w:numPr>
        <w:spacing w:line="256" w:lineRule="auto"/>
        <w:jc w:val="both"/>
        <w:rPr>
          <w:rFonts w:eastAsia="Times New Roman"/>
        </w:rPr>
      </w:pPr>
      <w:r w:rsidRPr="00F53156">
        <w:rPr>
          <w:rFonts w:eastAsia="Times New Roman"/>
          <w:b/>
          <w:bCs/>
        </w:rPr>
        <w:t>Granularité géographique</w:t>
      </w:r>
      <w:r w:rsidRPr="00F53156">
        <w:rPr>
          <w:rFonts w:eastAsia="Times New Roman"/>
        </w:rPr>
        <w:t xml:space="preserve"> : les APL sont calculés à l’échelle des IRIS, mais peuvent être visualisés à l’échelle communale. </w:t>
      </w:r>
    </w:p>
    <w:p w14:paraId="7787AA52" w14:textId="7A727CFB" w:rsidR="00767ABE" w:rsidRPr="00F53156" w:rsidRDefault="00767ABE" w:rsidP="00322966">
      <w:pPr>
        <w:pStyle w:val="Paragraphedeliste"/>
        <w:numPr>
          <w:ilvl w:val="0"/>
          <w:numId w:val="8"/>
        </w:numPr>
        <w:spacing w:line="256" w:lineRule="auto"/>
        <w:jc w:val="both"/>
        <w:rPr>
          <w:rFonts w:eastAsia="Times New Roman"/>
        </w:rPr>
      </w:pPr>
      <w:r>
        <w:rPr>
          <w:rFonts w:eastAsia="Times New Roman"/>
          <w:b/>
          <w:bCs/>
        </w:rPr>
        <w:t>Rendu </w:t>
      </w:r>
      <w:r w:rsidRPr="00767ABE">
        <w:rPr>
          <w:rFonts w:eastAsia="Times New Roman"/>
        </w:rPr>
        <w:t>:</w:t>
      </w:r>
      <w:r>
        <w:rPr>
          <w:rFonts w:eastAsia="Times New Roman"/>
        </w:rPr>
        <w:t xml:space="preserve"> </w:t>
      </w:r>
      <w:r w:rsidR="00F30A5B" w:rsidRPr="00F30A5B">
        <w:rPr>
          <w:rFonts w:eastAsia="Times New Roman"/>
        </w:rPr>
        <w:t xml:space="preserve">Par défaut, l’outil affiche une carte interactive. </w:t>
      </w:r>
      <w:r w:rsidR="00F30A5B" w:rsidRPr="00F30A5B">
        <w:rPr>
          <w:rFonts w:eastAsia="Times New Roman"/>
          <w:b/>
          <w:bCs/>
        </w:rPr>
        <w:t>Pour les utilisateurs disposant d’un compte utilisateur (payant)</w:t>
      </w:r>
      <w:r w:rsidR="00F30A5B" w:rsidRPr="00F30A5B">
        <w:rPr>
          <w:rFonts w:eastAsia="Times New Roman"/>
        </w:rPr>
        <w:t xml:space="preserve">, il est possible de télécharger l’ensemble des données aux formats CSV ou </w:t>
      </w:r>
      <w:proofErr w:type="spellStart"/>
      <w:r w:rsidR="00F30A5B" w:rsidRPr="00F30A5B">
        <w:rPr>
          <w:rFonts w:eastAsia="Times New Roman"/>
        </w:rPr>
        <w:t>GeoJSON</w:t>
      </w:r>
      <w:proofErr w:type="spellEnd"/>
      <w:r w:rsidR="00F30A5B" w:rsidRPr="00F30A5B">
        <w:rPr>
          <w:rFonts w:eastAsia="Times New Roman"/>
        </w:rPr>
        <w:t>.</w:t>
      </w:r>
    </w:p>
    <w:p w14:paraId="5202F3F4" w14:textId="77777777" w:rsidR="00E80AAB" w:rsidRDefault="00E80AAB" w:rsidP="00322966">
      <w:pPr>
        <w:spacing w:line="256" w:lineRule="auto"/>
        <w:jc w:val="both"/>
        <w:rPr>
          <w:rFonts w:eastAsia="Times New Roman"/>
        </w:rPr>
      </w:pPr>
    </w:p>
    <w:p w14:paraId="338BCA91" w14:textId="1FE7A73A" w:rsidR="00E80AAB" w:rsidRDefault="00E80AAB" w:rsidP="00322966">
      <w:pPr>
        <w:spacing w:line="256" w:lineRule="auto"/>
        <w:jc w:val="both"/>
        <w:rPr>
          <w:rFonts w:eastAsia="Times New Roman"/>
          <w:kern w:val="0"/>
          <w14:ligatures w14:val="none"/>
        </w:rPr>
      </w:pPr>
    </w:p>
    <w:p w14:paraId="425B8208" w14:textId="77777777" w:rsidR="00961BBB" w:rsidRDefault="00961BBB" w:rsidP="00961BBB">
      <w:pPr>
        <w:jc w:val="both"/>
      </w:pPr>
    </w:p>
    <w:p w14:paraId="6E5D69A8" w14:textId="77777777" w:rsidR="00E23605" w:rsidRDefault="00E23605" w:rsidP="00961BBB">
      <w:pPr>
        <w:jc w:val="both"/>
      </w:pPr>
    </w:p>
    <w:sectPr w:rsidR="00E236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E62A2" w14:textId="77777777" w:rsidR="008F4537" w:rsidRDefault="008F4537" w:rsidP="00750520">
      <w:pPr>
        <w:spacing w:line="240" w:lineRule="auto"/>
      </w:pPr>
      <w:r>
        <w:separator/>
      </w:r>
    </w:p>
  </w:endnote>
  <w:endnote w:type="continuationSeparator" w:id="0">
    <w:p w14:paraId="049CBE5B" w14:textId="77777777" w:rsidR="008F4537" w:rsidRDefault="008F4537" w:rsidP="007505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0141D" w14:textId="77777777" w:rsidR="008F4537" w:rsidRDefault="008F4537" w:rsidP="00750520">
      <w:pPr>
        <w:spacing w:line="240" w:lineRule="auto"/>
      </w:pPr>
      <w:r>
        <w:separator/>
      </w:r>
    </w:p>
  </w:footnote>
  <w:footnote w:type="continuationSeparator" w:id="0">
    <w:p w14:paraId="6FACD95C" w14:textId="77777777" w:rsidR="008F4537" w:rsidRDefault="008F4537" w:rsidP="007505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7222"/>
    <w:multiLevelType w:val="hybridMultilevel"/>
    <w:tmpl w:val="872E8C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64CC6"/>
    <w:multiLevelType w:val="hybridMultilevel"/>
    <w:tmpl w:val="40182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32E19"/>
    <w:multiLevelType w:val="multilevel"/>
    <w:tmpl w:val="5B7630A4"/>
    <w:lvl w:ilvl="0">
      <w:start w:val="4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0" w:hanging="5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CE24DF2"/>
    <w:multiLevelType w:val="hybridMultilevel"/>
    <w:tmpl w:val="098EFE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7296E"/>
    <w:multiLevelType w:val="hybridMultilevel"/>
    <w:tmpl w:val="218201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47D6B"/>
    <w:multiLevelType w:val="hybridMultilevel"/>
    <w:tmpl w:val="B022A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12FF4"/>
    <w:multiLevelType w:val="hybridMultilevel"/>
    <w:tmpl w:val="9C0C0C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860A6"/>
    <w:multiLevelType w:val="multilevel"/>
    <w:tmpl w:val="22B615E4"/>
    <w:lvl w:ilvl="0">
      <w:start w:val="4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EF87B5F"/>
    <w:multiLevelType w:val="multilevel"/>
    <w:tmpl w:val="869484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99F14F9"/>
    <w:multiLevelType w:val="hybridMultilevel"/>
    <w:tmpl w:val="860CEA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E072CC"/>
    <w:multiLevelType w:val="hybridMultilevel"/>
    <w:tmpl w:val="BD1683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D32A3"/>
    <w:multiLevelType w:val="multilevel"/>
    <w:tmpl w:val="7A42CF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880" w:hanging="5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D194ADF"/>
    <w:multiLevelType w:val="hybridMultilevel"/>
    <w:tmpl w:val="3404E8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274AEA"/>
    <w:multiLevelType w:val="multilevel"/>
    <w:tmpl w:val="6C38F8D8"/>
    <w:lvl w:ilvl="0">
      <w:start w:val="4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6A22723B"/>
    <w:multiLevelType w:val="hybridMultilevel"/>
    <w:tmpl w:val="0108E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B52CA5"/>
    <w:multiLevelType w:val="hybridMultilevel"/>
    <w:tmpl w:val="CB1C9D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2462E7"/>
    <w:multiLevelType w:val="hybridMultilevel"/>
    <w:tmpl w:val="27AA1A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D922E5"/>
    <w:multiLevelType w:val="multilevel"/>
    <w:tmpl w:val="B8C8653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BCA38D8"/>
    <w:multiLevelType w:val="multilevel"/>
    <w:tmpl w:val="F8DEFE9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BCC0D8D"/>
    <w:multiLevelType w:val="hybridMultilevel"/>
    <w:tmpl w:val="0A6E73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407811">
    <w:abstractNumId w:val="0"/>
  </w:num>
  <w:num w:numId="2" w16cid:durableId="1276405205">
    <w:abstractNumId w:val="12"/>
  </w:num>
  <w:num w:numId="3" w16cid:durableId="1236206281">
    <w:abstractNumId w:val="16"/>
  </w:num>
  <w:num w:numId="4" w16cid:durableId="1870950917">
    <w:abstractNumId w:val="17"/>
  </w:num>
  <w:num w:numId="5" w16cid:durableId="943656833">
    <w:abstractNumId w:val="15"/>
  </w:num>
  <w:num w:numId="6" w16cid:durableId="2044135669">
    <w:abstractNumId w:val="10"/>
  </w:num>
  <w:num w:numId="7" w16cid:durableId="1565674698">
    <w:abstractNumId w:val="1"/>
  </w:num>
  <w:num w:numId="8" w16cid:durableId="1554926487">
    <w:abstractNumId w:val="5"/>
  </w:num>
  <w:num w:numId="9" w16cid:durableId="830758596">
    <w:abstractNumId w:val="6"/>
  </w:num>
  <w:num w:numId="10" w16cid:durableId="1745293136">
    <w:abstractNumId w:val="4"/>
  </w:num>
  <w:num w:numId="11" w16cid:durableId="416293734">
    <w:abstractNumId w:val="11"/>
  </w:num>
  <w:num w:numId="12" w16cid:durableId="596211566">
    <w:abstractNumId w:val="8"/>
  </w:num>
  <w:num w:numId="13" w16cid:durableId="284897809">
    <w:abstractNumId w:val="18"/>
  </w:num>
  <w:num w:numId="14" w16cid:durableId="917716273">
    <w:abstractNumId w:val="9"/>
  </w:num>
  <w:num w:numId="15" w16cid:durableId="438911626">
    <w:abstractNumId w:val="19"/>
  </w:num>
  <w:num w:numId="16" w16cid:durableId="1964801993">
    <w:abstractNumId w:val="3"/>
  </w:num>
  <w:num w:numId="17" w16cid:durableId="359748742">
    <w:abstractNumId w:val="14"/>
  </w:num>
  <w:num w:numId="18" w16cid:durableId="729378606">
    <w:abstractNumId w:val="2"/>
  </w:num>
  <w:num w:numId="19" w16cid:durableId="319506322">
    <w:abstractNumId w:val="13"/>
  </w:num>
  <w:num w:numId="20" w16cid:durableId="351615875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92"/>
    <w:rsid w:val="00003619"/>
    <w:rsid w:val="000164DA"/>
    <w:rsid w:val="00023B48"/>
    <w:rsid w:val="00052FBD"/>
    <w:rsid w:val="00085352"/>
    <w:rsid w:val="000A3B96"/>
    <w:rsid w:val="000C3D96"/>
    <w:rsid w:val="000D379A"/>
    <w:rsid w:val="000E1C1C"/>
    <w:rsid w:val="000E3CE9"/>
    <w:rsid w:val="000E7654"/>
    <w:rsid w:val="001011FB"/>
    <w:rsid w:val="00101904"/>
    <w:rsid w:val="001110B4"/>
    <w:rsid w:val="00117FE2"/>
    <w:rsid w:val="00121531"/>
    <w:rsid w:val="001314C1"/>
    <w:rsid w:val="0015250D"/>
    <w:rsid w:val="00153235"/>
    <w:rsid w:val="00161A39"/>
    <w:rsid w:val="00177576"/>
    <w:rsid w:val="0018196D"/>
    <w:rsid w:val="00182957"/>
    <w:rsid w:val="00184F26"/>
    <w:rsid w:val="00190F43"/>
    <w:rsid w:val="00195404"/>
    <w:rsid w:val="00196888"/>
    <w:rsid w:val="00197BFC"/>
    <w:rsid w:val="001A687D"/>
    <w:rsid w:val="001D4E37"/>
    <w:rsid w:val="001D6A69"/>
    <w:rsid w:val="001E2711"/>
    <w:rsid w:val="001F0C3C"/>
    <w:rsid w:val="00200FED"/>
    <w:rsid w:val="00217895"/>
    <w:rsid w:val="00223848"/>
    <w:rsid w:val="002266B3"/>
    <w:rsid w:val="00227DDC"/>
    <w:rsid w:val="00233E78"/>
    <w:rsid w:val="002370CC"/>
    <w:rsid w:val="00237FE1"/>
    <w:rsid w:val="0028636B"/>
    <w:rsid w:val="002A0DD0"/>
    <w:rsid w:val="002A4BE0"/>
    <w:rsid w:val="002B1FE0"/>
    <w:rsid w:val="002B76A2"/>
    <w:rsid w:val="002C2A99"/>
    <w:rsid w:val="002C5C92"/>
    <w:rsid w:val="002E1CFC"/>
    <w:rsid w:val="002E57B6"/>
    <w:rsid w:val="002E7E58"/>
    <w:rsid w:val="002F1C1D"/>
    <w:rsid w:val="002F3AB9"/>
    <w:rsid w:val="0030478D"/>
    <w:rsid w:val="00305488"/>
    <w:rsid w:val="00307994"/>
    <w:rsid w:val="00321697"/>
    <w:rsid w:val="00322364"/>
    <w:rsid w:val="00322966"/>
    <w:rsid w:val="0033760E"/>
    <w:rsid w:val="00342F9F"/>
    <w:rsid w:val="003454EB"/>
    <w:rsid w:val="00347155"/>
    <w:rsid w:val="00353D13"/>
    <w:rsid w:val="00365496"/>
    <w:rsid w:val="003716DA"/>
    <w:rsid w:val="00374DD3"/>
    <w:rsid w:val="00383093"/>
    <w:rsid w:val="003A0B80"/>
    <w:rsid w:val="003A437E"/>
    <w:rsid w:val="003A4CB0"/>
    <w:rsid w:val="003B1AF3"/>
    <w:rsid w:val="003B345E"/>
    <w:rsid w:val="003C20E8"/>
    <w:rsid w:val="003C3354"/>
    <w:rsid w:val="003C41F2"/>
    <w:rsid w:val="003E49A1"/>
    <w:rsid w:val="004018E2"/>
    <w:rsid w:val="00401C62"/>
    <w:rsid w:val="00413DCE"/>
    <w:rsid w:val="00431CC7"/>
    <w:rsid w:val="00445071"/>
    <w:rsid w:val="00450484"/>
    <w:rsid w:val="004556E8"/>
    <w:rsid w:val="00462B0F"/>
    <w:rsid w:val="00473C07"/>
    <w:rsid w:val="00474924"/>
    <w:rsid w:val="0048633E"/>
    <w:rsid w:val="004A3F77"/>
    <w:rsid w:val="004B006D"/>
    <w:rsid w:val="004B20E7"/>
    <w:rsid w:val="004B57A9"/>
    <w:rsid w:val="004C1807"/>
    <w:rsid w:val="004C7A4B"/>
    <w:rsid w:val="004E3392"/>
    <w:rsid w:val="004E4415"/>
    <w:rsid w:val="004E4623"/>
    <w:rsid w:val="00501903"/>
    <w:rsid w:val="0050537C"/>
    <w:rsid w:val="0051660F"/>
    <w:rsid w:val="0052269E"/>
    <w:rsid w:val="00530D1E"/>
    <w:rsid w:val="00533FC9"/>
    <w:rsid w:val="0053611B"/>
    <w:rsid w:val="00537991"/>
    <w:rsid w:val="00556155"/>
    <w:rsid w:val="00557D6D"/>
    <w:rsid w:val="00565F14"/>
    <w:rsid w:val="005740AC"/>
    <w:rsid w:val="00585C80"/>
    <w:rsid w:val="005934F1"/>
    <w:rsid w:val="00594EEB"/>
    <w:rsid w:val="005B14A2"/>
    <w:rsid w:val="005B1A38"/>
    <w:rsid w:val="005B2483"/>
    <w:rsid w:val="005D3DBD"/>
    <w:rsid w:val="005F6F67"/>
    <w:rsid w:val="00601EB5"/>
    <w:rsid w:val="00623611"/>
    <w:rsid w:val="00626DCB"/>
    <w:rsid w:val="006316F9"/>
    <w:rsid w:val="00650738"/>
    <w:rsid w:val="0065111E"/>
    <w:rsid w:val="0068709D"/>
    <w:rsid w:val="006926B8"/>
    <w:rsid w:val="006B5780"/>
    <w:rsid w:val="006C331B"/>
    <w:rsid w:val="006C3B92"/>
    <w:rsid w:val="006D71FD"/>
    <w:rsid w:val="0070527D"/>
    <w:rsid w:val="00724D4E"/>
    <w:rsid w:val="00730372"/>
    <w:rsid w:val="00741A8B"/>
    <w:rsid w:val="00744F99"/>
    <w:rsid w:val="00750520"/>
    <w:rsid w:val="0075066D"/>
    <w:rsid w:val="00750D3B"/>
    <w:rsid w:val="00755049"/>
    <w:rsid w:val="00755C6E"/>
    <w:rsid w:val="00767ABE"/>
    <w:rsid w:val="007726E2"/>
    <w:rsid w:val="00783A6B"/>
    <w:rsid w:val="00783BD8"/>
    <w:rsid w:val="00792B06"/>
    <w:rsid w:val="00795AFB"/>
    <w:rsid w:val="007B6163"/>
    <w:rsid w:val="007D55BE"/>
    <w:rsid w:val="007F3F33"/>
    <w:rsid w:val="00803111"/>
    <w:rsid w:val="008307F4"/>
    <w:rsid w:val="00833FC0"/>
    <w:rsid w:val="00841A53"/>
    <w:rsid w:val="00843027"/>
    <w:rsid w:val="00843461"/>
    <w:rsid w:val="00851F25"/>
    <w:rsid w:val="00855895"/>
    <w:rsid w:val="0085613D"/>
    <w:rsid w:val="00867574"/>
    <w:rsid w:val="00876EED"/>
    <w:rsid w:val="00881E92"/>
    <w:rsid w:val="00894F99"/>
    <w:rsid w:val="008A0237"/>
    <w:rsid w:val="008A1DE9"/>
    <w:rsid w:val="008B4C47"/>
    <w:rsid w:val="008B5DC9"/>
    <w:rsid w:val="008B601A"/>
    <w:rsid w:val="008C0404"/>
    <w:rsid w:val="008D100D"/>
    <w:rsid w:val="008E1231"/>
    <w:rsid w:val="008E3530"/>
    <w:rsid w:val="008F3A92"/>
    <w:rsid w:val="008F4537"/>
    <w:rsid w:val="00901193"/>
    <w:rsid w:val="00902694"/>
    <w:rsid w:val="0093226F"/>
    <w:rsid w:val="00936FDE"/>
    <w:rsid w:val="0095500A"/>
    <w:rsid w:val="00961BBB"/>
    <w:rsid w:val="00974F21"/>
    <w:rsid w:val="00986A66"/>
    <w:rsid w:val="009901ED"/>
    <w:rsid w:val="009B0E65"/>
    <w:rsid w:val="009B4873"/>
    <w:rsid w:val="009C1BD9"/>
    <w:rsid w:val="009D34E3"/>
    <w:rsid w:val="009F1F57"/>
    <w:rsid w:val="009F515D"/>
    <w:rsid w:val="00A125BC"/>
    <w:rsid w:val="00A126A4"/>
    <w:rsid w:val="00A23045"/>
    <w:rsid w:val="00A315DC"/>
    <w:rsid w:val="00A50285"/>
    <w:rsid w:val="00A568F0"/>
    <w:rsid w:val="00A604E5"/>
    <w:rsid w:val="00A6594F"/>
    <w:rsid w:val="00A70858"/>
    <w:rsid w:val="00A74845"/>
    <w:rsid w:val="00A77AF6"/>
    <w:rsid w:val="00A80B53"/>
    <w:rsid w:val="00A855A5"/>
    <w:rsid w:val="00A96C48"/>
    <w:rsid w:val="00A970E1"/>
    <w:rsid w:val="00AA22C7"/>
    <w:rsid w:val="00AA61E4"/>
    <w:rsid w:val="00AC3716"/>
    <w:rsid w:val="00AD7586"/>
    <w:rsid w:val="00AF2875"/>
    <w:rsid w:val="00AF3CE6"/>
    <w:rsid w:val="00AF59B9"/>
    <w:rsid w:val="00B02064"/>
    <w:rsid w:val="00B042FA"/>
    <w:rsid w:val="00B07B48"/>
    <w:rsid w:val="00B1023B"/>
    <w:rsid w:val="00B17A61"/>
    <w:rsid w:val="00B26657"/>
    <w:rsid w:val="00B456E4"/>
    <w:rsid w:val="00B46D14"/>
    <w:rsid w:val="00B7502C"/>
    <w:rsid w:val="00B83A24"/>
    <w:rsid w:val="00BE1A7C"/>
    <w:rsid w:val="00BE22A2"/>
    <w:rsid w:val="00BF1703"/>
    <w:rsid w:val="00C003EB"/>
    <w:rsid w:val="00C02973"/>
    <w:rsid w:val="00C525DB"/>
    <w:rsid w:val="00C55A1A"/>
    <w:rsid w:val="00C63CB4"/>
    <w:rsid w:val="00C6501C"/>
    <w:rsid w:val="00CA40F4"/>
    <w:rsid w:val="00CA59EF"/>
    <w:rsid w:val="00CA7077"/>
    <w:rsid w:val="00CB0EC6"/>
    <w:rsid w:val="00CC3CD9"/>
    <w:rsid w:val="00CD7DD4"/>
    <w:rsid w:val="00CE0DDD"/>
    <w:rsid w:val="00CF165F"/>
    <w:rsid w:val="00D15FA8"/>
    <w:rsid w:val="00D2370E"/>
    <w:rsid w:val="00D46961"/>
    <w:rsid w:val="00D54881"/>
    <w:rsid w:val="00D6777C"/>
    <w:rsid w:val="00D802C0"/>
    <w:rsid w:val="00D81E3E"/>
    <w:rsid w:val="00D86BB5"/>
    <w:rsid w:val="00D96412"/>
    <w:rsid w:val="00DC2036"/>
    <w:rsid w:val="00DC2EBD"/>
    <w:rsid w:val="00DF0C88"/>
    <w:rsid w:val="00DF3CA5"/>
    <w:rsid w:val="00DF67E8"/>
    <w:rsid w:val="00DF76AE"/>
    <w:rsid w:val="00E025EC"/>
    <w:rsid w:val="00E07DA2"/>
    <w:rsid w:val="00E1445D"/>
    <w:rsid w:val="00E17417"/>
    <w:rsid w:val="00E219D0"/>
    <w:rsid w:val="00E23605"/>
    <w:rsid w:val="00E2551B"/>
    <w:rsid w:val="00E266C9"/>
    <w:rsid w:val="00E26B89"/>
    <w:rsid w:val="00E40DAF"/>
    <w:rsid w:val="00E66536"/>
    <w:rsid w:val="00E77E09"/>
    <w:rsid w:val="00E80AAB"/>
    <w:rsid w:val="00E82CC0"/>
    <w:rsid w:val="00E85538"/>
    <w:rsid w:val="00E9212E"/>
    <w:rsid w:val="00EA09A6"/>
    <w:rsid w:val="00EB005E"/>
    <w:rsid w:val="00EB028F"/>
    <w:rsid w:val="00EC4BAB"/>
    <w:rsid w:val="00EC5B06"/>
    <w:rsid w:val="00ED318A"/>
    <w:rsid w:val="00ED4B3F"/>
    <w:rsid w:val="00ED5BB4"/>
    <w:rsid w:val="00EE5B71"/>
    <w:rsid w:val="00EF560B"/>
    <w:rsid w:val="00EF78D4"/>
    <w:rsid w:val="00F03A50"/>
    <w:rsid w:val="00F11B5F"/>
    <w:rsid w:val="00F16709"/>
    <w:rsid w:val="00F17611"/>
    <w:rsid w:val="00F30A5B"/>
    <w:rsid w:val="00F43AE0"/>
    <w:rsid w:val="00F517B7"/>
    <w:rsid w:val="00F53156"/>
    <w:rsid w:val="00F63EA7"/>
    <w:rsid w:val="00F768B2"/>
    <w:rsid w:val="00F8017B"/>
    <w:rsid w:val="00F82131"/>
    <w:rsid w:val="00F9454A"/>
    <w:rsid w:val="00FB342B"/>
    <w:rsid w:val="00FB3E94"/>
    <w:rsid w:val="00FD3E40"/>
    <w:rsid w:val="00FE4BD8"/>
    <w:rsid w:val="00FF0373"/>
    <w:rsid w:val="00FF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EB76"/>
  <w15:chartTrackingRefBased/>
  <w15:docId w15:val="{EF604929-128F-4BBC-AEDE-C3B3AD70F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226F"/>
    <w:pPr>
      <w:keepNext/>
      <w:keepLines/>
      <w:numPr>
        <w:numId w:val="4"/>
      </w:numPr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95404"/>
    <w:pPr>
      <w:numPr>
        <w:ilvl w:val="1"/>
      </w:numPr>
      <w:spacing w:before="0" w:after="0"/>
      <w:ind w:left="431" w:hanging="431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973"/>
    <w:pPr>
      <w:keepNext/>
      <w:keepLines/>
      <w:numPr>
        <w:ilvl w:val="2"/>
        <w:numId w:val="4"/>
      </w:numPr>
      <w:ind w:left="505" w:hanging="505"/>
      <w:outlineLvl w:val="2"/>
    </w:pPr>
    <w:rPr>
      <w:rFonts w:eastAsiaTheme="majorEastAsia" w:cstheme="majorBidi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1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1E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1E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1E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1E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226F"/>
    <w:rPr>
      <w:rFonts w:asciiTheme="majorHAnsi" w:eastAsiaTheme="majorEastAsia" w:hAnsiTheme="majorHAnsi" w:cstheme="majorBidi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95404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C02973"/>
    <w:rPr>
      <w:rFonts w:eastAsiaTheme="majorEastAsia" w:cstheme="majorBidi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881E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1E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1E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1E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1E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1E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1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1E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1E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1E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1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1E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1E9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5250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5250D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FE4BD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E4BD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FE4BD8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E4BD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E4BD8"/>
    <w:rPr>
      <w:b/>
      <w:bCs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565F14"/>
    <w:rPr>
      <w:color w:val="96607D" w:themeColor="followed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C6501C"/>
    <w:rPr>
      <w:color w:val="66666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B487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B4873"/>
    <w:rPr>
      <w:rFonts w:ascii="Consolas" w:hAnsi="Consolas"/>
      <w:sz w:val="20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50520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50520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5052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B536B-6A3F-4781-81FD-B2FD6C0424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860db96-b53f-4bd7-8137-e09357cab268}" enabled="1" method="Standard" siteId="{b78d03e6-f6a2-4cff-83be-847d1a6453f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8612</TotalTime>
  <Pages>2</Pages>
  <Words>387</Words>
  <Characters>2202</Characters>
  <Application>Microsoft Office Word</Application>
  <DocSecurity>0</DocSecurity>
  <Lines>55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Vincent</dc:creator>
  <cp:keywords/>
  <dc:description/>
  <cp:lastModifiedBy>Cyril Vincent</cp:lastModifiedBy>
  <cp:revision>62</cp:revision>
  <cp:lastPrinted>2026-05-11T14:19:00Z</cp:lastPrinted>
  <dcterms:created xsi:type="dcterms:W3CDTF">2026-04-22T21:00:00Z</dcterms:created>
  <dcterms:modified xsi:type="dcterms:W3CDTF">2026-06-05T15:57:00Z</dcterms:modified>
</cp:coreProperties>
</file>