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EF09" w14:textId="65411556" w:rsidR="008775FD" w:rsidRDefault="00FD6DCC" w:rsidP="003D46A9">
      <w:pPr>
        <w:jc w:val="center"/>
        <w:rPr>
          <w:b/>
          <w:bCs/>
          <w:i/>
          <w:iCs/>
          <w:sz w:val="32"/>
          <w:szCs w:val="32"/>
          <w:lang w:val="fr-FR"/>
        </w:rPr>
      </w:pPr>
      <w:r>
        <w:rPr>
          <w:b/>
          <w:bCs/>
          <w:i/>
          <w:iCs/>
          <w:sz w:val="32"/>
          <w:szCs w:val="32"/>
          <w:lang w:val="fr-FR"/>
        </w:rPr>
        <w:t>Mise en place</w:t>
      </w:r>
      <w:r w:rsidR="003D46A9" w:rsidRPr="00185910">
        <w:rPr>
          <w:b/>
          <w:bCs/>
          <w:i/>
          <w:iCs/>
          <w:sz w:val="32"/>
          <w:szCs w:val="32"/>
          <w:lang w:val="fr-FR"/>
        </w:rPr>
        <w:t xml:space="preserve"> d’un indicate</w:t>
      </w:r>
      <w:r w:rsidR="000B6945">
        <w:rPr>
          <w:b/>
          <w:bCs/>
          <w:i/>
          <w:iCs/>
          <w:sz w:val="32"/>
          <w:szCs w:val="32"/>
          <w:lang w:val="fr-FR"/>
        </w:rPr>
        <w:t>ur d’Accessibilité Potentielle L</w:t>
      </w:r>
      <w:r w:rsidR="003D46A9" w:rsidRPr="00185910">
        <w:rPr>
          <w:b/>
          <w:bCs/>
          <w:i/>
          <w:iCs/>
          <w:sz w:val="32"/>
          <w:szCs w:val="32"/>
          <w:lang w:val="fr-FR"/>
        </w:rPr>
        <w:t>ocalisée</w:t>
      </w:r>
      <w:r w:rsidR="00185910" w:rsidRPr="00185910">
        <w:rPr>
          <w:b/>
          <w:bCs/>
          <w:i/>
          <w:iCs/>
          <w:sz w:val="32"/>
          <w:szCs w:val="32"/>
          <w:lang w:val="fr-FR"/>
        </w:rPr>
        <w:t xml:space="preserve"> </w:t>
      </w:r>
      <w:r w:rsidR="00FD0EFA">
        <w:rPr>
          <w:b/>
          <w:bCs/>
          <w:i/>
          <w:iCs/>
          <w:sz w:val="32"/>
          <w:szCs w:val="32"/>
          <w:lang w:val="fr-FR"/>
        </w:rPr>
        <w:t>à l’IRIS pour le département des Alpes-Maritimes</w:t>
      </w:r>
    </w:p>
    <w:p w14:paraId="757FC44A" w14:textId="419A4E3B" w:rsidR="00FD6DCC" w:rsidRDefault="00FD6DCC" w:rsidP="003D46A9">
      <w:pPr>
        <w:jc w:val="center"/>
        <w:rPr>
          <w:b/>
          <w:bCs/>
          <w:i/>
          <w:iCs/>
          <w:sz w:val="32"/>
          <w:szCs w:val="32"/>
          <w:lang w:val="fr-FR"/>
        </w:rPr>
      </w:pPr>
    </w:p>
    <w:p w14:paraId="6349E853" w14:textId="77777777" w:rsidR="00FD6DCC" w:rsidRPr="00FD0EFA" w:rsidRDefault="00FD6DCC" w:rsidP="003D46A9">
      <w:pPr>
        <w:jc w:val="center"/>
        <w:rPr>
          <w:b/>
          <w:bCs/>
          <w:sz w:val="40"/>
          <w:szCs w:val="40"/>
          <w:lang w:val="fr-FR"/>
        </w:rPr>
      </w:pPr>
    </w:p>
    <w:p w14:paraId="15A85C3E" w14:textId="50A819C3" w:rsidR="00D167F8" w:rsidRPr="00FD0EFA" w:rsidRDefault="00D167F8" w:rsidP="003D46A9">
      <w:pPr>
        <w:jc w:val="center"/>
        <w:rPr>
          <w:b/>
          <w:bCs/>
          <w:sz w:val="40"/>
          <w:szCs w:val="40"/>
          <w:lang w:val="fr-FR"/>
        </w:rPr>
      </w:pPr>
      <w:r>
        <w:rPr>
          <w:noProof/>
        </w:rPr>
        <w:drawing>
          <wp:inline distT="0" distB="0" distL="0" distR="0" wp14:anchorId="59611D90" wp14:editId="1DC60485">
            <wp:extent cx="4714875" cy="2562225"/>
            <wp:effectExtent l="0" t="0" r="9525" b="9525"/>
            <wp:docPr id="1146082416" name="Image 1" descr="Une image contenant Police, texte, logo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82416" name="Image 1" descr="Une image contenant Police, texte, logo,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438C" w14:textId="43B554FC" w:rsidR="003D46A9" w:rsidRDefault="003D46A9" w:rsidP="003D46A9">
      <w:pPr>
        <w:rPr>
          <w:b/>
          <w:bCs/>
          <w:lang w:val="fr-FR"/>
        </w:rPr>
      </w:pPr>
    </w:p>
    <w:p w14:paraId="420358D0" w14:textId="0D03A5DE" w:rsidR="003D46A9" w:rsidRDefault="003D46A9" w:rsidP="003D46A9">
      <w:pPr>
        <w:rPr>
          <w:b/>
          <w:bCs/>
          <w:lang w:val="fr-FR"/>
        </w:rPr>
      </w:pPr>
    </w:p>
    <w:p w14:paraId="5FFEE454" w14:textId="508A4A93" w:rsidR="00FD6DCC" w:rsidRDefault="00FD6DCC" w:rsidP="003D46A9">
      <w:pPr>
        <w:rPr>
          <w:b/>
          <w:bCs/>
          <w:lang w:val="fr-FR"/>
        </w:rPr>
      </w:pPr>
    </w:p>
    <w:p w14:paraId="645BBDFF" w14:textId="2E94BC40" w:rsidR="00FD6DCC" w:rsidRDefault="00FD6DCC" w:rsidP="003D46A9">
      <w:pPr>
        <w:rPr>
          <w:b/>
          <w:bCs/>
          <w:lang w:val="fr-FR"/>
        </w:rPr>
      </w:pPr>
    </w:p>
    <w:p w14:paraId="1B06AA36" w14:textId="69BC8D9D" w:rsidR="00FD6DCC" w:rsidRDefault="00FD6DCC" w:rsidP="003D46A9">
      <w:pPr>
        <w:rPr>
          <w:b/>
          <w:bCs/>
          <w:lang w:val="fr-FR"/>
        </w:rPr>
      </w:pPr>
    </w:p>
    <w:p w14:paraId="0191C27D" w14:textId="4FDEF1F4" w:rsidR="00FD6DCC" w:rsidRDefault="00FD6DCC" w:rsidP="003D46A9">
      <w:pPr>
        <w:rPr>
          <w:b/>
          <w:bCs/>
          <w:lang w:val="fr-FR"/>
        </w:rPr>
      </w:pPr>
    </w:p>
    <w:p w14:paraId="36F4EE7E" w14:textId="6D6E1656" w:rsidR="00FD6DCC" w:rsidRDefault="00FD6DCC" w:rsidP="003D46A9">
      <w:pPr>
        <w:rPr>
          <w:b/>
          <w:bCs/>
          <w:lang w:val="fr-FR"/>
        </w:rPr>
      </w:pPr>
    </w:p>
    <w:p w14:paraId="335BD4C8" w14:textId="64FEDA17" w:rsidR="00FD6DCC" w:rsidRDefault="00FD6DCC" w:rsidP="003D46A9">
      <w:pPr>
        <w:rPr>
          <w:b/>
          <w:bCs/>
          <w:lang w:val="fr-FR"/>
        </w:rPr>
      </w:pPr>
    </w:p>
    <w:p w14:paraId="2001919A" w14:textId="773B9456" w:rsidR="00FD6DCC" w:rsidRDefault="00FD6DCC" w:rsidP="003D46A9">
      <w:pPr>
        <w:rPr>
          <w:b/>
          <w:bCs/>
          <w:lang w:val="fr-FR"/>
        </w:rPr>
      </w:pPr>
    </w:p>
    <w:p w14:paraId="43B6ADD0" w14:textId="5236E718" w:rsidR="00FD6DCC" w:rsidRDefault="00FD6DCC" w:rsidP="003D46A9">
      <w:pPr>
        <w:rPr>
          <w:b/>
          <w:bCs/>
          <w:lang w:val="fr-FR"/>
        </w:rPr>
      </w:pPr>
    </w:p>
    <w:p w14:paraId="1F4C5817" w14:textId="4EDC3210" w:rsidR="00FD6DCC" w:rsidRDefault="00FD6DCC" w:rsidP="003D46A9">
      <w:pPr>
        <w:rPr>
          <w:b/>
          <w:bCs/>
          <w:lang w:val="fr-FR"/>
        </w:rPr>
      </w:pPr>
    </w:p>
    <w:p w14:paraId="70796321" w14:textId="7BDCE896" w:rsidR="00FD6DCC" w:rsidRDefault="00FD6DCC" w:rsidP="003D46A9">
      <w:pPr>
        <w:rPr>
          <w:b/>
          <w:bCs/>
          <w:lang w:val="fr-FR"/>
        </w:rPr>
      </w:pPr>
    </w:p>
    <w:p w14:paraId="64D3CF95" w14:textId="2CCF622B" w:rsidR="00FD6DCC" w:rsidRDefault="00FD6DCC" w:rsidP="003D46A9">
      <w:pPr>
        <w:rPr>
          <w:b/>
          <w:bCs/>
          <w:lang w:val="fr-FR"/>
        </w:rPr>
      </w:pPr>
    </w:p>
    <w:p w14:paraId="2AF5D9B3" w14:textId="34AD65D8" w:rsidR="00FD6DCC" w:rsidRDefault="00FD6DCC" w:rsidP="003D46A9">
      <w:pPr>
        <w:rPr>
          <w:b/>
          <w:bCs/>
          <w:lang w:val="fr-FR"/>
        </w:rPr>
      </w:pPr>
    </w:p>
    <w:p w14:paraId="7B28E3AF" w14:textId="6AB3B711" w:rsidR="00FD6DCC" w:rsidRDefault="00FD6DCC" w:rsidP="003D46A9">
      <w:pPr>
        <w:rPr>
          <w:b/>
          <w:bCs/>
          <w:lang w:val="fr-FR"/>
        </w:rPr>
      </w:pPr>
    </w:p>
    <w:p w14:paraId="0B83092E" w14:textId="3D03E2CF" w:rsidR="00FD6DCC" w:rsidRDefault="00FD6DCC" w:rsidP="003D46A9">
      <w:pPr>
        <w:rPr>
          <w:b/>
          <w:bCs/>
          <w:lang w:val="fr-FR"/>
        </w:rPr>
      </w:pPr>
    </w:p>
    <w:p w14:paraId="5920E269" w14:textId="5D9AAD5C" w:rsidR="00FD6DCC" w:rsidRDefault="00FD6DCC" w:rsidP="003D46A9">
      <w:pPr>
        <w:rPr>
          <w:b/>
          <w:bCs/>
          <w:lang w:val="fr-FR"/>
        </w:rPr>
      </w:pPr>
    </w:p>
    <w:p w14:paraId="12824EFC" w14:textId="7D171808" w:rsidR="00FD6DCC" w:rsidRPr="00FD6DCC" w:rsidRDefault="00FD6DCC" w:rsidP="003D46A9">
      <w:pPr>
        <w:rPr>
          <w:b/>
          <w:bCs/>
          <w:sz w:val="36"/>
          <w:szCs w:val="36"/>
          <w:lang w:val="fr-FR"/>
        </w:rPr>
      </w:pPr>
      <w:r w:rsidRPr="00FD6DCC">
        <w:rPr>
          <w:b/>
          <w:bCs/>
          <w:sz w:val="36"/>
          <w:szCs w:val="36"/>
          <w:lang w:val="fr-FR"/>
        </w:rPr>
        <w:lastRenderedPageBreak/>
        <w:t>SOMMAIRE de l’étude</w:t>
      </w:r>
    </w:p>
    <w:p w14:paraId="36983E00" w14:textId="3409D196" w:rsidR="00024472" w:rsidRDefault="00024472" w:rsidP="00024472">
      <w:pPr>
        <w:rPr>
          <w:b/>
          <w:bCs/>
          <w:lang w:val="fr-FR"/>
        </w:rPr>
      </w:pPr>
    </w:p>
    <w:p w14:paraId="77BA260E" w14:textId="77777777" w:rsidR="00024472" w:rsidRPr="00024472" w:rsidRDefault="00024472" w:rsidP="00024472">
      <w:pPr>
        <w:rPr>
          <w:b/>
          <w:bCs/>
          <w:lang w:val="fr-FR"/>
        </w:rPr>
      </w:pPr>
    </w:p>
    <w:p w14:paraId="5EFC9EBC" w14:textId="0F873AB0" w:rsidR="00024472" w:rsidRDefault="003D46A9" w:rsidP="0002447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24472">
        <w:rPr>
          <w:b/>
          <w:bCs/>
          <w:sz w:val="28"/>
          <w:szCs w:val="28"/>
          <w:lang w:val="fr-FR"/>
        </w:rPr>
        <w:t>Introduction</w:t>
      </w:r>
    </w:p>
    <w:p w14:paraId="51E32CAE" w14:textId="77777777" w:rsidR="00024472" w:rsidRPr="00024472" w:rsidRDefault="00024472" w:rsidP="00024472">
      <w:pPr>
        <w:pStyle w:val="Paragraphedeliste"/>
        <w:rPr>
          <w:b/>
          <w:bCs/>
          <w:sz w:val="28"/>
          <w:szCs w:val="28"/>
          <w:lang w:val="fr-FR"/>
        </w:rPr>
      </w:pPr>
    </w:p>
    <w:p w14:paraId="18904E7F" w14:textId="726B2114" w:rsidR="00024472" w:rsidRPr="008E690E" w:rsidRDefault="003D46A9" w:rsidP="008E690E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24472">
        <w:rPr>
          <w:b/>
          <w:bCs/>
          <w:sz w:val="28"/>
          <w:szCs w:val="28"/>
          <w:lang w:val="fr-FR"/>
        </w:rPr>
        <w:t>Bases de données mobilisées</w:t>
      </w:r>
    </w:p>
    <w:p w14:paraId="47CADC34" w14:textId="77777777" w:rsidR="00024472" w:rsidRPr="00024472" w:rsidRDefault="00024472" w:rsidP="00024472">
      <w:pPr>
        <w:pStyle w:val="Paragraphedeliste"/>
        <w:rPr>
          <w:b/>
          <w:bCs/>
          <w:sz w:val="28"/>
          <w:szCs w:val="28"/>
          <w:lang w:val="fr-FR"/>
        </w:rPr>
      </w:pPr>
    </w:p>
    <w:p w14:paraId="76CA3E74" w14:textId="5C109305" w:rsidR="00024472" w:rsidRPr="00024472" w:rsidRDefault="00024472" w:rsidP="0002447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24472">
        <w:rPr>
          <w:b/>
          <w:bCs/>
          <w:sz w:val="28"/>
          <w:szCs w:val="28"/>
          <w:lang w:val="fr-FR"/>
        </w:rPr>
        <w:t>Méthodologie du calcul de l’APL</w:t>
      </w:r>
    </w:p>
    <w:p w14:paraId="29BB17A6" w14:textId="77777777" w:rsidR="00024472" w:rsidRPr="00024472" w:rsidRDefault="00024472" w:rsidP="00024472">
      <w:pPr>
        <w:pStyle w:val="Paragraphedeliste"/>
        <w:rPr>
          <w:b/>
          <w:bCs/>
          <w:sz w:val="28"/>
          <w:szCs w:val="28"/>
          <w:lang w:val="fr-FR"/>
        </w:rPr>
      </w:pPr>
    </w:p>
    <w:p w14:paraId="2C1C5176" w14:textId="41AC540F" w:rsidR="00024472" w:rsidRPr="00680D65" w:rsidRDefault="00024472" w:rsidP="00276793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680D65">
        <w:rPr>
          <w:b/>
          <w:bCs/>
          <w:sz w:val="28"/>
          <w:szCs w:val="28"/>
          <w:lang w:val="fr-FR"/>
        </w:rPr>
        <w:t>Application aux médecins généralistes</w:t>
      </w:r>
    </w:p>
    <w:p w14:paraId="4A5CC02D" w14:textId="77777777" w:rsidR="009C7594" w:rsidRPr="009C7594" w:rsidRDefault="009C7594" w:rsidP="009C7594">
      <w:pPr>
        <w:pStyle w:val="Paragraphedeliste"/>
        <w:ind w:left="1140"/>
        <w:rPr>
          <w:b/>
          <w:bCs/>
          <w:sz w:val="28"/>
          <w:szCs w:val="28"/>
          <w:lang w:val="fr-FR"/>
        </w:rPr>
      </w:pPr>
    </w:p>
    <w:p w14:paraId="5603146F" w14:textId="4CE1B0E0" w:rsidR="00024472" w:rsidRPr="00024472" w:rsidRDefault="00024472" w:rsidP="0002447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lang w:val="fr-FR"/>
        </w:rPr>
      </w:pPr>
      <w:r w:rsidRPr="00024472">
        <w:rPr>
          <w:b/>
          <w:bCs/>
          <w:sz w:val="28"/>
          <w:szCs w:val="28"/>
          <w:lang w:val="fr-FR"/>
        </w:rPr>
        <w:t>Recommandations</w:t>
      </w:r>
    </w:p>
    <w:p w14:paraId="35789E74" w14:textId="77777777" w:rsidR="00024472" w:rsidRPr="00FD6DCC" w:rsidRDefault="00024472" w:rsidP="00024472">
      <w:pPr>
        <w:pStyle w:val="Paragraphedeliste"/>
        <w:rPr>
          <w:sz w:val="28"/>
          <w:szCs w:val="28"/>
          <w:lang w:val="fr-FR"/>
        </w:rPr>
      </w:pPr>
    </w:p>
    <w:p w14:paraId="72E44FC9" w14:textId="77777777" w:rsidR="00024472" w:rsidRPr="00FD6DCC" w:rsidRDefault="00024472" w:rsidP="00024472">
      <w:pPr>
        <w:pStyle w:val="Paragraphedeliste"/>
        <w:rPr>
          <w:sz w:val="28"/>
          <w:szCs w:val="28"/>
          <w:lang w:val="fr-FR"/>
        </w:rPr>
      </w:pPr>
    </w:p>
    <w:p w14:paraId="6FD58DFB" w14:textId="295029A0" w:rsidR="008A29C9" w:rsidRDefault="008A29C9" w:rsidP="008A29C9">
      <w:pPr>
        <w:rPr>
          <w:b/>
          <w:bCs/>
          <w:lang w:val="fr-FR"/>
        </w:rPr>
      </w:pPr>
    </w:p>
    <w:p w14:paraId="0359A5F0" w14:textId="213F8E41" w:rsidR="00A060D8" w:rsidRDefault="00A060D8" w:rsidP="008A29C9">
      <w:pPr>
        <w:rPr>
          <w:b/>
          <w:bCs/>
          <w:lang w:val="fr-FR"/>
        </w:rPr>
      </w:pPr>
    </w:p>
    <w:p w14:paraId="1E411195" w14:textId="414C3CEC" w:rsidR="00A060D8" w:rsidRDefault="00A060D8" w:rsidP="008A29C9">
      <w:pPr>
        <w:rPr>
          <w:b/>
          <w:bCs/>
          <w:lang w:val="fr-FR"/>
        </w:rPr>
      </w:pPr>
    </w:p>
    <w:p w14:paraId="24CA01A1" w14:textId="74AD336F" w:rsidR="00A060D8" w:rsidRDefault="00A060D8" w:rsidP="008A29C9">
      <w:pPr>
        <w:rPr>
          <w:b/>
          <w:bCs/>
          <w:lang w:val="fr-FR"/>
        </w:rPr>
      </w:pPr>
    </w:p>
    <w:p w14:paraId="339B2123" w14:textId="61530046" w:rsidR="00A060D8" w:rsidRDefault="00A060D8" w:rsidP="008A29C9">
      <w:pPr>
        <w:rPr>
          <w:b/>
          <w:bCs/>
          <w:lang w:val="fr-FR"/>
        </w:rPr>
      </w:pPr>
    </w:p>
    <w:p w14:paraId="483E5EFC" w14:textId="1BCED66C" w:rsidR="00A060D8" w:rsidRDefault="00A060D8" w:rsidP="008A29C9">
      <w:pPr>
        <w:rPr>
          <w:b/>
          <w:bCs/>
          <w:lang w:val="fr-FR"/>
        </w:rPr>
      </w:pPr>
    </w:p>
    <w:p w14:paraId="6383D503" w14:textId="76A70D25" w:rsidR="00FD6DCC" w:rsidRDefault="00FD6DCC" w:rsidP="008A29C9">
      <w:pPr>
        <w:rPr>
          <w:b/>
          <w:bCs/>
          <w:lang w:val="fr-FR"/>
        </w:rPr>
      </w:pPr>
    </w:p>
    <w:p w14:paraId="01B044A6" w14:textId="62463FB0" w:rsidR="009C7594" w:rsidRDefault="009C7594" w:rsidP="008A29C9">
      <w:pPr>
        <w:rPr>
          <w:b/>
          <w:bCs/>
          <w:lang w:val="fr-FR"/>
        </w:rPr>
      </w:pPr>
    </w:p>
    <w:p w14:paraId="3C06234C" w14:textId="5284FBB7" w:rsidR="009C7594" w:rsidRDefault="009C7594" w:rsidP="008A29C9">
      <w:pPr>
        <w:rPr>
          <w:b/>
          <w:bCs/>
          <w:lang w:val="fr-FR"/>
        </w:rPr>
      </w:pPr>
    </w:p>
    <w:p w14:paraId="40B59E1E" w14:textId="77777777" w:rsidR="007E429F" w:rsidRDefault="007E429F" w:rsidP="008A29C9">
      <w:pPr>
        <w:rPr>
          <w:b/>
          <w:bCs/>
          <w:lang w:val="fr-FR"/>
        </w:rPr>
      </w:pPr>
    </w:p>
    <w:p w14:paraId="492FB10F" w14:textId="77777777" w:rsidR="007E429F" w:rsidRDefault="007E429F" w:rsidP="008A29C9">
      <w:pPr>
        <w:rPr>
          <w:b/>
          <w:bCs/>
          <w:lang w:val="fr-FR"/>
        </w:rPr>
      </w:pPr>
    </w:p>
    <w:p w14:paraId="106BA8F4" w14:textId="77777777" w:rsidR="00680D65" w:rsidRDefault="00680D65" w:rsidP="008A29C9">
      <w:pPr>
        <w:rPr>
          <w:b/>
          <w:bCs/>
          <w:lang w:val="fr-FR"/>
        </w:rPr>
      </w:pPr>
    </w:p>
    <w:p w14:paraId="02D4B5A1" w14:textId="77777777" w:rsidR="00680D65" w:rsidRDefault="00680D65" w:rsidP="008A29C9">
      <w:pPr>
        <w:rPr>
          <w:b/>
          <w:bCs/>
          <w:lang w:val="fr-FR"/>
        </w:rPr>
      </w:pPr>
    </w:p>
    <w:p w14:paraId="39B339FF" w14:textId="77777777" w:rsidR="00680D65" w:rsidRDefault="00680D65" w:rsidP="008A29C9">
      <w:pPr>
        <w:rPr>
          <w:b/>
          <w:bCs/>
          <w:lang w:val="fr-FR"/>
        </w:rPr>
      </w:pPr>
    </w:p>
    <w:p w14:paraId="34E1A1A0" w14:textId="77777777" w:rsidR="00680D65" w:rsidRDefault="00680D65" w:rsidP="008A29C9">
      <w:pPr>
        <w:rPr>
          <w:b/>
          <w:bCs/>
          <w:lang w:val="fr-FR"/>
        </w:rPr>
      </w:pPr>
    </w:p>
    <w:p w14:paraId="52B984E7" w14:textId="77777777" w:rsidR="009C7594" w:rsidRDefault="009C7594" w:rsidP="008A29C9">
      <w:pPr>
        <w:rPr>
          <w:b/>
          <w:bCs/>
          <w:lang w:val="fr-FR"/>
        </w:rPr>
      </w:pPr>
    </w:p>
    <w:p w14:paraId="4FED7477" w14:textId="77777777" w:rsidR="00D167F8" w:rsidRDefault="00D167F8" w:rsidP="008A29C9">
      <w:pPr>
        <w:rPr>
          <w:b/>
          <w:bCs/>
          <w:lang w:val="fr-FR"/>
        </w:rPr>
      </w:pPr>
    </w:p>
    <w:p w14:paraId="4F170B2B" w14:textId="77777777" w:rsidR="00A060D8" w:rsidRDefault="00A060D8" w:rsidP="008A29C9">
      <w:pPr>
        <w:rPr>
          <w:b/>
          <w:bCs/>
          <w:lang w:val="fr-FR"/>
        </w:rPr>
      </w:pPr>
    </w:p>
    <w:p w14:paraId="382599BA" w14:textId="00CC7815" w:rsidR="008A29C9" w:rsidRPr="00305DC2" w:rsidRDefault="008A29C9" w:rsidP="008A29C9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fr-FR"/>
        </w:rPr>
      </w:pPr>
      <w:r w:rsidRPr="00305DC2">
        <w:rPr>
          <w:b/>
          <w:bCs/>
          <w:sz w:val="28"/>
          <w:szCs w:val="28"/>
          <w:lang w:val="fr-FR"/>
        </w:rPr>
        <w:lastRenderedPageBreak/>
        <w:t>Introduction</w:t>
      </w:r>
    </w:p>
    <w:p w14:paraId="1AAF92AA" w14:textId="30DB1D7B" w:rsidR="008A29C9" w:rsidRPr="00FD0EFA" w:rsidRDefault="008A29C9" w:rsidP="00FD0EFA">
      <w:pPr>
        <w:jc w:val="both"/>
        <w:rPr>
          <w:sz w:val="24"/>
          <w:szCs w:val="24"/>
          <w:lang w:val="fr-FR"/>
        </w:rPr>
      </w:pPr>
      <w:r w:rsidRPr="00FD6DCC">
        <w:rPr>
          <w:sz w:val="24"/>
          <w:szCs w:val="24"/>
          <w:lang w:val="fr-FR"/>
        </w:rPr>
        <w:t>L’objectif de la présente étude est de produire un indicateur d’</w:t>
      </w:r>
      <w:r w:rsidR="00A060D8" w:rsidRPr="00FD6DCC">
        <w:rPr>
          <w:sz w:val="24"/>
          <w:szCs w:val="24"/>
          <w:lang w:val="fr-FR"/>
        </w:rPr>
        <w:t>A</w:t>
      </w:r>
      <w:r w:rsidRPr="00FD6DCC">
        <w:rPr>
          <w:sz w:val="24"/>
          <w:szCs w:val="24"/>
          <w:lang w:val="fr-FR"/>
        </w:rPr>
        <w:t xml:space="preserve">ccessibilité </w:t>
      </w:r>
      <w:r w:rsidR="00A060D8" w:rsidRPr="00FD6DCC">
        <w:rPr>
          <w:sz w:val="24"/>
          <w:szCs w:val="24"/>
          <w:lang w:val="fr-FR"/>
        </w:rPr>
        <w:t>P</w:t>
      </w:r>
      <w:r w:rsidRPr="00FD6DCC">
        <w:rPr>
          <w:sz w:val="24"/>
          <w:szCs w:val="24"/>
          <w:lang w:val="fr-FR"/>
        </w:rPr>
        <w:t xml:space="preserve">otentielle </w:t>
      </w:r>
      <w:r w:rsidR="00A060D8" w:rsidRPr="00FD6DCC">
        <w:rPr>
          <w:sz w:val="24"/>
          <w:szCs w:val="24"/>
          <w:lang w:val="fr-FR"/>
        </w:rPr>
        <w:t>L</w:t>
      </w:r>
      <w:r w:rsidRPr="00FD6DCC">
        <w:rPr>
          <w:sz w:val="24"/>
          <w:szCs w:val="24"/>
          <w:lang w:val="fr-FR"/>
        </w:rPr>
        <w:t xml:space="preserve">ocalisée (APL) </w:t>
      </w:r>
      <w:r w:rsidR="009B2A41">
        <w:rPr>
          <w:sz w:val="24"/>
          <w:szCs w:val="24"/>
          <w:lang w:val="fr-FR"/>
        </w:rPr>
        <w:t>pour les</w:t>
      </w:r>
      <w:r w:rsidR="00FD0EFA">
        <w:rPr>
          <w:sz w:val="24"/>
          <w:szCs w:val="24"/>
          <w:lang w:val="fr-FR"/>
        </w:rPr>
        <w:t xml:space="preserve"> médecin</w:t>
      </w:r>
      <w:r w:rsidR="009B2A41">
        <w:rPr>
          <w:sz w:val="24"/>
          <w:szCs w:val="24"/>
          <w:lang w:val="fr-FR"/>
        </w:rPr>
        <w:t>s</w:t>
      </w:r>
      <w:r w:rsidR="00FD0EFA">
        <w:rPr>
          <w:sz w:val="24"/>
          <w:szCs w:val="24"/>
          <w:lang w:val="fr-FR"/>
        </w:rPr>
        <w:t xml:space="preserve"> généraliste</w:t>
      </w:r>
      <w:r w:rsidR="009B2A41">
        <w:rPr>
          <w:sz w:val="24"/>
          <w:szCs w:val="24"/>
          <w:lang w:val="fr-FR"/>
        </w:rPr>
        <w:t>s</w:t>
      </w:r>
      <w:r w:rsidR="00FD0EFA">
        <w:rPr>
          <w:sz w:val="24"/>
          <w:szCs w:val="24"/>
          <w:lang w:val="fr-FR"/>
        </w:rPr>
        <w:t xml:space="preserve"> au niveau IRIS. Cet indicateur largement utilisé pour qualifier l’accessibilité aux soins d’un territoire n’a jamais été produit à un niveau infra-communal. Dans ce cadre, l’EUR ELMI dispose donc d’un</w:t>
      </w:r>
      <w:r w:rsidR="0071564B">
        <w:rPr>
          <w:sz w:val="24"/>
          <w:szCs w:val="24"/>
          <w:lang w:val="fr-FR"/>
        </w:rPr>
        <w:t xml:space="preserve"> indicateur</w:t>
      </w:r>
      <w:r w:rsidR="00FD0EFA">
        <w:rPr>
          <w:sz w:val="24"/>
          <w:szCs w:val="24"/>
          <w:lang w:val="fr-FR"/>
        </w:rPr>
        <w:t xml:space="preserve"> unique. </w:t>
      </w:r>
    </w:p>
    <w:p w14:paraId="4B1B2292" w14:textId="78A94D05" w:rsidR="003D46A9" w:rsidRPr="00305DC2" w:rsidRDefault="003D46A9" w:rsidP="008A29C9">
      <w:pPr>
        <w:pStyle w:val="Paragraphedeliste"/>
        <w:numPr>
          <w:ilvl w:val="0"/>
          <w:numId w:val="11"/>
        </w:numPr>
        <w:rPr>
          <w:b/>
          <w:bCs/>
          <w:sz w:val="28"/>
          <w:szCs w:val="28"/>
          <w:lang w:val="fr-FR"/>
        </w:rPr>
      </w:pPr>
      <w:r w:rsidRPr="00305DC2">
        <w:rPr>
          <w:b/>
          <w:bCs/>
          <w:sz w:val="28"/>
          <w:szCs w:val="28"/>
          <w:lang w:val="fr-FR"/>
        </w:rPr>
        <w:t>Bases de données mobilisées</w:t>
      </w:r>
    </w:p>
    <w:p w14:paraId="20EB29A4" w14:textId="77777777" w:rsidR="008A29C9" w:rsidRPr="008A29C9" w:rsidRDefault="008A29C9" w:rsidP="008A29C9">
      <w:pPr>
        <w:pStyle w:val="Paragraphedeliste"/>
        <w:rPr>
          <w:b/>
          <w:bCs/>
          <w:lang w:val="fr-FR"/>
        </w:rPr>
      </w:pPr>
    </w:p>
    <w:p w14:paraId="5E43CDDD" w14:textId="76228896" w:rsidR="00E61C82" w:rsidRPr="00FD6DCC" w:rsidRDefault="00E61C82" w:rsidP="0091372B">
      <w:pPr>
        <w:jc w:val="both"/>
        <w:rPr>
          <w:sz w:val="24"/>
          <w:szCs w:val="24"/>
          <w:lang w:val="fr-FR"/>
        </w:rPr>
      </w:pPr>
      <w:r w:rsidRPr="00FD6DCC">
        <w:rPr>
          <w:sz w:val="24"/>
          <w:szCs w:val="24"/>
          <w:lang w:val="fr-FR"/>
        </w:rPr>
        <w:t xml:space="preserve">Dans cette section, nous décrivons l’ensemble des sources de données mobilisées par </w:t>
      </w:r>
      <w:r w:rsidR="00FD0EFA">
        <w:rPr>
          <w:sz w:val="24"/>
          <w:szCs w:val="24"/>
          <w:lang w:val="fr-FR"/>
        </w:rPr>
        <w:t xml:space="preserve">BMDS Consulting EI </w:t>
      </w:r>
      <w:r w:rsidRPr="00FD6DCC">
        <w:rPr>
          <w:sz w:val="24"/>
          <w:szCs w:val="24"/>
          <w:lang w:val="fr-FR"/>
        </w:rPr>
        <w:t>pour produire un indicateur fiable.</w:t>
      </w:r>
    </w:p>
    <w:p w14:paraId="6B9612C6" w14:textId="61065E75" w:rsidR="000B6945" w:rsidRDefault="00610C3E" w:rsidP="00F948CC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FD6DCC">
        <w:rPr>
          <w:b/>
          <w:bCs/>
          <w:i/>
          <w:iCs/>
          <w:sz w:val="24"/>
          <w:szCs w:val="24"/>
          <w:lang w:val="fr-FR"/>
        </w:rPr>
        <w:t xml:space="preserve">Pour l’offre de </w:t>
      </w:r>
      <w:proofErr w:type="gramStart"/>
      <w:r w:rsidRPr="00FD6DCC">
        <w:rPr>
          <w:b/>
          <w:bCs/>
          <w:i/>
          <w:iCs/>
          <w:sz w:val="24"/>
          <w:szCs w:val="24"/>
          <w:lang w:val="fr-FR"/>
        </w:rPr>
        <w:t>soin</w:t>
      </w:r>
      <w:r w:rsidR="00A060D8" w:rsidRPr="00FD6DCC">
        <w:rPr>
          <w:b/>
          <w:bCs/>
          <w:i/>
          <w:iCs/>
          <w:sz w:val="24"/>
          <w:szCs w:val="24"/>
          <w:lang w:val="fr-FR"/>
        </w:rPr>
        <w:t>s</w:t>
      </w:r>
      <w:r w:rsidRPr="00FD6DCC">
        <w:rPr>
          <w:sz w:val="24"/>
          <w:szCs w:val="24"/>
          <w:lang w:val="fr-FR"/>
        </w:rPr>
        <w:t>:</w:t>
      </w:r>
      <w:proofErr w:type="gramEnd"/>
      <w:r w:rsidRPr="00FD6DCC">
        <w:rPr>
          <w:sz w:val="24"/>
          <w:szCs w:val="24"/>
          <w:lang w:val="fr-FR"/>
        </w:rPr>
        <w:t xml:space="preserve"> la CPAM met à disposition chaque mois sur DATA.GOUV </w:t>
      </w:r>
      <w:r w:rsidR="00BC2B27" w:rsidRPr="00FD6DCC">
        <w:rPr>
          <w:b/>
          <w:bCs/>
          <w:sz w:val="24"/>
          <w:szCs w:val="24"/>
          <w:lang w:val="fr-FR"/>
        </w:rPr>
        <w:t>une</w:t>
      </w:r>
      <w:r w:rsidRPr="00FD6DCC">
        <w:rPr>
          <w:b/>
          <w:bCs/>
          <w:sz w:val="24"/>
          <w:szCs w:val="24"/>
          <w:lang w:val="fr-FR"/>
        </w:rPr>
        <w:t xml:space="preserve"> base de données sur les tarifs des professionnels de santé libéraux</w:t>
      </w:r>
      <w:r w:rsidRPr="00FD6DCC">
        <w:rPr>
          <w:sz w:val="24"/>
          <w:szCs w:val="24"/>
          <w:lang w:val="fr-FR"/>
        </w:rPr>
        <w:t xml:space="preserve">. Cette base recense </w:t>
      </w:r>
      <w:r w:rsidR="00BC2B27" w:rsidRPr="00FD6DCC">
        <w:rPr>
          <w:sz w:val="24"/>
          <w:szCs w:val="24"/>
          <w:lang w:val="fr-FR"/>
        </w:rPr>
        <w:t>l’ensemble des professionnels de santé (extraction de l’annuaire AMELI.fr) ainsi que l’ensemble des actes médicaux effectués. Pour cette étude, nous avons mobilisé les informations fournies par la CPAM d</w:t>
      </w:r>
      <w:r w:rsidR="00FD0EFA">
        <w:rPr>
          <w:sz w:val="24"/>
          <w:szCs w:val="24"/>
          <w:lang w:val="fr-FR"/>
        </w:rPr>
        <w:t>e mai</w:t>
      </w:r>
      <w:r w:rsidR="00BC2B27" w:rsidRPr="00FD6DCC">
        <w:rPr>
          <w:sz w:val="24"/>
          <w:szCs w:val="24"/>
          <w:lang w:val="fr-FR"/>
        </w:rPr>
        <w:t xml:space="preserve"> 202</w:t>
      </w:r>
      <w:r w:rsidR="00FD0EFA">
        <w:rPr>
          <w:sz w:val="24"/>
          <w:szCs w:val="24"/>
          <w:lang w:val="fr-FR"/>
        </w:rPr>
        <w:t>2</w:t>
      </w:r>
      <w:r w:rsidR="00BC2B27" w:rsidRPr="00FD6DCC">
        <w:rPr>
          <w:sz w:val="24"/>
          <w:szCs w:val="24"/>
          <w:lang w:val="fr-FR"/>
        </w:rPr>
        <w:t xml:space="preserve"> à </w:t>
      </w:r>
      <w:r w:rsidR="00FD0EFA">
        <w:rPr>
          <w:sz w:val="24"/>
          <w:szCs w:val="24"/>
          <w:lang w:val="fr-FR"/>
        </w:rPr>
        <w:t>mai</w:t>
      </w:r>
      <w:r w:rsidR="00BC2B27" w:rsidRPr="00FD6DCC">
        <w:rPr>
          <w:sz w:val="24"/>
          <w:szCs w:val="24"/>
          <w:lang w:val="fr-FR"/>
        </w:rPr>
        <w:t xml:space="preserve"> 202</w:t>
      </w:r>
      <w:r w:rsidR="00FD0EFA">
        <w:rPr>
          <w:sz w:val="24"/>
          <w:szCs w:val="24"/>
          <w:lang w:val="fr-FR"/>
        </w:rPr>
        <w:t>3</w:t>
      </w:r>
      <w:r w:rsidR="008E690E">
        <w:rPr>
          <w:sz w:val="24"/>
          <w:szCs w:val="24"/>
          <w:lang w:val="fr-FR"/>
        </w:rPr>
        <w:t xml:space="preserve"> pour les médecins généralistes.</w:t>
      </w:r>
    </w:p>
    <w:p w14:paraId="4CB16029" w14:textId="1C2B603F" w:rsidR="00425B67" w:rsidRPr="00FD6DCC" w:rsidRDefault="00425B67" w:rsidP="00F948CC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FD6DCC">
        <w:rPr>
          <w:b/>
          <w:bCs/>
          <w:i/>
          <w:iCs/>
          <w:sz w:val="24"/>
          <w:szCs w:val="24"/>
          <w:lang w:val="fr-FR"/>
        </w:rPr>
        <w:t xml:space="preserve">Pour déterminer </w:t>
      </w:r>
      <w:r w:rsidR="00FD0EFA">
        <w:rPr>
          <w:b/>
          <w:bCs/>
          <w:i/>
          <w:iCs/>
          <w:sz w:val="24"/>
          <w:szCs w:val="24"/>
          <w:lang w:val="fr-FR"/>
        </w:rPr>
        <w:t xml:space="preserve">le </w:t>
      </w:r>
      <w:proofErr w:type="spellStart"/>
      <w:r w:rsidR="00FD0EFA">
        <w:rPr>
          <w:b/>
          <w:bCs/>
          <w:i/>
          <w:iCs/>
          <w:sz w:val="24"/>
          <w:szCs w:val="24"/>
          <w:lang w:val="fr-FR"/>
        </w:rPr>
        <w:t>centroid</w:t>
      </w:r>
      <w:proofErr w:type="spellEnd"/>
      <w:r w:rsidR="00FD0EFA">
        <w:rPr>
          <w:b/>
          <w:bCs/>
          <w:i/>
          <w:iCs/>
          <w:sz w:val="24"/>
          <w:szCs w:val="24"/>
          <w:lang w:val="fr-FR"/>
        </w:rPr>
        <w:t xml:space="preserve"> de chaque IRIS</w:t>
      </w:r>
      <w:r w:rsidRPr="00FD6DCC">
        <w:rPr>
          <w:b/>
          <w:bCs/>
          <w:i/>
          <w:iCs/>
          <w:sz w:val="24"/>
          <w:szCs w:val="24"/>
          <w:lang w:val="fr-FR"/>
        </w:rPr>
        <w:t> :</w:t>
      </w:r>
      <w:r w:rsidRPr="00FD6DCC">
        <w:rPr>
          <w:sz w:val="24"/>
          <w:szCs w:val="24"/>
          <w:lang w:val="fr-FR"/>
        </w:rPr>
        <w:t xml:space="preserve"> </w:t>
      </w:r>
      <w:r w:rsidR="000B6945">
        <w:rPr>
          <w:sz w:val="24"/>
          <w:szCs w:val="24"/>
          <w:lang w:val="fr-FR"/>
        </w:rPr>
        <w:t>n</w:t>
      </w:r>
      <w:r w:rsidR="00C369B9" w:rsidRPr="00FD6DCC">
        <w:rPr>
          <w:sz w:val="24"/>
          <w:szCs w:val="24"/>
          <w:lang w:val="fr-FR"/>
        </w:rPr>
        <w:t xml:space="preserve">ous avons </w:t>
      </w:r>
      <w:r w:rsidR="008E690E">
        <w:rPr>
          <w:sz w:val="24"/>
          <w:szCs w:val="24"/>
          <w:lang w:val="fr-FR"/>
        </w:rPr>
        <w:t xml:space="preserve">utilisé les coordonnées GPS du chef-lieu pour les iris des communes non irisées et le </w:t>
      </w:r>
      <w:proofErr w:type="spellStart"/>
      <w:r w:rsidR="008E690E">
        <w:rPr>
          <w:sz w:val="24"/>
          <w:szCs w:val="24"/>
          <w:lang w:val="fr-FR"/>
        </w:rPr>
        <w:t>centroid</w:t>
      </w:r>
      <w:proofErr w:type="spellEnd"/>
      <w:r w:rsidR="008E690E">
        <w:rPr>
          <w:sz w:val="24"/>
          <w:szCs w:val="24"/>
          <w:lang w:val="fr-FR"/>
        </w:rPr>
        <w:t xml:space="preserve"> géographique pour les iris des communes irisées. Ces coordonnées ont été obtenu à l’aide de bases de données de l’INSEE (base de données logement) et du logiciel </w:t>
      </w:r>
      <w:proofErr w:type="spellStart"/>
      <w:r w:rsidR="008E690E">
        <w:rPr>
          <w:sz w:val="24"/>
          <w:szCs w:val="24"/>
          <w:lang w:val="fr-FR"/>
        </w:rPr>
        <w:t>Geoda</w:t>
      </w:r>
      <w:proofErr w:type="spellEnd"/>
      <w:r w:rsidR="008E690E">
        <w:rPr>
          <w:sz w:val="24"/>
          <w:szCs w:val="24"/>
          <w:lang w:val="fr-FR"/>
        </w:rPr>
        <w:t xml:space="preserve">. </w:t>
      </w:r>
    </w:p>
    <w:p w14:paraId="6FEE976C" w14:textId="4635C0AA" w:rsidR="00F948CC" w:rsidRPr="00FD0EFA" w:rsidRDefault="00F948CC" w:rsidP="00FD0EFA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FD6DCC">
        <w:rPr>
          <w:b/>
          <w:bCs/>
          <w:i/>
          <w:iCs/>
          <w:sz w:val="24"/>
          <w:szCs w:val="24"/>
          <w:lang w:val="fr-FR"/>
        </w:rPr>
        <w:t xml:space="preserve">Pour déterminer le temps de trajet entre </w:t>
      </w:r>
      <w:r w:rsidR="00FD0EFA">
        <w:rPr>
          <w:b/>
          <w:bCs/>
          <w:i/>
          <w:iCs/>
          <w:sz w:val="24"/>
          <w:szCs w:val="24"/>
          <w:lang w:val="fr-FR"/>
        </w:rPr>
        <w:t>chaque IRIS</w:t>
      </w:r>
      <w:r w:rsidRPr="00FD6DCC">
        <w:rPr>
          <w:b/>
          <w:bCs/>
          <w:i/>
          <w:iCs/>
          <w:sz w:val="24"/>
          <w:szCs w:val="24"/>
          <w:lang w:val="fr-FR"/>
        </w:rPr>
        <w:t> :</w:t>
      </w:r>
      <w:r w:rsidRPr="00FD6DCC">
        <w:rPr>
          <w:sz w:val="24"/>
          <w:szCs w:val="24"/>
          <w:lang w:val="fr-FR"/>
        </w:rPr>
        <w:t xml:space="preserve"> </w:t>
      </w:r>
      <w:r w:rsidR="00FD0EFA" w:rsidRPr="00FD6DCC">
        <w:rPr>
          <w:b/>
          <w:bCs/>
          <w:i/>
          <w:iCs/>
          <w:sz w:val="24"/>
          <w:szCs w:val="24"/>
          <w:lang w:val="fr-FR"/>
        </w:rPr>
        <w:t>:</w:t>
      </w:r>
      <w:r w:rsidR="00FD0EFA" w:rsidRPr="00FD6DCC">
        <w:rPr>
          <w:sz w:val="24"/>
          <w:szCs w:val="24"/>
          <w:lang w:val="fr-FR"/>
        </w:rPr>
        <w:t xml:space="preserve"> </w:t>
      </w:r>
      <w:r w:rsidR="00FD0EFA">
        <w:rPr>
          <w:sz w:val="24"/>
          <w:szCs w:val="24"/>
          <w:lang w:val="fr-FR"/>
        </w:rPr>
        <w:t>n</w:t>
      </w:r>
      <w:r w:rsidR="00FD0EFA" w:rsidRPr="00FD6DCC">
        <w:rPr>
          <w:sz w:val="24"/>
          <w:szCs w:val="24"/>
          <w:lang w:val="fr-FR"/>
        </w:rPr>
        <w:t xml:space="preserve">ous avons </w:t>
      </w:r>
      <w:r w:rsidR="00FD0EFA">
        <w:rPr>
          <w:sz w:val="24"/>
          <w:szCs w:val="24"/>
          <w:lang w:val="fr-FR"/>
        </w:rPr>
        <w:t xml:space="preserve">développé un code Python et </w:t>
      </w:r>
      <w:r w:rsidR="00FD0EFA" w:rsidRPr="00FD6DCC">
        <w:rPr>
          <w:sz w:val="24"/>
          <w:szCs w:val="24"/>
          <w:lang w:val="fr-FR"/>
        </w:rPr>
        <w:t>utilisé l</w:t>
      </w:r>
      <w:r w:rsidR="00FD0EFA">
        <w:rPr>
          <w:sz w:val="24"/>
          <w:szCs w:val="24"/>
          <w:lang w:val="fr-FR"/>
        </w:rPr>
        <w:t xml:space="preserve">’API </w:t>
      </w:r>
      <w:proofErr w:type="spellStart"/>
      <w:r w:rsidR="00FD0EFA">
        <w:rPr>
          <w:sz w:val="24"/>
          <w:szCs w:val="24"/>
          <w:lang w:val="fr-FR"/>
        </w:rPr>
        <w:t>GoogleMaps</w:t>
      </w:r>
      <w:proofErr w:type="spellEnd"/>
      <w:r w:rsidR="00FD0EFA">
        <w:rPr>
          <w:sz w:val="24"/>
          <w:szCs w:val="24"/>
          <w:lang w:val="fr-FR"/>
        </w:rPr>
        <w:t xml:space="preserve"> </w:t>
      </w:r>
      <w:r w:rsidR="008E690E">
        <w:rPr>
          <w:sz w:val="24"/>
          <w:szCs w:val="24"/>
          <w:lang w:val="fr-FR"/>
        </w:rPr>
        <w:t xml:space="preserve">pour obtenir </w:t>
      </w:r>
      <w:r w:rsidRPr="00FD0EFA">
        <w:rPr>
          <w:sz w:val="24"/>
          <w:szCs w:val="24"/>
          <w:lang w:val="fr-FR"/>
        </w:rPr>
        <w:t>la distance en</w:t>
      </w:r>
      <w:r w:rsidR="000B6945" w:rsidRPr="00FD0EFA">
        <w:rPr>
          <w:sz w:val="24"/>
          <w:szCs w:val="24"/>
          <w:lang w:val="fr-FR"/>
        </w:rPr>
        <w:t xml:space="preserve"> kilomètres</w:t>
      </w:r>
      <w:r w:rsidRPr="00FD0EFA">
        <w:rPr>
          <w:sz w:val="24"/>
          <w:szCs w:val="24"/>
          <w:lang w:val="fr-FR"/>
        </w:rPr>
        <w:t xml:space="preserve"> </w:t>
      </w:r>
      <w:r w:rsidR="008E690E">
        <w:rPr>
          <w:sz w:val="24"/>
          <w:szCs w:val="24"/>
          <w:lang w:val="fr-FR"/>
        </w:rPr>
        <w:t>et</w:t>
      </w:r>
      <w:r w:rsidRPr="00FD0EFA">
        <w:rPr>
          <w:sz w:val="24"/>
          <w:szCs w:val="24"/>
          <w:lang w:val="fr-FR"/>
        </w:rPr>
        <w:t xml:space="preserve"> le temps de trajet en voiture</w:t>
      </w:r>
      <w:r w:rsidR="00FD0EFA">
        <w:rPr>
          <w:sz w:val="24"/>
          <w:szCs w:val="24"/>
          <w:lang w:val="fr-FR"/>
        </w:rPr>
        <w:t xml:space="preserve"> entre le </w:t>
      </w:r>
      <w:proofErr w:type="spellStart"/>
      <w:r w:rsidR="00FD0EFA">
        <w:rPr>
          <w:sz w:val="24"/>
          <w:szCs w:val="24"/>
          <w:lang w:val="fr-FR"/>
        </w:rPr>
        <w:t>centroid</w:t>
      </w:r>
      <w:proofErr w:type="spellEnd"/>
      <w:r w:rsidR="00FD0EFA">
        <w:rPr>
          <w:sz w:val="24"/>
          <w:szCs w:val="24"/>
          <w:lang w:val="fr-FR"/>
        </w:rPr>
        <w:t xml:space="preserve"> de chaque IRIS</w:t>
      </w:r>
      <w:r w:rsidRPr="00FD0EFA">
        <w:rPr>
          <w:sz w:val="24"/>
          <w:szCs w:val="24"/>
          <w:lang w:val="fr-FR"/>
        </w:rPr>
        <w:t xml:space="preserve">. </w:t>
      </w:r>
    </w:p>
    <w:p w14:paraId="21C93115" w14:textId="2243200A" w:rsidR="00F478AF" w:rsidRPr="00FD6DCC" w:rsidRDefault="00F478AF" w:rsidP="00425B67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FD6DCC">
        <w:rPr>
          <w:b/>
          <w:bCs/>
          <w:i/>
          <w:iCs/>
          <w:sz w:val="24"/>
          <w:szCs w:val="24"/>
          <w:lang w:val="fr-FR"/>
        </w:rPr>
        <w:t>Pour déterminer les besoins en soins de santé </w:t>
      </w:r>
      <w:r w:rsidR="00FD0EFA">
        <w:rPr>
          <w:b/>
          <w:bCs/>
          <w:i/>
          <w:iCs/>
          <w:sz w:val="24"/>
          <w:szCs w:val="24"/>
          <w:lang w:val="fr-FR"/>
        </w:rPr>
        <w:t>en fonction de l’âge</w:t>
      </w:r>
      <w:r w:rsidR="00FD0EFA" w:rsidRPr="00FD6DCC">
        <w:rPr>
          <w:b/>
          <w:bCs/>
          <w:i/>
          <w:iCs/>
          <w:sz w:val="24"/>
          <w:szCs w:val="24"/>
          <w:lang w:val="fr-FR"/>
        </w:rPr>
        <w:t xml:space="preserve"> :</w:t>
      </w:r>
      <w:r w:rsidRPr="00FD6DCC">
        <w:rPr>
          <w:sz w:val="24"/>
          <w:szCs w:val="24"/>
          <w:lang w:val="fr-FR"/>
        </w:rPr>
        <w:t xml:space="preserve"> </w:t>
      </w:r>
      <w:r w:rsidR="000B6945">
        <w:rPr>
          <w:sz w:val="24"/>
          <w:szCs w:val="24"/>
          <w:lang w:val="fr-FR"/>
        </w:rPr>
        <w:t>n</w:t>
      </w:r>
      <w:r w:rsidRPr="00FD6DCC">
        <w:rPr>
          <w:sz w:val="24"/>
          <w:szCs w:val="24"/>
          <w:lang w:val="fr-FR"/>
        </w:rPr>
        <w:t>ous avons utilisé la base de données OPEN DAMIR</w:t>
      </w:r>
      <w:r w:rsidR="000B6945">
        <w:rPr>
          <w:sz w:val="24"/>
          <w:szCs w:val="24"/>
          <w:lang w:val="fr-FR"/>
        </w:rPr>
        <w:t> </w:t>
      </w:r>
      <w:r w:rsidRPr="00FD6DCC">
        <w:rPr>
          <w:sz w:val="24"/>
          <w:szCs w:val="24"/>
          <w:lang w:val="fr-FR"/>
        </w:rPr>
        <w:t>20</w:t>
      </w:r>
      <w:r w:rsidR="00FD0EFA">
        <w:rPr>
          <w:sz w:val="24"/>
          <w:szCs w:val="24"/>
          <w:lang w:val="fr-FR"/>
        </w:rPr>
        <w:t>21</w:t>
      </w:r>
      <w:r w:rsidRPr="00FD6DCC">
        <w:rPr>
          <w:sz w:val="24"/>
          <w:szCs w:val="24"/>
          <w:lang w:val="fr-FR"/>
        </w:rPr>
        <w:t xml:space="preserve"> pour analyser les besoins de consultation en fonction de l’âge des patients. </w:t>
      </w:r>
      <w:r w:rsidR="00A060D8" w:rsidRPr="00FD6DCC">
        <w:rPr>
          <w:sz w:val="24"/>
          <w:szCs w:val="24"/>
          <w:lang w:val="fr-FR"/>
        </w:rPr>
        <w:t xml:space="preserve">Cette base recense l’ensemble des remboursements effectués par l’assurance maladie par type d’actes, professionnels de santé et âge des bénéficiaires. </w:t>
      </w:r>
    </w:p>
    <w:p w14:paraId="050752B1" w14:textId="192783CE" w:rsidR="00FD6DCC" w:rsidRDefault="00F478AF" w:rsidP="004F2143">
      <w:pPr>
        <w:pStyle w:val="Paragraphedeliste"/>
        <w:numPr>
          <w:ilvl w:val="0"/>
          <w:numId w:val="2"/>
        </w:numPr>
        <w:jc w:val="both"/>
        <w:rPr>
          <w:sz w:val="24"/>
          <w:szCs w:val="24"/>
          <w:lang w:val="fr-FR"/>
        </w:rPr>
      </w:pPr>
      <w:r w:rsidRPr="00FD6DCC">
        <w:rPr>
          <w:b/>
          <w:bCs/>
          <w:i/>
          <w:iCs/>
          <w:sz w:val="24"/>
          <w:szCs w:val="24"/>
          <w:lang w:val="fr-FR"/>
        </w:rPr>
        <w:t xml:space="preserve">Pour déterminer la structure de la population de chaque </w:t>
      </w:r>
      <w:r w:rsidR="008E690E">
        <w:rPr>
          <w:b/>
          <w:bCs/>
          <w:i/>
          <w:iCs/>
          <w:sz w:val="24"/>
          <w:szCs w:val="24"/>
          <w:lang w:val="fr-FR"/>
        </w:rPr>
        <w:t>iris</w:t>
      </w:r>
      <w:r w:rsidRPr="00FD6DCC">
        <w:rPr>
          <w:b/>
          <w:bCs/>
          <w:i/>
          <w:iCs/>
          <w:sz w:val="24"/>
          <w:szCs w:val="24"/>
          <w:lang w:val="fr-FR"/>
        </w:rPr>
        <w:t> :</w:t>
      </w:r>
      <w:r w:rsidRPr="00FD6DCC">
        <w:rPr>
          <w:sz w:val="24"/>
          <w:szCs w:val="24"/>
          <w:lang w:val="fr-FR"/>
        </w:rPr>
        <w:t xml:space="preserve"> </w:t>
      </w:r>
      <w:r w:rsidR="000B6945">
        <w:rPr>
          <w:sz w:val="24"/>
          <w:szCs w:val="24"/>
          <w:lang w:val="fr-FR"/>
        </w:rPr>
        <w:t>n</w:t>
      </w:r>
      <w:r w:rsidRPr="00FD6DCC">
        <w:rPr>
          <w:sz w:val="24"/>
          <w:szCs w:val="24"/>
          <w:lang w:val="fr-FR"/>
        </w:rPr>
        <w:t xml:space="preserve">ous avons utilisé les données du dernier recensement </w:t>
      </w:r>
      <w:r w:rsidR="00A060D8" w:rsidRPr="00FD6DCC">
        <w:rPr>
          <w:sz w:val="24"/>
          <w:szCs w:val="24"/>
          <w:lang w:val="fr-FR"/>
        </w:rPr>
        <w:t xml:space="preserve">de la population </w:t>
      </w:r>
      <w:r w:rsidRPr="00FD6DCC">
        <w:rPr>
          <w:sz w:val="24"/>
          <w:szCs w:val="24"/>
          <w:lang w:val="fr-FR"/>
        </w:rPr>
        <w:t>disponible (</w:t>
      </w:r>
      <w:r w:rsidR="007E429F">
        <w:rPr>
          <w:sz w:val="24"/>
          <w:szCs w:val="24"/>
          <w:lang w:val="fr-FR"/>
        </w:rPr>
        <w:t xml:space="preserve">INSEE, </w:t>
      </w:r>
      <w:r w:rsidRPr="00FD6DCC">
        <w:rPr>
          <w:sz w:val="24"/>
          <w:szCs w:val="24"/>
          <w:lang w:val="fr-FR"/>
        </w:rPr>
        <w:t>201</w:t>
      </w:r>
      <w:r w:rsidR="008E690E">
        <w:rPr>
          <w:sz w:val="24"/>
          <w:szCs w:val="24"/>
          <w:lang w:val="fr-FR"/>
        </w:rPr>
        <w:t>9</w:t>
      </w:r>
      <w:r w:rsidRPr="00FD6DCC">
        <w:rPr>
          <w:sz w:val="24"/>
          <w:szCs w:val="24"/>
          <w:lang w:val="fr-FR"/>
        </w:rPr>
        <w:t xml:space="preserve">). </w:t>
      </w:r>
    </w:p>
    <w:p w14:paraId="746AC943" w14:textId="77777777" w:rsidR="00FD6DCC" w:rsidRPr="00FD6DCC" w:rsidRDefault="00FD6DCC" w:rsidP="00FD6DCC">
      <w:pPr>
        <w:pStyle w:val="Paragraphedeliste"/>
        <w:jc w:val="both"/>
        <w:rPr>
          <w:sz w:val="24"/>
          <w:szCs w:val="24"/>
          <w:lang w:val="fr-FR"/>
        </w:rPr>
      </w:pPr>
    </w:p>
    <w:p w14:paraId="46497319" w14:textId="4084FB96" w:rsidR="008E690E" w:rsidRPr="008E690E" w:rsidRDefault="004F2143" w:rsidP="008E690E">
      <w:pPr>
        <w:pStyle w:val="Paragraphedeliste"/>
        <w:numPr>
          <w:ilvl w:val="0"/>
          <w:numId w:val="11"/>
        </w:numPr>
        <w:jc w:val="both"/>
        <w:rPr>
          <w:b/>
          <w:bCs/>
          <w:sz w:val="28"/>
          <w:szCs w:val="28"/>
          <w:lang w:val="fr-FR"/>
        </w:rPr>
      </w:pPr>
      <w:r w:rsidRPr="008E690E">
        <w:rPr>
          <w:b/>
          <w:bCs/>
          <w:sz w:val="28"/>
          <w:szCs w:val="28"/>
          <w:lang w:val="fr-FR"/>
        </w:rPr>
        <w:t>Méthodologie de calcul de l’APL</w:t>
      </w:r>
    </w:p>
    <w:p w14:paraId="30C46498" w14:textId="4C8874D1" w:rsidR="00207FE3" w:rsidRPr="00FD6DCC" w:rsidRDefault="00207FE3" w:rsidP="004F2143">
      <w:pPr>
        <w:jc w:val="both"/>
        <w:rPr>
          <w:rFonts w:cstheme="minorHAnsi"/>
          <w:sz w:val="24"/>
          <w:szCs w:val="24"/>
          <w:lang w:val="fr-FR"/>
        </w:rPr>
      </w:pPr>
      <w:r w:rsidRPr="00FD6DCC">
        <w:rPr>
          <w:rFonts w:cstheme="minorHAnsi"/>
          <w:sz w:val="24"/>
          <w:szCs w:val="24"/>
          <w:lang w:val="fr-FR"/>
        </w:rPr>
        <w:t xml:space="preserve">Nous présentons ci-dessous une définition formelle de l’indicateur </w:t>
      </w:r>
      <w:r w:rsidR="00305DC2" w:rsidRPr="00FD6DCC">
        <w:rPr>
          <w:rFonts w:cstheme="minorHAnsi"/>
          <w:sz w:val="24"/>
          <w:szCs w:val="24"/>
          <w:lang w:val="fr-FR"/>
        </w:rPr>
        <w:t>d’</w:t>
      </w:r>
      <w:r w:rsidRPr="00FD6DCC">
        <w:rPr>
          <w:rFonts w:cstheme="minorHAnsi"/>
          <w:sz w:val="24"/>
          <w:szCs w:val="24"/>
          <w:lang w:val="fr-FR"/>
        </w:rPr>
        <w:t xml:space="preserve">APL </w:t>
      </w:r>
      <w:r w:rsidR="007862A6">
        <w:rPr>
          <w:rFonts w:cstheme="minorHAnsi"/>
          <w:sz w:val="24"/>
          <w:szCs w:val="24"/>
          <w:lang w:val="fr-FR"/>
        </w:rPr>
        <w:t xml:space="preserve">développé </w:t>
      </w:r>
      <w:r w:rsidRPr="00FD6DCC">
        <w:rPr>
          <w:rFonts w:cstheme="minorHAnsi"/>
          <w:sz w:val="24"/>
          <w:szCs w:val="24"/>
          <w:lang w:val="fr-FR"/>
        </w:rPr>
        <w:t>qui se calcule en deux étapes :</w:t>
      </w:r>
    </w:p>
    <w:p w14:paraId="3C400022" w14:textId="1AD93D28" w:rsidR="00207FE3" w:rsidRPr="00FD6DCC" w:rsidRDefault="00207FE3" w:rsidP="00207FE3">
      <w:pPr>
        <w:pStyle w:val="Paragraphedeliste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  <w:lang w:val="fr-FR"/>
        </w:rPr>
      </w:pPr>
      <w:r w:rsidRPr="00FD6DCC">
        <w:rPr>
          <w:rFonts w:cstheme="minorHAnsi"/>
          <w:b/>
          <w:bCs/>
          <w:sz w:val="24"/>
          <w:szCs w:val="24"/>
          <w:lang w:val="fr-FR"/>
        </w:rPr>
        <w:t>Identification des zones de patientèles et calcul de densité</w:t>
      </w:r>
    </w:p>
    <w:p w14:paraId="1B0BE3ED" w14:textId="56AFEFAF" w:rsidR="00207FE3" w:rsidRPr="00FD6DCC" w:rsidRDefault="00207FE3" w:rsidP="00BA39CA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Dans un premier temps, on définit une zone de patientèle autour des médecins implantés dans un même </w:t>
      </w:r>
      <w:r w:rsidR="007862A6">
        <w:rPr>
          <w:rFonts w:asciiTheme="minorHAnsi" w:hAnsiTheme="minorHAnsi" w:cstheme="minorHAnsi"/>
          <w:lang w:val="fr-FR"/>
        </w:rPr>
        <w:t>IRIS</w:t>
      </w:r>
      <w:r w:rsidRPr="00FD6DCC">
        <w:rPr>
          <w:rFonts w:asciiTheme="minorHAnsi" w:hAnsiTheme="minorHAnsi" w:cstheme="minorHAnsi"/>
          <w:lang w:val="fr-FR"/>
        </w:rPr>
        <w:t xml:space="preserve">. On détermine ainsi pour chaque </w:t>
      </w:r>
      <w:r w:rsidR="007862A6">
        <w:rPr>
          <w:rFonts w:asciiTheme="minorHAnsi" w:hAnsiTheme="minorHAnsi" w:cstheme="minorHAnsi"/>
          <w:lang w:val="fr-FR"/>
        </w:rPr>
        <w:t>iris</w:t>
      </w:r>
      <w:r w:rsidR="000B6945">
        <w:rPr>
          <w:rFonts w:asciiTheme="minorHAnsi" w:hAnsiTheme="minorHAnsi" w:cstheme="minorHAnsi"/>
          <w:lang w:val="fr-FR"/>
        </w:rPr>
        <w:t xml:space="preserve"> </w:t>
      </w:r>
      <w:r w:rsidRPr="00FD6DCC">
        <w:rPr>
          <w:rFonts w:asciiTheme="minorHAnsi" w:hAnsiTheme="minorHAnsi" w:cstheme="minorHAnsi"/>
          <w:i/>
          <w:iCs/>
          <w:lang w:val="fr-FR"/>
        </w:rPr>
        <w:t xml:space="preserve">j </w:t>
      </w:r>
      <w:r w:rsidRPr="00FD6DCC">
        <w:rPr>
          <w:rFonts w:asciiTheme="minorHAnsi" w:hAnsiTheme="minorHAnsi" w:cstheme="minorHAnsi"/>
          <w:lang w:val="fr-FR"/>
        </w:rPr>
        <w:t xml:space="preserve">d’implantation de médecins, l’ensemble des </w:t>
      </w:r>
      <w:r w:rsidR="007862A6">
        <w:rPr>
          <w:rFonts w:asciiTheme="minorHAnsi" w:hAnsiTheme="minorHAnsi" w:cstheme="minorHAnsi"/>
          <w:lang w:val="fr-FR"/>
        </w:rPr>
        <w:t>iris</w:t>
      </w:r>
      <w:r w:rsidRPr="00FD6DCC">
        <w:rPr>
          <w:rFonts w:asciiTheme="minorHAnsi" w:hAnsiTheme="minorHAnsi" w:cstheme="minorHAnsi"/>
          <w:lang w:val="fr-FR"/>
        </w:rPr>
        <w:t xml:space="preserve"> </w:t>
      </w:r>
      <w:r w:rsidRPr="00FD6DCC">
        <w:rPr>
          <w:rFonts w:asciiTheme="minorHAnsi" w:hAnsiTheme="minorHAnsi" w:cstheme="minorHAnsi"/>
          <w:i/>
          <w:iCs/>
          <w:lang w:val="fr-FR"/>
        </w:rPr>
        <w:t xml:space="preserve">i </w:t>
      </w:r>
      <w:r w:rsidRPr="00FD6DCC">
        <w:rPr>
          <w:rFonts w:asciiTheme="minorHAnsi" w:hAnsiTheme="minorHAnsi" w:cstheme="minorHAnsi"/>
          <w:lang w:val="fr-FR"/>
        </w:rPr>
        <w:t>accessibles avec un déplacement dont l</w:t>
      </w:r>
      <w:r w:rsidR="000E3935" w:rsidRPr="00FD6DCC">
        <w:rPr>
          <w:rFonts w:asciiTheme="minorHAnsi" w:hAnsiTheme="minorHAnsi" w:cstheme="minorHAnsi"/>
          <w:lang w:val="fr-FR"/>
        </w:rPr>
        <w:t>e temps de trajet en voiture</w:t>
      </w:r>
      <w:r w:rsidRPr="00FD6DCC">
        <w:rPr>
          <w:rFonts w:asciiTheme="minorHAnsi" w:hAnsiTheme="minorHAnsi" w:cstheme="minorHAnsi"/>
          <w:lang w:val="fr-FR"/>
        </w:rPr>
        <w:t xml:space="preserve"> est inférieur à un seuil de référence</w:t>
      </w:r>
      <w:bookmarkStart w:id="0" w:name="_Hlk80869821"/>
      <w:r w:rsidR="009438FF">
        <w:rPr>
          <w:rFonts w:asciiTheme="minorHAnsi" w:hAnsiTheme="minorHAnsi" w:cstheme="minorHAnsi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</m:oMath>
      <w:bookmarkEnd w:id="0"/>
      <w:r w:rsidR="000E3935" w:rsidRPr="00FD6DCC">
        <w:rPr>
          <w:rFonts w:asciiTheme="minorHAnsi" w:eastAsiaTheme="minorEastAsia" w:hAnsiTheme="minorHAnsi" w:cstheme="minorHAnsi"/>
          <w:lang w:val="fr-FR"/>
        </w:rPr>
        <w:t xml:space="preserve">. </w:t>
      </w:r>
      <w:r w:rsidRPr="00FD6DCC">
        <w:rPr>
          <w:rFonts w:asciiTheme="minorHAnsi" w:hAnsiTheme="minorHAnsi" w:cstheme="minorHAnsi"/>
          <w:lang w:val="fr-FR"/>
        </w:rPr>
        <w:t xml:space="preserve">On calcule </w:t>
      </w:r>
      <w:r w:rsidR="000E3935" w:rsidRPr="00FD6DCC">
        <w:rPr>
          <w:rFonts w:asciiTheme="minorHAnsi" w:hAnsiTheme="minorHAnsi" w:cstheme="minorHAnsi"/>
          <w:lang w:val="fr-FR"/>
        </w:rPr>
        <w:t>ensuite</w:t>
      </w:r>
      <w:r w:rsidRPr="00FD6DCC">
        <w:rPr>
          <w:rFonts w:asciiTheme="minorHAnsi" w:hAnsiTheme="minorHAnsi" w:cstheme="minorHAnsi"/>
          <w:lang w:val="fr-FR"/>
        </w:rPr>
        <w:t xml:space="preserve"> un ratio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R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j</m:t>
            </m:r>
          </m:sub>
        </m:sSub>
      </m:oMath>
      <w:r w:rsidRPr="00FD6DCC">
        <w:rPr>
          <w:rStyle w:val="A12"/>
          <w:rFonts w:asciiTheme="minorHAnsi" w:hAnsiTheme="minorHAnsi" w:cstheme="minorHAnsi"/>
          <w:color w:val="auto"/>
          <w:sz w:val="24"/>
          <w:szCs w:val="24"/>
          <w:lang w:val="fr-FR"/>
        </w:rPr>
        <w:t xml:space="preserve"> </w:t>
      </w:r>
      <w:r w:rsidRPr="00FD6DCC">
        <w:rPr>
          <w:rFonts w:asciiTheme="minorHAnsi" w:hAnsiTheme="minorHAnsi" w:cstheme="minorHAnsi"/>
          <w:lang w:val="fr-FR"/>
        </w:rPr>
        <w:t xml:space="preserve">qui rapporte l’offre de médecins en </w:t>
      </w:r>
      <w:r w:rsidRPr="00FD6DCC">
        <w:rPr>
          <w:rFonts w:asciiTheme="minorHAnsi" w:hAnsiTheme="minorHAnsi" w:cstheme="minorHAnsi"/>
          <w:i/>
          <w:iCs/>
          <w:lang w:val="fr-FR"/>
        </w:rPr>
        <w:t xml:space="preserve">j </w:t>
      </w:r>
      <w:r w:rsidRPr="00FD6DCC">
        <w:rPr>
          <w:rFonts w:asciiTheme="minorHAnsi" w:hAnsiTheme="minorHAnsi" w:cstheme="minorHAnsi"/>
          <w:lang w:val="fr-FR"/>
        </w:rPr>
        <w:t xml:space="preserve">à la population située dans une aire d’attraction de rayon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</m:oMath>
      <w:r w:rsidRPr="00FD6DCC">
        <w:rPr>
          <w:rStyle w:val="A12"/>
          <w:rFonts w:asciiTheme="minorHAnsi" w:hAnsiTheme="minorHAnsi" w:cstheme="minorHAnsi"/>
          <w:color w:val="auto"/>
          <w:sz w:val="24"/>
          <w:szCs w:val="24"/>
          <w:lang w:val="fr-FR"/>
        </w:rPr>
        <w:t xml:space="preserve"> </w:t>
      </w:r>
      <w:r w:rsidRPr="00FD6DCC">
        <w:rPr>
          <w:rFonts w:asciiTheme="minorHAnsi" w:hAnsiTheme="minorHAnsi" w:cstheme="minorHAnsi"/>
          <w:lang w:val="fr-FR"/>
        </w:rPr>
        <w:t xml:space="preserve">centrée sur </w:t>
      </w:r>
      <w:r w:rsidR="007862A6">
        <w:rPr>
          <w:rFonts w:asciiTheme="minorHAnsi" w:hAnsiTheme="minorHAnsi" w:cstheme="minorHAnsi"/>
          <w:lang w:val="fr-FR"/>
        </w:rPr>
        <w:t>l’iris</w:t>
      </w:r>
      <w:r w:rsidRPr="00FD6DCC">
        <w:rPr>
          <w:rFonts w:asciiTheme="minorHAnsi" w:hAnsiTheme="minorHAnsi" w:cstheme="minorHAnsi"/>
          <w:lang w:val="fr-FR"/>
        </w:rPr>
        <w:t xml:space="preserve"> </w:t>
      </w:r>
      <w:r w:rsidRPr="00FD6DCC">
        <w:rPr>
          <w:rFonts w:asciiTheme="minorHAnsi" w:hAnsiTheme="minorHAnsi" w:cstheme="minorHAnsi"/>
          <w:i/>
          <w:iCs/>
          <w:lang w:val="fr-FR"/>
        </w:rPr>
        <w:t xml:space="preserve">j </w:t>
      </w:r>
      <w:r w:rsidRPr="00FD6DCC">
        <w:rPr>
          <w:rFonts w:asciiTheme="minorHAnsi" w:hAnsiTheme="minorHAnsi" w:cstheme="minorHAnsi"/>
          <w:lang w:val="fr-FR"/>
        </w:rPr>
        <w:t>(zone de patientèle)</w:t>
      </w:r>
      <w:r w:rsidR="00BA39CA" w:rsidRPr="00FD6DCC">
        <w:rPr>
          <w:rFonts w:asciiTheme="minorHAnsi" w:hAnsiTheme="minorHAnsi" w:cstheme="minorHAnsi"/>
          <w:lang w:val="fr-FR"/>
        </w:rPr>
        <w:t> :</w:t>
      </w:r>
    </w:p>
    <w:p w14:paraId="307B79C4" w14:textId="0BFB1B2A" w:rsidR="00BA39CA" w:rsidRPr="00FD6DCC" w:rsidRDefault="00BA39CA" w:rsidP="00BA39C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3B4DCE42" w14:textId="3910922E" w:rsidR="00BA39CA" w:rsidRPr="00FD6DCC" w:rsidRDefault="00000000" w:rsidP="00BA39CA">
      <w:pPr>
        <w:pStyle w:val="Default"/>
        <w:jc w:val="both"/>
        <w:rPr>
          <w:rFonts w:asciiTheme="minorHAnsi" w:hAnsiTheme="minorHAnsi" w:cstheme="minorHAnsi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j</m:t>
              </m:r>
            </m:sub>
          </m:sSub>
          <m:r>
            <w:rPr>
              <w:rFonts w:ascii="Cambria Math" w:hAnsi="Cambria Math" w:cstheme="minorHAnsi"/>
              <w:lang w:val="fr-FR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fr-FR"/>
                    </w:rPr>
                    <m:t>≤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val="fr-FR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d</m:t>
                      </m:r>
                    </m:e>
                  </m:acc>
                </m:sub>
                <m:sup/>
                <m:e>
                  <m:r>
                    <w:rPr>
                      <w:rFonts w:ascii="Cambria Math" w:hAnsi="Cambria Math" w:cstheme="minorHAnsi"/>
                      <w:lang w:val="fr-FR"/>
                    </w:rPr>
                    <m:t>w(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val="fr-FR"/>
                    </w:rPr>
                    <m:t>)×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val="fr-FR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24A169B6" w14:textId="5F614002" w:rsidR="00207FE3" w:rsidRPr="00FD6DCC" w:rsidRDefault="00207FE3" w:rsidP="004F2143">
      <w:pPr>
        <w:jc w:val="both"/>
        <w:rPr>
          <w:rFonts w:cstheme="minorHAnsi"/>
          <w:sz w:val="24"/>
          <w:szCs w:val="24"/>
          <w:lang w:val="fr-FR"/>
        </w:rPr>
      </w:pPr>
    </w:p>
    <w:p w14:paraId="30E18536" w14:textId="566D346D" w:rsidR="00207FE3" w:rsidRPr="00FD6DCC" w:rsidRDefault="00000000" w:rsidP="00933660">
      <w:pPr>
        <w:pStyle w:val="Default"/>
        <w:jc w:val="both"/>
        <w:rPr>
          <w:rFonts w:asciiTheme="minorHAnsi" w:hAnsiTheme="minorHAnsi" w:cstheme="minorHAnsi"/>
          <w:i/>
          <w:iCs/>
          <w:lang w:val="fr-FR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O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j</m:t>
            </m:r>
          </m:sub>
        </m:sSub>
      </m:oMath>
      <w:r w:rsidR="00FB6DA1" w:rsidRPr="00FD6DCC">
        <w:rPr>
          <w:rFonts w:asciiTheme="minorHAnsi" w:eastAsiaTheme="minorEastAsia" w:hAnsiTheme="minorHAnsi" w:cstheme="minorHAnsi"/>
          <w:lang w:val="fr-FR"/>
        </w:rPr>
        <w:t xml:space="preserve"> : </w:t>
      </w:r>
      <w:r w:rsidR="00FB6DA1" w:rsidRPr="00FD6DCC">
        <w:rPr>
          <w:rFonts w:asciiTheme="minorHAnsi" w:hAnsiTheme="minorHAnsi" w:cstheme="minorHAnsi"/>
          <w:lang w:val="fr-FR"/>
        </w:rPr>
        <w:t xml:space="preserve">mesure l’offre de médecins dans </w:t>
      </w:r>
      <w:r w:rsidR="007862A6">
        <w:rPr>
          <w:rFonts w:asciiTheme="minorHAnsi" w:hAnsiTheme="minorHAnsi" w:cstheme="minorHAnsi"/>
          <w:lang w:val="fr-FR"/>
        </w:rPr>
        <w:t>l’iris</w:t>
      </w:r>
      <w:r w:rsidR="00FB6DA1" w:rsidRPr="00FD6DCC">
        <w:rPr>
          <w:rFonts w:asciiTheme="minorHAnsi" w:hAnsiTheme="minorHAnsi" w:cstheme="minorHAnsi"/>
          <w:lang w:val="fr-FR"/>
        </w:rPr>
        <w:t xml:space="preserve"> </w:t>
      </w:r>
      <w:r w:rsidR="00FB6DA1" w:rsidRPr="00FD6DCC">
        <w:rPr>
          <w:rFonts w:asciiTheme="minorHAnsi" w:hAnsiTheme="minorHAnsi" w:cstheme="minorHAnsi"/>
          <w:i/>
          <w:iCs/>
          <w:lang w:val="fr-FR"/>
        </w:rPr>
        <w:t>j (en ETP)</w:t>
      </w:r>
      <w:r w:rsidR="00305DC2" w:rsidRPr="00FD6DCC">
        <w:rPr>
          <w:rStyle w:val="Appelnotedebasdep"/>
          <w:rFonts w:asciiTheme="minorHAnsi" w:hAnsiTheme="minorHAnsi" w:cstheme="minorHAnsi"/>
          <w:i/>
          <w:iCs/>
          <w:lang w:val="fr-FR"/>
        </w:rPr>
        <w:footnoteReference w:id="1"/>
      </w:r>
    </w:p>
    <w:p w14:paraId="67E61125" w14:textId="156CE6A4" w:rsidR="00FB6DA1" w:rsidRPr="00FD6DCC" w:rsidRDefault="00FB6DA1" w:rsidP="00933660">
      <w:pPr>
        <w:pStyle w:val="Default"/>
        <w:jc w:val="both"/>
        <w:rPr>
          <w:rFonts w:asciiTheme="minorHAnsi" w:hAnsiTheme="minorHAnsi" w:cstheme="minorHAnsi"/>
          <w:lang w:val="fr-FR"/>
        </w:rPr>
      </w:pPr>
      <m:oMath>
        <m:r>
          <w:rPr>
            <w:rFonts w:ascii="Cambria Math" w:hAnsi="Cambria Math" w:cstheme="minorHAnsi"/>
            <w:lang w:val="fr-FR"/>
          </w:rPr>
          <m:t>w(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ij</m:t>
            </m:r>
          </m:sub>
        </m:sSub>
        <m:r>
          <w:rPr>
            <w:rFonts w:ascii="Cambria Math" w:hAnsi="Cambria Math" w:cstheme="minorHAnsi"/>
            <w:lang w:val="fr-FR"/>
          </w:rPr>
          <m:t>)</m:t>
        </m:r>
      </m:oMath>
      <w:r w:rsidRPr="00FD6DCC">
        <w:rPr>
          <w:rFonts w:asciiTheme="minorHAnsi" w:eastAsiaTheme="minorEastAsia" w:hAnsiTheme="minorHAnsi" w:cstheme="minorHAnsi"/>
          <w:lang w:val="fr-FR"/>
        </w:rPr>
        <w:t xml:space="preserve"> : </w:t>
      </w:r>
      <w:r w:rsidR="009438FF" w:rsidRPr="00FD6DCC">
        <w:rPr>
          <w:rFonts w:asciiTheme="minorHAnsi" w:hAnsiTheme="minorHAnsi" w:cstheme="minorHAnsi"/>
          <w:lang w:val="fr-FR"/>
        </w:rPr>
        <w:t>Pondération</w:t>
      </w:r>
      <w:r w:rsidRPr="00FD6DCC">
        <w:rPr>
          <w:rFonts w:asciiTheme="minorHAnsi" w:hAnsiTheme="minorHAnsi" w:cstheme="minorHAnsi"/>
          <w:lang w:val="fr-FR"/>
        </w:rPr>
        <w:t xml:space="preserve"> relative </w:t>
      </w:r>
      <w:r w:rsidR="00426C8F" w:rsidRPr="00FD6DCC">
        <w:rPr>
          <w:rFonts w:asciiTheme="minorHAnsi" w:hAnsiTheme="minorHAnsi" w:cstheme="minorHAnsi"/>
          <w:lang w:val="fr-FR"/>
        </w:rPr>
        <w:t xml:space="preserve">au temps de trajet </w:t>
      </w:r>
      <w:r w:rsidR="00C453C9" w:rsidRPr="00FD6DCC">
        <w:rPr>
          <w:rFonts w:asciiTheme="minorHAnsi" w:hAnsiTheme="minorHAnsi" w:cstheme="minorHAnsi"/>
          <w:lang w:val="fr-FR"/>
        </w:rPr>
        <w:t xml:space="preserve">entre </w:t>
      </w:r>
      <w:r w:rsidR="007862A6">
        <w:rPr>
          <w:rFonts w:asciiTheme="minorHAnsi" w:hAnsiTheme="minorHAnsi" w:cstheme="minorHAnsi"/>
          <w:lang w:val="fr-FR"/>
        </w:rPr>
        <w:t>l’iris</w:t>
      </w:r>
      <w:r w:rsidR="00C453C9" w:rsidRPr="00FD6DCC">
        <w:rPr>
          <w:rFonts w:asciiTheme="minorHAnsi" w:hAnsiTheme="minorHAnsi" w:cstheme="minorHAnsi"/>
          <w:lang w:val="fr-FR"/>
        </w:rPr>
        <w:t xml:space="preserve"> i et </w:t>
      </w:r>
      <w:r w:rsidR="007862A6">
        <w:rPr>
          <w:rFonts w:asciiTheme="minorHAnsi" w:hAnsiTheme="minorHAnsi" w:cstheme="minorHAnsi"/>
          <w:lang w:val="fr-FR"/>
        </w:rPr>
        <w:t>l’iris</w:t>
      </w:r>
      <w:r w:rsidR="00C453C9" w:rsidRPr="00FD6DCC">
        <w:rPr>
          <w:rFonts w:asciiTheme="minorHAnsi" w:hAnsiTheme="minorHAnsi" w:cstheme="minorHAnsi"/>
          <w:lang w:val="fr-FR"/>
        </w:rPr>
        <w:t xml:space="preserve"> j</w:t>
      </w:r>
    </w:p>
    <w:p w14:paraId="5A1B6863" w14:textId="5E92487D" w:rsidR="00933660" w:rsidRPr="00FD6DCC" w:rsidRDefault="00000000" w:rsidP="00933660">
      <w:pPr>
        <w:pStyle w:val="Default"/>
        <w:jc w:val="both"/>
        <w:rPr>
          <w:rFonts w:asciiTheme="minorHAnsi" w:eastAsiaTheme="minorEastAsia" w:hAnsiTheme="minorHAnsi" w:cstheme="minorHAnsi"/>
          <w:lang w:val="fr-FR"/>
        </w:rPr>
      </w:pP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P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i</m:t>
            </m:r>
          </m:sub>
        </m:sSub>
      </m:oMath>
      <w:r w:rsidR="00933660" w:rsidRPr="00FD6DCC">
        <w:rPr>
          <w:rFonts w:asciiTheme="minorHAnsi" w:eastAsiaTheme="minorEastAsia" w:hAnsiTheme="minorHAnsi" w:cstheme="minorHAnsi"/>
          <w:lang w:val="fr-FR"/>
        </w:rPr>
        <w:t> : Nombre d’habitants standardisés</w:t>
      </w:r>
      <w:r w:rsidR="00933660" w:rsidRPr="00FD6DCC">
        <w:rPr>
          <w:rStyle w:val="Appelnotedebasdep"/>
          <w:rFonts w:asciiTheme="minorHAnsi" w:eastAsiaTheme="minorEastAsia" w:hAnsiTheme="minorHAnsi" w:cstheme="minorHAnsi"/>
          <w:lang w:val="fr-FR"/>
        </w:rPr>
        <w:footnoteReference w:id="2"/>
      </w:r>
      <w:r w:rsidR="00933660" w:rsidRPr="00FD6DCC">
        <w:rPr>
          <w:rFonts w:asciiTheme="minorHAnsi" w:eastAsiaTheme="minorEastAsia" w:hAnsiTheme="minorHAnsi" w:cstheme="minorHAnsi"/>
          <w:lang w:val="fr-FR"/>
        </w:rPr>
        <w:t xml:space="preserve"> des </w:t>
      </w:r>
      <w:r w:rsidR="007862A6">
        <w:rPr>
          <w:rFonts w:asciiTheme="minorHAnsi" w:eastAsiaTheme="minorEastAsia" w:hAnsiTheme="minorHAnsi" w:cstheme="minorHAnsi"/>
          <w:lang w:val="fr-FR"/>
        </w:rPr>
        <w:t>iris</w:t>
      </w:r>
      <w:r w:rsidR="00933660" w:rsidRPr="00FD6DCC">
        <w:rPr>
          <w:rFonts w:asciiTheme="minorHAnsi" w:eastAsiaTheme="minorEastAsia" w:hAnsiTheme="minorHAnsi" w:cstheme="minorHAnsi"/>
          <w:lang w:val="fr-FR"/>
        </w:rPr>
        <w:t xml:space="preserve"> i situées </w:t>
      </w:r>
      <w:r w:rsidR="0071564B">
        <w:rPr>
          <w:rFonts w:asciiTheme="minorHAnsi" w:eastAsiaTheme="minorEastAsia" w:hAnsiTheme="minorHAnsi" w:cstheme="minorHAnsi"/>
          <w:lang w:val="fr-FR"/>
        </w:rPr>
        <w:t xml:space="preserve">à </w:t>
      </w:r>
      <w:r w:rsidR="00933660" w:rsidRPr="00FD6DCC">
        <w:rPr>
          <w:rFonts w:asciiTheme="minorHAnsi" w:eastAsiaTheme="minorEastAsia" w:hAnsiTheme="minorHAnsi" w:cstheme="minorHAnsi"/>
          <w:lang w:val="fr-FR"/>
        </w:rPr>
        <w:t xml:space="preserve">une distance de j inférieure à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</m:oMath>
      <w:r w:rsidR="00933660" w:rsidRPr="00FD6DCC">
        <w:rPr>
          <w:rFonts w:asciiTheme="minorHAnsi" w:eastAsiaTheme="minorEastAsia" w:hAnsiTheme="minorHAnsi" w:cstheme="minorHAnsi"/>
          <w:lang w:val="fr-FR"/>
        </w:rPr>
        <w:t>.</w:t>
      </w:r>
    </w:p>
    <w:p w14:paraId="7BAFC335" w14:textId="20E0CFE0" w:rsidR="00EC0C36" w:rsidRPr="00FD6DCC" w:rsidRDefault="00EC0C36" w:rsidP="00933660">
      <w:pPr>
        <w:pStyle w:val="Default"/>
        <w:jc w:val="both"/>
        <w:rPr>
          <w:rFonts w:asciiTheme="minorHAnsi" w:eastAsiaTheme="minorEastAsia" w:hAnsiTheme="minorHAnsi" w:cstheme="minorHAnsi"/>
          <w:lang w:val="fr-FR"/>
        </w:rPr>
      </w:pPr>
    </w:p>
    <w:p w14:paraId="6B939585" w14:textId="17DC04A8" w:rsidR="00EC0C36" w:rsidRPr="00FD6DCC" w:rsidRDefault="00EC0C36" w:rsidP="00933660">
      <w:pPr>
        <w:pStyle w:val="Default"/>
        <w:jc w:val="both"/>
        <w:rPr>
          <w:rFonts w:asciiTheme="minorHAnsi" w:eastAsiaTheme="minorEastAsia" w:hAnsiTheme="minorHAnsi" w:cstheme="minorHAnsi"/>
          <w:lang w:val="fr-FR"/>
        </w:rPr>
      </w:pPr>
    </w:p>
    <w:p w14:paraId="6EAB65E3" w14:textId="1D70B87C" w:rsidR="00EC0C36" w:rsidRPr="00FD6DCC" w:rsidRDefault="00EC0C36" w:rsidP="00EC0C36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lang w:val="fr-FR"/>
        </w:rPr>
      </w:pPr>
      <w:r w:rsidRPr="00FD6DCC">
        <w:rPr>
          <w:rFonts w:asciiTheme="minorHAnsi" w:hAnsiTheme="minorHAnsi" w:cstheme="minorHAnsi"/>
          <w:b/>
          <w:bCs/>
          <w:lang w:val="fr-FR"/>
        </w:rPr>
        <w:t xml:space="preserve"> Identification des zones de recours et somme des densités calculées dans la première étape</w:t>
      </w:r>
    </w:p>
    <w:p w14:paraId="0862404C" w14:textId="3C494F85" w:rsidR="00EC0C36" w:rsidRPr="00FD6DCC" w:rsidRDefault="00EC0C36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637C65B9" w14:textId="1D7F4347" w:rsidR="00EC0C36" w:rsidRPr="00FD6DCC" w:rsidRDefault="00EC0C36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Dans un second temps, on définit pour chaque </w:t>
      </w:r>
      <w:r w:rsidR="007862A6">
        <w:rPr>
          <w:rFonts w:asciiTheme="minorHAnsi" w:hAnsiTheme="minorHAnsi" w:cstheme="minorHAnsi"/>
          <w:lang w:val="fr-FR"/>
        </w:rPr>
        <w:t>iris</w:t>
      </w:r>
      <w:r w:rsidRPr="00FD6DCC">
        <w:rPr>
          <w:rFonts w:asciiTheme="minorHAnsi" w:hAnsiTheme="minorHAnsi" w:cstheme="minorHAnsi"/>
          <w:lang w:val="fr-FR"/>
        </w:rPr>
        <w:t xml:space="preserve"> i, l’ensemble des </w:t>
      </w:r>
      <w:r w:rsidR="0071564B">
        <w:rPr>
          <w:rFonts w:asciiTheme="minorHAnsi" w:hAnsiTheme="minorHAnsi" w:cstheme="minorHAnsi"/>
          <w:lang w:val="fr-FR"/>
        </w:rPr>
        <w:t>iris</w:t>
      </w:r>
      <w:r w:rsidRPr="00FD6DCC">
        <w:rPr>
          <w:rFonts w:asciiTheme="minorHAnsi" w:hAnsiTheme="minorHAnsi" w:cstheme="minorHAnsi"/>
          <w:lang w:val="fr-FR"/>
        </w:rPr>
        <w:t xml:space="preserve"> j de médecins accessibles </w:t>
      </w:r>
      <w:r w:rsidR="00B72359" w:rsidRPr="00FD6DCC">
        <w:rPr>
          <w:rFonts w:asciiTheme="minorHAnsi" w:hAnsiTheme="minorHAnsi" w:cstheme="minorHAnsi"/>
          <w:lang w:val="fr-FR"/>
        </w:rPr>
        <w:t>dans un temps inférieur ou égal à</w:t>
      </w:r>
      <w:r w:rsidRPr="00FD6DCC">
        <w:rPr>
          <w:rFonts w:asciiTheme="minorHAnsi" w:hAnsiTheme="minorHAnsi" w:cstheme="minorHAnsi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</m:oMath>
      <w:r w:rsidRPr="00FD6DCC">
        <w:rPr>
          <w:rFonts w:asciiTheme="minorHAnsi" w:hAnsiTheme="minorHAnsi" w:cstheme="minorHAnsi"/>
          <w:lang w:val="fr-FR"/>
        </w:rPr>
        <w:t xml:space="preserve"> (zone de recours). Puis on somme les ratios correspondants en les pondérant par </w:t>
      </w:r>
      <w:r w:rsidR="00426C8F" w:rsidRPr="00FD6DCC">
        <w:rPr>
          <w:rFonts w:asciiTheme="minorHAnsi" w:hAnsiTheme="minorHAnsi" w:cstheme="minorHAnsi"/>
          <w:lang w:val="fr-FR"/>
        </w:rPr>
        <w:t>le temps de trajet</w:t>
      </w:r>
      <w:r w:rsidRPr="00FD6DCC">
        <w:rPr>
          <w:rFonts w:asciiTheme="minorHAnsi" w:hAnsiTheme="minorHAnsi" w:cstheme="minorHAnsi"/>
          <w:lang w:val="fr-FR"/>
        </w:rPr>
        <w:t>. Le résultat ainsi obtenu représente l’</w:t>
      </w:r>
      <w:r w:rsidR="009438FF">
        <w:rPr>
          <w:rFonts w:asciiTheme="minorHAnsi" w:hAnsiTheme="minorHAnsi" w:cstheme="minorHAnsi"/>
          <w:lang w:val="fr-FR"/>
        </w:rPr>
        <w:t>A</w:t>
      </w:r>
      <w:r w:rsidRPr="00FD6DCC">
        <w:rPr>
          <w:rFonts w:asciiTheme="minorHAnsi" w:hAnsiTheme="minorHAnsi" w:cstheme="minorHAnsi"/>
          <w:lang w:val="fr-FR"/>
        </w:rPr>
        <w:t xml:space="preserve">ccessibilité </w:t>
      </w:r>
      <w:r w:rsidR="009438FF">
        <w:rPr>
          <w:rFonts w:asciiTheme="minorHAnsi" w:hAnsiTheme="minorHAnsi" w:cstheme="minorHAnsi"/>
          <w:lang w:val="fr-FR"/>
        </w:rPr>
        <w:t>P</w:t>
      </w:r>
      <w:r w:rsidRPr="00FD6DCC">
        <w:rPr>
          <w:rFonts w:asciiTheme="minorHAnsi" w:hAnsiTheme="minorHAnsi" w:cstheme="minorHAnsi"/>
          <w:lang w:val="fr-FR"/>
        </w:rPr>
        <w:t xml:space="preserve">otentielle </w:t>
      </w:r>
      <w:r w:rsidR="009438FF">
        <w:rPr>
          <w:rFonts w:asciiTheme="minorHAnsi" w:hAnsiTheme="minorHAnsi" w:cstheme="minorHAnsi"/>
          <w:lang w:val="fr-FR"/>
        </w:rPr>
        <w:t>L</w:t>
      </w:r>
      <w:r w:rsidRPr="00FD6DCC">
        <w:rPr>
          <w:rFonts w:asciiTheme="minorHAnsi" w:hAnsiTheme="minorHAnsi" w:cstheme="minorHAnsi"/>
          <w:lang w:val="fr-FR"/>
        </w:rPr>
        <w:t xml:space="preserve">ocalisée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APL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i</m:t>
            </m:r>
          </m:sub>
        </m:sSub>
      </m:oMath>
      <w:r w:rsidRPr="00FD6DCC">
        <w:rPr>
          <w:rFonts w:asciiTheme="minorHAnsi" w:eastAsiaTheme="minorEastAsia" w:hAnsiTheme="minorHAnsi" w:cstheme="minorHAnsi"/>
          <w:lang w:val="fr-FR"/>
        </w:rPr>
        <w:t xml:space="preserve"> </w:t>
      </w:r>
      <w:r w:rsidRPr="00FD6DCC">
        <w:rPr>
          <w:rFonts w:asciiTheme="minorHAnsi" w:hAnsiTheme="minorHAnsi" w:cstheme="minorHAnsi"/>
          <w:lang w:val="fr-FR"/>
        </w:rPr>
        <w:t xml:space="preserve">pour la population située </w:t>
      </w:r>
      <w:r w:rsidR="0071564B">
        <w:rPr>
          <w:rFonts w:asciiTheme="minorHAnsi" w:hAnsiTheme="minorHAnsi" w:cstheme="minorHAnsi"/>
          <w:lang w:val="fr-FR"/>
        </w:rPr>
        <w:t>dans l’iris</w:t>
      </w:r>
      <w:r w:rsidRPr="00FD6DCC">
        <w:rPr>
          <w:rFonts w:asciiTheme="minorHAnsi" w:hAnsiTheme="minorHAnsi" w:cstheme="minorHAnsi"/>
          <w:lang w:val="fr-FR"/>
        </w:rPr>
        <w:t xml:space="preserve"> i</w:t>
      </w:r>
      <w:r w:rsidR="00426C8F" w:rsidRPr="00FD6DCC">
        <w:rPr>
          <w:rFonts w:asciiTheme="minorHAnsi" w:hAnsiTheme="minorHAnsi" w:cstheme="minorHAnsi"/>
          <w:lang w:val="fr-FR"/>
        </w:rPr>
        <w:t> :</w:t>
      </w:r>
    </w:p>
    <w:p w14:paraId="0CA4D183" w14:textId="2A063D0C" w:rsidR="00426C8F" w:rsidRPr="00FD6DCC" w:rsidRDefault="00426C8F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1A8CB7DB" w14:textId="521EE2A9" w:rsidR="00426C8F" w:rsidRPr="00FD6DCC" w:rsidRDefault="00000000" w:rsidP="00426C8F">
      <w:pPr>
        <w:pStyle w:val="Default"/>
        <w:jc w:val="both"/>
        <w:rPr>
          <w:rFonts w:asciiTheme="minorHAnsi" w:hAnsiTheme="minorHAnsi" w:cstheme="minorHAnsi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lang w:val="fr-FR"/>
                </w:rPr>
                <m:t>APL</m:t>
              </m:r>
            </m:e>
            <m:sub>
              <m:r>
                <w:rPr>
                  <w:rFonts w:ascii="Cambria Math" w:hAnsi="Cambria Math" w:cstheme="minorHAnsi"/>
                  <w:lang w:val="fr-FR"/>
                </w:rPr>
                <m:t>i</m:t>
              </m:r>
            </m:sub>
          </m:sSub>
          <m:r>
            <w:rPr>
              <w:rFonts w:ascii="Cambria Math" w:hAnsi="Cambria Math" w:cstheme="minorHAnsi"/>
              <w:lang w:val="fr-F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lang w:val="fr-FR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lang w:val="fr-FR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</m:acc>
            </m:sub>
            <m:sup/>
            <m:e>
              <m:r>
                <w:rPr>
                  <w:rFonts w:ascii="Cambria Math" w:hAnsi="Cambria Math" w:cstheme="minorHAnsi"/>
                  <w:lang w:val="fr-FR"/>
                </w:rPr>
                <m:t>w(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ij</m:t>
                  </m:r>
                </m:sub>
              </m:sSub>
              <m:r>
                <w:rPr>
                  <w:rFonts w:ascii="Cambria Math" w:hAnsi="Cambria Math" w:cstheme="minorHAnsi"/>
                  <w:lang w:val="fr-FR"/>
                </w:rPr>
                <m:t>)×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lang w:val="fr-FR"/>
                    </w:rPr>
                    <m:t>j</m:t>
                  </m:r>
                </m:sub>
              </m:sSub>
            </m:e>
          </m:nary>
        </m:oMath>
      </m:oMathPara>
    </w:p>
    <w:p w14:paraId="11DB6CD7" w14:textId="0E24A34D" w:rsidR="00710808" w:rsidRPr="00FD6DCC" w:rsidRDefault="00710808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4BC73855" w14:textId="77777777" w:rsidR="00710808" w:rsidRPr="00FD6DCC" w:rsidRDefault="00710808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4C60C083" w14:textId="5904616B" w:rsidR="00426C8F" w:rsidRPr="00FD6DCC" w:rsidRDefault="00710808" w:rsidP="00EC0C36">
      <w:pPr>
        <w:pStyle w:val="Default"/>
        <w:jc w:val="both"/>
        <w:rPr>
          <w:rFonts w:asciiTheme="minorHAnsi" w:hAnsiTheme="minorHAnsi" w:cstheme="minorHAnsi"/>
          <w:b/>
          <w:bCs/>
          <w:lang w:val="fr-FR"/>
        </w:rPr>
      </w:pPr>
      <w:r w:rsidRPr="00FD6DCC">
        <w:rPr>
          <w:rFonts w:asciiTheme="minorHAnsi" w:hAnsiTheme="minorHAnsi" w:cstheme="minorHAnsi"/>
          <w:b/>
          <w:bCs/>
          <w:lang w:val="fr-FR"/>
        </w:rPr>
        <w:t>P</w:t>
      </w:r>
      <w:r w:rsidR="00426C8F" w:rsidRPr="00FD6DCC">
        <w:rPr>
          <w:rFonts w:asciiTheme="minorHAnsi" w:hAnsiTheme="minorHAnsi" w:cstheme="minorHAnsi"/>
          <w:b/>
          <w:bCs/>
          <w:lang w:val="fr-FR"/>
        </w:rPr>
        <w:t>aramétrage de l’APL </w:t>
      </w:r>
      <w:r w:rsidRPr="00FD6DCC">
        <w:rPr>
          <w:rFonts w:asciiTheme="minorHAnsi" w:hAnsiTheme="minorHAnsi" w:cstheme="minorHAnsi"/>
          <w:b/>
          <w:bCs/>
          <w:lang w:val="fr-FR"/>
        </w:rPr>
        <w:t xml:space="preserve">réalisé par </w:t>
      </w:r>
      <w:r w:rsidR="007862A6">
        <w:rPr>
          <w:rFonts w:asciiTheme="minorHAnsi" w:hAnsiTheme="minorHAnsi" w:cstheme="minorHAnsi"/>
          <w:b/>
          <w:bCs/>
          <w:lang w:val="fr-FR"/>
        </w:rPr>
        <w:t xml:space="preserve">BMDS Consulting </w:t>
      </w:r>
      <w:proofErr w:type="gramStart"/>
      <w:r w:rsidR="007862A6">
        <w:rPr>
          <w:rFonts w:asciiTheme="minorHAnsi" w:hAnsiTheme="minorHAnsi" w:cstheme="minorHAnsi"/>
          <w:b/>
          <w:bCs/>
          <w:lang w:val="fr-FR"/>
        </w:rPr>
        <w:t>EI</w:t>
      </w:r>
      <w:r w:rsidR="00426C8F" w:rsidRPr="00FD6DCC">
        <w:rPr>
          <w:rFonts w:asciiTheme="minorHAnsi" w:hAnsiTheme="minorHAnsi" w:cstheme="minorHAnsi"/>
          <w:b/>
          <w:bCs/>
          <w:lang w:val="fr-FR"/>
        </w:rPr>
        <w:t>:</w:t>
      </w:r>
      <w:proofErr w:type="gramEnd"/>
    </w:p>
    <w:p w14:paraId="68998342" w14:textId="644D7076" w:rsidR="00426C8F" w:rsidRPr="00FD6DCC" w:rsidRDefault="00426C8F" w:rsidP="00EC0C3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09E057E1" w14:textId="24961597" w:rsidR="00426C8F" w:rsidRPr="00FD6DCC" w:rsidRDefault="00B72359" w:rsidP="00B72359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eastAsiaTheme="minorEastAsia" w:hAnsiTheme="minorHAnsi" w:cstheme="minorHAnsi"/>
          <w:lang w:val="fr-FR"/>
        </w:rPr>
        <w:t>Seuil de la zone de recours / accessibilité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</m:oMath>
      <w:r w:rsidRPr="00FD6DCC">
        <w:rPr>
          <w:rFonts w:asciiTheme="minorHAnsi" w:eastAsiaTheme="minorEastAsia" w:hAnsiTheme="minorHAnsi" w:cstheme="minorHAnsi"/>
          <w:lang w:val="fr-FR"/>
        </w:rPr>
        <w:t>)</w:t>
      </w:r>
    </w:p>
    <w:p w14:paraId="2CC7110E" w14:textId="77777777" w:rsidR="00B72359" w:rsidRPr="00FD6DCC" w:rsidRDefault="00B72359" w:rsidP="00B72359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4D160CF8" w14:textId="10B3C0AC" w:rsidR="00DF46FA" w:rsidRPr="00FD6DCC" w:rsidRDefault="00DF46FA" w:rsidP="00B72359">
      <w:pPr>
        <w:pStyle w:val="Default"/>
        <w:jc w:val="both"/>
        <w:rPr>
          <w:rFonts w:asciiTheme="minorHAnsi" w:eastAsiaTheme="minorEastAsia" w:hAnsiTheme="minorHAnsi" w:cstheme="minorHAnsi"/>
          <w:lang w:val="fr-FR"/>
        </w:rPr>
      </w:pPr>
      <w:r w:rsidRPr="00FD6DCC">
        <w:rPr>
          <w:rFonts w:asciiTheme="minorHAnsi" w:eastAsiaTheme="minorEastAsia" w:hAnsiTheme="minorHAnsi" w:cstheme="minorHAnsi"/>
          <w:lang w:val="fr-FR"/>
        </w:rPr>
        <w:t xml:space="preserve">Pour les médecins généralistes, le seuil a été fixé à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val="fr-FR"/>
              </w:rPr>
            </m:ctrlPr>
          </m:accPr>
          <m:e>
            <m:r>
              <w:rPr>
                <w:rFonts w:ascii="Cambria Math" w:hAnsi="Cambria Math" w:cstheme="minorHAnsi"/>
                <w:lang w:val="fr-FR"/>
              </w:rPr>
              <m:t>d</m:t>
            </m:r>
          </m:e>
        </m:acc>
        <m:r>
          <w:rPr>
            <w:rFonts w:ascii="Cambria Math" w:hAnsi="Cambria Math" w:cstheme="minorHAnsi"/>
            <w:lang w:val="fr-FR"/>
          </w:rPr>
          <m:t>=30</m:t>
        </m:r>
      </m:oMath>
      <w:r w:rsidRPr="00FD6DCC">
        <w:rPr>
          <w:rFonts w:asciiTheme="minorHAnsi" w:eastAsiaTheme="minorEastAsia" w:hAnsiTheme="minorHAnsi" w:cstheme="minorHAnsi"/>
          <w:lang w:val="fr-FR"/>
        </w:rPr>
        <w:t xml:space="preserve"> minutes</w:t>
      </w:r>
      <w:r w:rsidR="007862A6">
        <w:rPr>
          <w:rFonts w:asciiTheme="minorHAnsi" w:eastAsiaTheme="minorEastAsia" w:hAnsiTheme="minorHAnsi" w:cstheme="minorHAnsi"/>
          <w:lang w:val="fr-FR"/>
        </w:rPr>
        <w:t xml:space="preserve">. Ce seuil est celui retenu par la DRESS. </w:t>
      </w:r>
    </w:p>
    <w:p w14:paraId="29BFA816" w14:textId="38A00CB7" w:rsidR="00DF46FA" w:rsidRPr="00FD6DCC" w:rsidRDefault="00DF46FA" w:rsidP="00B72359">
      <w:pPr>
        <w:pStyle w:val="Default"/>
        <w:jc w:val="both"/>
        <w:rPr>
          <w:rFonts w:asciiTheme="minorHAnsi" w:eastAsiaTheme="minorEastAsia" w:hAnsiTheme="minorHAnsi" w:cstheme="minorHAnsi"/>
          <w:lang w:val="fr-FR"/>
        </w:rPr>
      </w:pPr>
    </w:p>
    <w:p w14:paraId="78C4D407" w14:textId="753EDBCB" w:rsidR="00DF46FA" w:rsidRPr="00FD6DCC" w:rsidRDefault="00DF46FA" w:rsidP="00DF46FA">
      <w:pPr>
        <w:pStyle w:val="Paragraphedeliste"/>
        <w:numPr>
          <w:ilvl w:val="0"/>
          <w:numId w:val="4"/>
        </w:numPr>
        <w:rPr>
          <w:rFonts w:cstheme="minorHAnsi"/>
          <w:sz w:val="24"/>
          <w:szCs w:val="24"/>
          <w:lang w:val="fr-FR"/>
        </w:rPr>
      </w:pPr>
      <w:r w:rsidRPr="00FD6DCC">
        <w:rPr>
          <w:rFonts w:eastAsiaTheme="minorEastAsia" w:cstheme="minorHAnsi"/>
          <w:sz w:val="24"/>
          <w:szCs w:val="24"/>
          <w:lang w:val="fr-FR"/>
        </w:rPr>
        <w:t>Pondération du temps de trajet (</w:t>
      </w:r>
      <w:r w:rsidRPr="00FD6DCC">
        <w:rPr>
          <w:rFonts w:cstheme="minorHAnsi"/>
          <w:sz w:val="24"/>
          <w:szCs w:val="24"/>
          <w:lang w:val="fr-FR"/>
        </w:rPr>
        <w:t>décroissance de l’accessibilité avec la distance)</w:t>
      </w:r>
    </w:p>
    <w:p w14:paraId="6F148F36" w14:textId="001E4F3F" w:rsidR="00DF46FA" w:rsidRPr="00FD6DCC" w:rsidRDefault="00DF46FA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25D2E3BA" w14:textId="1FE3B81A" w:rsidR="0007037A" w:rsidRPr="00FD6DCC" w:rsidRDefault="0007037A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La DREES </w:t>
      </w:r>
      <w:r w:rsidR="007862A6">
        <w:rPr>
          <w:rFonts w:asciiTheme="minorHAnsi" w:hAnsiTheme="minorHAnsi" w:cstheme="minorHAnsi"/>
          <w:lang w:val="fr-FR"/>
        </w:rPr>
        <w:t>utilise</w:t>
      </w:r>
      <w:r w:rsidRPr="00FD6DCC">
        <w:rPr>
          <w:rFonts w:asciiTheme="minorHAnsi" w:hAnsiTheme="minorHAnsi" w:cstheme="minorHAnsi"/>
          <w:lang w:val="fr-FR"/>
        </w:rPr>
        <w:t xml:space="preserve"> des seuils pour déterminer la pondération de la distance (exemple fictif) :</w:t>
      </w:r>
    </w:p>
    <w:p w14:paraId="4D0372C3" w14:textId="77777777" w:rsidR="0007037A" w:rsidRPr="00FD6DCC" w:rsidRDefault="0007037A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037A" w:rsidRPr="00FD6DCC" w14:paraId="79FEE948" w14:textId="77777777" w:rsidTr="0007037A">
        <w:tc>
          <w:tcPr>
            <w:tcW w:w="4531" w:type="dxa"/>
          </w:tcPr>
          <w:p w14:paraId="4C8ABB5D" w14:textId="683B5480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Seuil Distance i j</w:t>
            </w:r>
          </w:p>
        </w:tc>
        <w:tc>
          <w:tcPr>
            <w:tcW w:w="4531" w:type="dxa"/>
          </w:tcPr>
          <w:p w14:paraId="0142C7FD" w14:textId="4F8DF91F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Pondération retenue</w:t>
            </w:r>
          </w:p>
        </w:tc>
      </w:tr>
      <w:tr w:rsidR="0007037A" w:rsidRPr="00FD6DCC" w14:paraId="349C8C0D" w14:textId="77777777" w:rsidTr="0007037A">
        <w:tc>
          <w:tcPr>
            <w:tcW w:w="4531" w:type="dxa"/>
          </w:tcPr>
          <w:p w14:paraId="43486E16" w14:textId="528DCCAF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0-10 minutes</w:t>
            </w:r>
          </w:p>
        </w:tc>
        <w:tc>
          <w:tcPr>
            <w:tcW w:w="4531" w:type="dxa"/>
          </w:tcPr>
          <w:p w14:paraId="4CB41BD5" w14:textId="24F23256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1</w:t>
            </w:r>
          </w:p>
        </w:tc>
      </w:tr>
      <w:tr w:rsidR="0007037A" w:rsidRPr="00FD6DCC" w14:paraId="13B1BA98" w14:textId="77777777" w:rsidTr="0007037A">
        <w:tc>
          <w:tcPr>
            <w:tcW w:w="4531" w:type="dxa"/>
          </w:tcPr>
          <w:p w14:paraId="74B5A81C" w14:textId="0A68FD9A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10-15 minutes</w:t>
            </w:r>
          </w:p>
        </w:tc>
        <w:tc>
          <w:tcPr>
            <w:tcW w:w="4531" w:type="dxa"/>
          </w:tcPr>
          <w:p w14:paraId="77FF2EC2" w14:textId="5C2209F1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2/3</w:t>
            </w:r>
          </w:p>
        </w:tc>
      </w:tr>
      <w:tr w:rsidR="0007037A" w:rsidRPr="00FD6DCC" w14:paraId="2F139AC5" w14:textId="77777777" w:rsidTr="0007037A">
        <w:tc>
          <w:tcPr>
            <w:tcW w:w="4531" w:type="dxa"/>
          </w:tcPr>
          <w:p w14:paraId="24502546" w14:textId="16366E54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15-20 minutes</w:t>
            </w:r>
          </w:p>
        </w:tc>
        <w:tc>
          <w:tcPr>
            <w:tcW w:w="4531" w:type="dxa"/>
          </w:tcPr>
          <w:p w14:paraId="31B2AFEB" w14:textId="1B26724A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1/2</w:t>
            </w:r>
          </w:p>
        </w:tc>
      </w:tr>
      <w:tr w:rsidR="0007037A" w:rsidRPr="00FD6DCC" w14:paraId="5ACC271B" w14:textId="77777777" w:rsidTr="0007037A">
        <w:tc>
          <w:tcPr>
            <w:tcW w:w="4531" w:type="dxa"/>
          </w:tcPr>
          <w:p w14:paraId="1E254D96" w14:textId="400676D2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20-30 minutes</w:t>
            </w:r>
          </w:p>
        </w:tc>
        <w:tc>
          <w:tcPr>
            <w:tcW w:w="4531" w:type="dxa"/>
          </w:tcPr>
          <w:p w14:paraId="181E3B0D" w14:textId="223E0334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1/</w:t>
            </w:r>
            <w:r w:rsidR="007A1932" w:rsidRPr="00FD6DCC">
              <w:rPr>
                <w:rFonts w:asciiTheme="minorHAnsi" w:hAnsiTheme="minorHAnsi" w:cstheme="minorHAnsi"/>
                <w:lang w:val="fr-FR"/>
              </w:rPr>
              <w:t>10</w:t>
            </w:r>
          </w:p>
        </w:tc>
      </w:tr>
      <w:tr w:rsidR="0007037A" w:rsidRPr="00FD6DCC" w14:paraId="1CB7A52E" w14:textId="77777777" w:rsidTr="0007037A">
        <w:tc>
          <w:tcPr>
            <w:tcW w:w="4531" w:type="dxa"/>
          </w:tcPr>
          <w:p w14:paraId="087F85BD" w14:textId="6BA60871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+ 30 minutes</w:t>
            </w:r>
          </w:p>
        </w:tc>
        <w:tc>
          <w:tcPr>
            <w:tcW w:w="4531" w:type="dxa"/>
          </w:tcPr>
          <w:p w14:paraId="1F3A5ABC" w14:textId="5B9ECF4F" w:rsidR="0007037A" w:rsidRPr="00FD6DCC" w:rsidRDefault="0007037A" w:rsidP="0007037A">
            <w:pPr>
              <w:pStyle w:val="Default"/>
              <w:jc w:val="center"/>
              <w:rPr>
                <w:rFonts w:asciiTheme="minorHAnsi" w:hAnsiTheme="minorHAnsi" w:cstheme="minorHAnsi"/>
                <w:lang w:val="fr-FR"/>
              </w:rPr>
            </w:pPr>
            <w:r w:rsidRPr="00FD6DCC">
              <w:rPr>
                <w:rFonts w:asciiTheme="minorHAnsi" w:hAnsiTheme="minorHAnsi" w:cstheme="minorHAnsi"/>
                <w:lang w:val="fr-FR"/>
              </w:rPr>
              <w:t>0</w:t>
            </w:r>
          </w:p>
        </w:tc>
      </w:tr>
    </w:tbl>
    <w:p w14:paraId="1F152FDD" w14:textId="77777777" w:rsidR="0007037A" w:rsidRPr="00FD6DCC" w:rsidRDefault="0007037A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6BF30117" w14:textId="71B08627" w:rsidR="007862A6" w:rsidRPr="00FD6DCC" w:rsidRDefault="0007037A" w:rsidP="007862A6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Bien entendu, l’utilisation de seuils de distance pour fixer la pondération de la distance pose certains problèmes de biais évidents. En effet dans cet exemple fictif, la pondération pour un </w:t>
      </w:r>
      <w:r w:rsidRPr="00FD6DCC">
        <w:rPr>
          <w:rFonts w:asciiTheme="minorHAnsi" w:hAnsiTheme="minorHAnsi" w:cstheme="minorHAnsi"/>
          <w:lang w:val="fr-FR"/>
        </w:rPr>
        <w:lastRenderedPageBreak/>
        <w:t xml:space="preserve">médecin situé à </w:t>
      </w:r>
      <w:r w:rsidR="007A1932" w:rsidRPr="00FD6DCC">
        <w:rPr>
          <w:rFonts w:asciiTheme="minorHAnsi" w:hAnsiTheme="minorHAnsi" w:cstheme="minorHAnsi"/>
          <w:lang w:val="fr-FR"/>
        </w:rPr>
        <w:t>20</w:t>
      </w:r>
      <w:r w:rsidR="009438FF">
        <w:rPr>
          <w:rFonts w:asciiTheme="minorHAnsi" w:hAnsiTheme="minorHAnsi" w:cstheme="minorHAnsi"/>
          <w:lang w:val="fr-FR"/>
        </w:rPr>
        <w:t>,</w:t>
      </w:r>
      <w:r w:rsidR="007A1932" w:rsidRPr="00FD6DCC">
        <w:rPr>
          <w:rFonts w:asciiTheme="minorHAnsi" w:hAnsiTheme="minorHAnsi" w:cstheme="minorHAnsi"/>
          <w:lang w:val="fr-FR"/>
        </w:rPr>
        <w:t>5</w:t>
      </w:r>
      <w:r w:rsidRPr="00FD6DCC">
        <w:rPr>
          <w:rFonts w:asciiTheme="minorHAnsi" w:hAnsiTheme="minorHAnsi" w:cstheme="minorHAnsi"/>
          <w:lang w:val="fr-FR"/>
        </w:rPr>
        <w:t xml:space="preserve"> minutes</w:t>
      </w:r>
      <w:r w:rsidR="007A1932" w:rsidRPr="00FD6DCC">
        <w:rPr>
          <w:rFonts w:asciiTheme="minorHAnsi" w:hAnsiTheme="minorHAnsi" w:cstheme="minorHAnsi"/>
          <w:lang w:val="fr-FR"/>
        </w:rPr>
        <w:t xml:space="preserve"> d’un chef-lieu</w:t>
      </w:r>
      <w:r w:rsidRPr="00FD6DCC">
        <w:rPr>
          <w:rFonts w:asciiTheme="minorHAnsi" w:hAnsiTheme="minorHAnsi" w:cstheme="minorHAnsi"/>
          <w:lang w:val="fr-FR"/>
        </w:rPr>
        <w:t xml:space="preserve"> est </w:t>
      </w:r>
      <w:r w:rsidR="007A1932" w:rsidRPr="00FD6DCC">
        <w:rPr>
          <w:rFonts w:asciiTheme="minorHAnsi" w:hAnsiTheme="minorHAnsi" w:cstheme="minorHAnsi"/>
          <w:lang w:val="fr-FR"/>
        </w:rPr>
        <w:t>de 0</w:t>
      </w:r>
      <w:r w:rsidR="009438FF">
        <w:rPr>
          <w:rFonts w:asciiTheme="minorHAnsi" w:hAnsiTheme="minorHAnsi" w:cstheme="minorHAnsi"/>
          <w:lang w:val="fr-FR"/>
        </w:rPr>
        <w:t>,</w:t>
      </w:r>
      <w:r w:rsidR="007A1932" w:rsidRPr="00FD6DCC">
        <w:rPr>
          <w:rFonts w:asciiTheme="minorHAnsi" w:hAnsiTheme="minorHAnsi" w:cstheme="minorHAnsi"/>
          <w:lang w:val="fr-FR"/>
        </w:rPr>
        <w:t>1</w:t>
      </w:r>
      <w:r w:rsidRPr="00FD6DCC">
        <w:rPr>
          <w:rFonts w:asciiTheme="minorHAnsi" w:hAnsiTheme="minorHAnsi" w:cstheme="minorHAnsi"/>
          <w:lang w:val="fr-FR"/>
        </w:rPr>
        <w:t xml:space="preserve"> alors </w:t>
      </w:r>
      <w:r w:rsidR="007A1932" w:rsidRPr="00FD6DCC">
        <w:rPr>
          <w:rFonts w:asciiTheme="minorHAnsi" w:hAnsiTheme="minorHAnsi" w:cstheme="minorHAnsi"/>
          <w:lang w:val="fr-FR"/>
        </w:rPr>
        <w:t>qu’un médecin situé à 19</w:t>
      </w:r>
      <w:r w:rsidR="009438FF">
        <w:rPr>
          <w:rFonts w:asciiTheme="minorHAnsi" w:hAnsiTheme="minorHAnsi" w:cstheme="minorHAnsi"/>
          <w:lang w:val="fr-FR"/>
        </w:rPr>
        <w:t>,</w:t>
      </w:r>
      <w:r w:rsidR="007A1932" w:rsidRPr="00FD6DCC">
        <w:rPr>
          <w:rFonts w:asciiTheme="minorHAnsi" w:hAnsiTheme="minorHAnsi" w:cstheme="minorHAnsi"/>
          <w:lang w:val="fr-FR"/>
        </w:rPr>
        <w:t>5 minutes de ce même chef-lieu sera de 0</w:t>
      </w:r>
      <w:r w:rsidR="009438FF">
        <w:rPr>
          <w:rFonts w:asciiTheme="minorHAnsi" w:hAnsiTheme="minorHAnsi" w:cstheme="minorHAnsi"/>
          <w:lang w:val="fr-FR"/>
        </w:rPr>
        <w:t>,</w:t>
      </w:r>
      <w:r w:rsidR="007A1932" w:rsidRPr="00FD6DCC">
        <w:rPr>
          <w:rFonts w:asciiTheme="minorHAnsi" w:hAnsiTheme="minorHAnsi" w:cstheme="minorHAnsi"/>
          <w:lang w:val="fr-FR"/>
        </w:rPr>
        <w:t xml:space="preserve">5. Afin d’éviter ces biais </w:t>
      </w:r>
      <w:r w:rsidR="00305DC2" w:rsidRPr="00FD6DCC">
        <w:rPr>
          <w:rFonts w:asciiTheme="minorHAnsi" w:hAnsiTheme="minorHAnsi" w:cstheme="minorHAnsi"/>
          <w:lang w:val="fr-FR"/>
        </w:rPr>
        <w:t xml:space="preserve">et </w:t>
      </w:r>
      <w:r w:rsidR="007A1932" w:rsidRPr="00FD6DCC">
        <w:rPr>
          <w:rFonts w:asciiTheme="minorHAnsi" w:hAnsiTheme="minorHAnsi" w:cstheme="minorHAnsi"/>
          <w:lang w:val="fr-FR"/>
        </w:rPr>
        <w:t xml:space="preserve">de rendre mieux compte de l’accessibilité réelle, </w:t>
      </w:r>
      <w:r w:rsidR="007862A6">
        <w:rPr>
          <w:rFonts w:asciiTheme="minorHAnsi" w:hAnsiTheme="minorHAnsi" w:cstheme="minorHAnsi"/>
          <w:lang w:val="fr-FR"/>
        </w:rPr>
        <w:t>BMDS Consulting</w:t>
      </w:r>
      <w:r w:rsidR="007A1932" w:rsidRPr="00FD6DCC">
        <w:rPr>
          <w:rFonts w:asciiTheme="minorHAnsi" w:hAnsiTheme="minorHAnsi" w:cstheme="minorHAnsi"/>
          <w:lang w:val="fr-FR"/>
        </w:rPr>
        <w:t xml:space="preserve"> a proposé à</w:t>
      </w:r>
      <w:r w:rsidR="007862A6">
        <w:rPr>
          <w:rFonts w:asciiTheme="minorHAnsi" w:hAnsiTheme="minorHAnsi" w:cstheme="minorHAnsi"/>
          <w:lang w:val="fr-FR"/>
        </w:rPr>
        <w:t xml:space="preserve"> l’EUR ELMI</w:t>
      </w:r>
      <w:r w:rsidR="007A1932" w:rsidRPr="00FD6DCC">
        <w:rPr>
          <w:rFonts w:asciiTheme="minorHAnsi" w:hAnsiTheme="minorHAnsi" w:cstheme="minorHAnsi"/>
          <w:lang w:val="fr-FR"/>
        </w:rPr>
        <w:t xml:space="preserve"> d’utiliser une fonction mathématique continue pour déterminer la pondération de la distance. </w:t>
      </w:r>
      <w:r w:rsidR="007862A6">
        <w:rPr>
          <w:rFonts w:asciiTheme="minorHAnsi" w:hAnsiTheme="minorHAnsi" w:cstheme="minorHAnsi"/>
          <w:lang w:val="fr-FR"/>
        </w:rPr>
        <w:t>Le paramétrage de la</w:t>
      </w:r>
      <w:r w:rsidR="007862A6" w:rsidRPr="00FD6DCC">
        <w:rPr>
          <w:rFonts w:asciiTheme="minorHAnsi" w:hAnsiTheme="minorHAnsi" w:cstheme="minorHAnsi"/>
          <w:lang w:val="fr-FR"/>
        </w:rPr>
        <w:t xml:space="preserve"> fonction </w:t>
      </w:r>
      <w:r w:rsidR="007862A6">
        <w:rPr>
          <w:rFonts w:asciiTheme="minorHAnsi" w:hAnsiTheme="minorHAnsi" w:cstheme="minorHAnsi"/>
          <w:lang w:val="fr-FR"/>
        </w:rPr>
        <w:t>retenue (</w:t>
      </w:r>
      <w:r w:rsidR="007862A6" w:rsidRPr="00FD6DCC">
        <w:rPr>
          <w:rFonts w:asciiTheme="minorHAnsi" w:hAnsiTheme="minorHAnsi" w:cstheme="minorHAnsi"/>
          <w:lang w:val="fr-FR"/>
        </w:rPr>
        <w:t>exponentielle négative</w:t>
      </w:r>
      <w:r w:rsidR="007862A6">
        <w:rPr>
          <w:rFonts w:asciiTheme="minorHAnsi" w:hAnsiTheme="minorHAnsi" w:cstheme="minorHAnsi"/>
          <w:lang w:val="fr-FR"/>
        </w:rPr>
        <w:t xml:space="preserve">) </w:t>
      </w:r>
      <w:r w:rsidR="007862A6" w:rsidRPr="00FD6DCC">
        <w:rPr>
          <w:rFonts w:asciiTheme="minorHAnsi" w:hAnsiTheme="minorHAnsi" w:cstheme="minorHAnsi"/>
          <w:lang w:val="fr-FR"/>
        </w:rPr>
        <w:t>a été réalisé sur la base des travaux de la DREES</w:t>
      </w:r>
      <w:r w:rsidR="007862A6" w:rsidRPr="00FD6DCC">
        <w:rPr>
          <w:rStyle w:val="Appelnotedebasdep"/>
          <w:rFonts w:asciiTheme="minorHAnsi" w:hAnsiTheme="minorHAnsi" w:cstheme="minorHAnsi"/>
          <w:lang w:val="fr-FR"/>
        </w:rPr>
        <w:footnoteReference w:id="3"/>
      </w:r>
      <w:r w:rsidR="007862A6" w:rsidRPr="00FD6DCC">
        <w:rPr>
          <w:rFonts w:asciiTheme="minorHAnsi" w:hAnsiTheme="minorHAnsi" w:cstheme="minorHAnsi"/>
          <w:lang w:val="fr-FR"/>
        </w:rPr>
        <w:t>.</w:t>
      </w:r>
    </w:p>
    <w:p w14:paraId="64724FCF" w14:textId="647DB9FA" w:rsidR="0007037A" w:rsidRPr="00FD6DCC" w:rsidRDefault="0007037A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38160FDB" w14:textId="416B28E3" w:rsidR="00185910" w:rsidRPr="00FD6DCC" w:rsidRDefault="00185910" w:rsidP="0007037A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49F420E6" w14:textId="4F35EAC2" w:rsidR="00185910" w:rsidRPr="00FD6DCC" w:rsidRDefault="00185910" w:rsidP="00185910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4"/>
          <w:szCs w:val="24"/>
          <w:lang w:val="fr-FR"/>
        </w:rPr>
      </w:pPr>
      <w:r w:rsidRPr="00FD6DCC">
        <w:rPr>
          <w:rFonts w:cstheme="minorHAnsi"/>
          <w:b/>
          <w:bCs/>
          <w:sz w:val="24"/>
          <w:szCs w:val="24"/>
          <w:lang w:val="fr-FR"/>
        </w:rPr>
        <w:t>Pondération de la population selon l’âge</w:t>
      </w:r>
    </w:p>
    <w:p w14:paraId="470C6E9F" w14:textId="6B57C65A" w:rsidR="00185910" w:rsidRPr="00FD6DCC" w:rsidRDefault="003C7744" w:rsidP="00185910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L’objectif de ce paramétrage est de tenir compte de la spécificité démographique de chaque </w:t>
      </w:r>
      <w:r w:rsidR="007E429F">
        <w:rPr>
          <w:rFonts w:asciiTheme="minorHAnsi" w:hAnsiTheme="minorHAnsi" w:cstheme="minorHAnsi"/>
          <w:lang w:val="fr-FR"/>
        </w:rPr>
        <w:t>IRIS</w:t>
      </w:r>
      <w:r w:rsidR="009438FF">
        <w:rPr>
          <w:rFonts w:asciiTheme="minorHAnsi" w:hAnsiTheme="minorHAnsi" w:cstheme="minorHAnsi"/>
          <w:lang w:val="fr-FR"/>
        </w:rPr>
        <w:t xml:space="preserve">, </w:t>
      </w:r>
      <w:r w:rsidRPr="00FD6DCC">
        <w:rPr>
          <w:rFonts w:asciiTheme="minorHAnsi" w:hAnsiTheme="minorHAnsi" w:cstheme="minorHAnsi"/>
          <w:lang w:val="fr-FR"/>
        </w:rPr>
        <w:t>car les besoins de santé sont fortement dépendant</w:t>
      </w:r>
      <w:r w:rsidR="009438FF">
        <w:rPr>
          <w:rFonts w:asciiTheme="minorHAnsi" w:hAnsiTheme="minorHAnsi" w:cstheme="minorHAnsi"/>
          <w:lang w:val="fr-FR"/>
        </w:rPr>
        <w:t xml:space="preserve">s </w:t>
      </w:r>
      <w:r w:rsidRPr="00FD6DCC">
        <w:rPr>
          <w:rFonts w:asciiTheme="minorHAnsi" w:hAnsiTheme="minorHAnsi" w:cstheme="minorHAnsi"/>
          <w:lang w:val="fr-FR"/>
        </w:rPr>
        <w:t>de la structure démographique. Pour réaliser ce paramétrage, nous avons utilis</w:t>
      </w:r>
      <w:r w:rsidR="009438FF">
        <w:rPr>
          <w:rFonts w:asciiTheme="minorHAnsi" w:hAnsiTheme="minorHAnsi" w:cstheme="minorHAnsi"/>
          <w:lang w:val="fr-FR"/>
        </w:rPr>
        <w:t>é</w:t>
      </w:r>
      <w:r w:rsidRPr="00FD6DCC">
        <w:rPr>
          <w:rFonts w:asciiTheme="minorHAnsi" w:hAnsiTheme="minorHAnsi" w:cstheme="minorHAnsi"/>
          <w:lang w:val="fr-FR"/>
        </w:rPr>
        <w:t xml:space="preserve"> la base de données OPEN-DAMIR de 20</w:t>
      </w:r>
      <w:r w:rsidR="007E429F">
        <w:rPr>
          <w:rFonts w:asciiTheme="minorHAnsi" w:hAnsiTheme="minorHAnsi" w:cstheme="minorHAnsi"/>
          <w:lang w:val="fr-FR"/>
        </w:rPr>
        <w:t>21</w:t>
      </w:r>
      <w:r w:rsidRPr="00FD6DCC">
        <w:rPr>
          <w:rFonts w:asciiTheme="minorHAnsi" w:hAnsiTheme="minorHAnsi" w:cstheme="minorHAnsi"/>
          <w:lang w:val="fr-FR"/>
        </w:rPr>
        <w:t xml:space="preserve"> qui recense l’ensemble </w:t>
      </w:r>
      <w:r w:rsidR="00710808" w:rsidRPr="00FD6DCC">
        <w:rPr>
          <w:rFonts w:asciiTheme="minorHAnsi" w:hAnsiTheme="minorHAnsi" w:cstheme="minorHAnsi"/>
          <w:lang w:val="fr-FR"/>
        </w:rPr>
        <w:t>des actes médicaux recensé par l’assurance maladie. Grâce à cette base de données, nous pouvons, pour chaque spécialité de médecine</w:t>
      </w:r>
      <w:r w:rsidR="007E429F">
        <w:rPr>
          <w:rFonts w:asciiTheme="minorHAnsi" w:hAnsiTheme="minorHAnsi" w:cstheme="minorHAnsi"/>
          <w:lang w:val="fr-FR"/>
        </w:rPr>
        <w:t xml:space="preserve"> dont la médecine générale</w:t>
      </w:r>
      <w:r w:rsidR="00710808" w:rsidRPr="00FD6DCC">
        <w:rPr>
          <w:rFonts w:asciiTheme="minorHAnsi" w:hAnsiTheme="minorHAnsi" w:cstheme="minorHAnsi"/>
          <w:lang w:val="fr-FR"/>
        </w:rPr>
        <w:t xml:space="preserve">, connaître le nombre d’actes (consultation) effectués par tranches d’âge </w:t>
      </w:r>
      <w:r w:rsidR="00493104">
        <w:rPr>
          <w:rFonts w:asciiTheme="minorHAnsi" w:hAnsiTheme="minorHAnsi" w:cstheme="minorHAnsi"/>
          <w:lang w:val="fr-FR"/>
        </w:rPr>
        <w:t xml:space="preserve">de patient </w:t>
      </w:r>
      <w:r w:rsidR="00710808" w:rsidRPr="00FD6DCC">
        <w:rPr>
          <w:rFonts w:asciiTheme="minorHAnsi" w:hAnsiTheme="minorHAnsi" w:cstheme="minorHAnsi"/>
          <w:lang w:val="fr-FR"/>
        </w:rPr>
        <w:t>(0-20</w:t>
      </w:r>
      <w:r w:rsidR="009438FF">
        <w:rPr>
          <w:rFonts w:asciiTheme="minorHAnsi" w:hAnsiTheme="minorHAnsi" w:cstheme="minorHAnsi"/>
          <w:lang w:val="fr-FR"/>
        </w:rPr>
        <w:t>/</w:t>
      </w:r>
      <w:r w:rsidR="00710808" w:rsidRPr="00FD6DCC">
        <w:rPr>
          <w:rFonts w:asciiTheme="minorHAnsi" w:hAnsiTheme="minorHAnsi" w:cstheme="minorHAnsi"/>
          <w:lang w:val="fr-FR"/>
        </w:rPr>
        <w:t>20-30/40-50/50-60/60-70/70</w:t>
      </w:r>
      <w:r w:rsidR="009438FF">
        <w:rPr>
          <w:rFonts w:asciiTheme="minorHAnsi" w:hAnsiTheme="minorHAnsi" w:cstheme="minorHAnsi"/>
          <w:lang w:val="fr-FR"/>
        </w:rPr>
        <w:t xml:space="preserve"> —</w:t>
      </w:r>
      <w:r w:rsidR="00710808" w:rsidRPr="00FD6DCC">
        <w:rPr>
          <w:rFonts w:asciiTheme="minorHAnsi" w:hAnsiTheme="minorHAnsi" w:cstheme="minorHAnsi"/>
          <w:lang w:val="fr-FR"/>
        </w:rPr>
        <w:t xml:space="preserve">80/ 80+). </w:t>
      </w:r>
    </w:p>
    <w:p w14:paraId="37810403" w14:textId="6B83BF47" w:rsidR="008A29C9" w:rsidRDefault="008A29C9" w:rsidP="00185910">
      <w:pPr>
        <w:pStyle w:val="Default"/>
        <w:jc w:val="both"/>
        <w:rPr>
          <w:lang w:val="fr-FR"/>
        </w:rPr>
      </w:pPr>
    </w:p>
    <w:p w14:paraId="384DFEFB" w14:textId="233BA426" w:rsidR="008A29C9" w:rsidRDefault="008A29C9" w:rsidP="00185910">
      <w:pPr>
        <w:pStyle w:val="Default"/>
        <w:jc w:val="both"/>
        <w:rPr>
          <w:lang w:val="fr-FR"/>
        </w:rPr>
      </w:pPr>
    </w:p>
    <w:p w14:paraId="545627A1" w14:textId="3DC2E7F6" w:rsidR="00493104" w:rsidRPr="00680D65" w:rsidRDefault="008A29C9" w:rsidP="00493104">
      <w:pPr>
        <w:pStyle w:val="Paragraphedeliste"/>
        <w:numPr>
          <w:ilvl w:val="0"/>
          <w:numId w:val="11"/>
        </w:numPr>
        <w:jc w:val="both"/>
        <w:rPr>
          <w:b/>
          <w:bCs/>
          <w:lang w:val="fr-FR"/>
        </w:rPr>
      </w:pPr>
      <w:r w:rsidRPr="00680D65">
        <w:rPr>
          <w:b/>
          <w:bCs/>
          <w:sz w:val="28"/>
          <w:szCs w:val="28"/>
          <w:lang w:val="fr-FR"/>
        </w:rPr>
        <w:t>Application aux médecins généralistes</w:t>
      </w:r>
    </w:p>
    <w:p w14:paraId="460D47D8" w14:textId="27204BE5" w:rsidR="00E86E96" w:rsidRPr="00FD6DCC" w:rsidRDefault="002A02DB" w:rsidP="00680D65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lang w:val="fr-FR"/>
        </w:rPr>
      </w:pPr>
      <w:r w:rsidRPr="00FD6DCC">
        <w:rPr>
          <w:rFonts w:asciiTheme="minorHAnsi" w:hAnsiTheme="minorHAnsi" w:cstheme="minorHAnsi"/>
          <w:b/>
          <w:bCs/>
          <w:i/>
          <w:iCs/>
          <w:lang w:val="fr-FR"/>
        </w:rPr>
        <w:t xml:space="preserve">L’APL a été calculée pour les </w:t>
      </w:r>
      <w:r w:rsidR="00493104">
        <w:rPr>
          <w:rFonts w:asciiTheme="minorHAnsi" w:hAnsiTheme="minorHAnsi" w:cstheme="minorHAnsi"/>
          <w:b/>
          <w:bCs/>
          <w:i/>
          <w:iCs/>
          <w:lang w:val="fr-FR"/>
        </w:rPr>
        <w:t>500 IRIS du département des Alpes-Maritimes</w:t>
      </w:r>
      <w:r w:rsidRPr="00FD6DCC">
        <w:rPr>
          <w:rFonts w:asciiTheme="minorHAnsi" w:hAnsiTheme="minorHAnsi" w:cstheme="minorHAnsi"/>
          <w:b/>
          <w:bCs/>
          <w:i/>
          <w:iCs/>
          <w:lang w:val="fr-FR"/>
        </w:rPr>
        <w:t xml:space="preserve">. </w:t>
      </w:r>
    </w:p>
    <w:p w14:paraId="5E033F55" w14:textId="3DA19AA6" w:rsidR="00613CC2" w:rsidRPr="00FD6DCC" w:rsidRDefault="00613CC2" w:rsidP="00613CC2">
      <w:pPr>
        <w:pStyle w:val="Default"/>
        <w:jc w:val="both"/>
        <w:rPr>
          <w:rFonts w:asciiTheme="minorHAnsi" w:hAnsiTheme="minorHAnsi" w:cstheme="minorHAnsi"/>
          <w:b/>
          <w:bCs/>
          <w:lang w:val="fr-FR"/>
        </w:rPr>
      </w:pPr>
    </w:p>
    <w:p w14:paraId="2A246DF2" w14:textId="0EA5E5A2" w:rsidR="002A02DB" w:rsidRPr="00FD6DCC" w:rsidRDefault="002A02DB" w:rsidP="00613CC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lang w:val="fr-FR"/>
        </w:rPr>
      </w:pPr>
      <w:r w:rsidRPr="00FD6DCC">
        <w:rPr>
          <w:rFonts w:asciiTheme="minorHAnsi" w:hAnsiTheme="minorHAnsi" w:cstheme="minorHAnsi"/>
          <w:b/>
          <w:bCs/>
          <w:i/>
          <w:iCs/>
          <w:lang w:val="fr-FR"/>
        </w:rPr>
        <w:t>APL pour les médecins généralistes</w:t>
      </w:r>
    </w:p>
    <w:p w14:paraId="57D14EE1" w14:textId="74692478" w:rsidR="002A02DB" w:rsidRDefault="002A02DB" w:rsidP="00613CC2">
      <w:pPr>
        <w:pStyle w:val="Default"/>
        <w:jc w:val="both"/>
        <w:rPr>
          <w:i/>
          <w:iCs/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87"/>
        <w:gridCol w:w="1910"/>
      </w:tblGrid>
      <w:tr w:rsidR="00493104" w14:paraId="038563E6" w14:textId="77777777" w:rsidTr="00FD6DCC">
        <w:trPr>
          <w:jc w:val="center"/>
        </w:trPr>
        <w:tc>
          <w:tcPr>
            <w:tcW w:w="1487" w:type="dxa"/>
          </w:tcPr>
          <w:p w14:paraId="09CC5D4E" w14:textId="44172A9E" w:rsidR="00493104" w:rsidRPr="00D62C41" w:rsidRDefault="00493104" w:rsidP="00D62C41">
            <w:pPr>
              <w:pStyle w:val="Default"/>
              <w:jc w:val="center"/>
              <w:rPr>
                <w:b/>
                <w:bCs/>
                <w:i/>
                <w:iCs/>
                <w:lang w:val="fr-FR"/>
              </w:rPr>
            </w:pPr>
            <w:bookmarkStart w:id="1" w:name="_Hlk81329879"/>
            <w:r>
              <w:rPr>
                <w:b/>
                <w:bCs/>
                <w:i/>
                <w:iCs/>
                <w:lang w:val="fr-FR"/>
              </w:rPr>
              <w:t>Statistiques</w:t>
            </w:r>
          </w:p>
        </w:tc>
        <w:tc>
          <w:tcPr>
            <w:tcW w:w="1910" w:type="dxa"/>
          </w:tcPr>
          <w:p w14:paraId="77C55702" w14:textId="74D03934" w:rsidR="00493104" w:rsidRPr="00D62C41" w:rsidRDefault="00493104" w:rsidP="00493104">
            <w:pPr>
              <w:pStyle w:val="Default"/>
              <w:jc w:val="center"/>
              <w:rPr>
                <w:b/>
                <w:bCs/>
                <w:i/>
                <w:iCs/>
                <w:lang w:val="fr-FR"/>
              </w:rPr>
            </w:pPr>
            <w:r w:rsidRPr="00D62C41">
              <w:rPr>
                <w:b/>
                <w:bCs/>
                <w:i/>
                <w:iCs/>
                <w:lang w:val="fr-FR"/>
              </w:rPr>
              <w:t xml:space="preserve">APL </w:t>
            </w:r>
          </w:p>
        </w:tc>
      </w:tr>
      <w:tr w:rsidR="00493104" w14:paraId="21644151" w14:textId="77777777" w:rsidTr="00FD6DCC">
        <w:trPr>
          <w:jc w:val="center"/>
        </w:trPr>
        <w:tc>
          <w:tcPr>
            <w:tcW w:w="1487" w:type="dxa"/>
          </w:tcPr>
          <w:p w14:paraId="0865A1F1" w14:textId="7077104D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</w:p>
        </w:tc>
        <w:tc>
          <w:tcPr>
            <w:tcW w:w="1910" w:type="dxa"/>
          </w:tcPr>
          <w:p w14:paraId="3E02488F" w14:textId="22B957B4" w:rsidR="00493104" w:rsidRDefault="00493104" w:rsidP="00D62C41">
            <w:pPr>
              <w:pStyle w:val="Default"/>
              <w:jc w:val="center"/>
              <w:rPr>
                <w:i/>
                <w:iCs/>
                <w:lang w:val="fr-FR"/>
              </w:rPr>
            </w:pPr>
          </w:p>
        </w:tc>
      </w:tr>
      <w:tr w:rsidR="00493104" w14:paraId="4FD8FAC4" w14:textId="77777777" w:rsidTr="00FD6DCC">
        <w:trPr>
          <w:jc w:val="center"/>
        </w:trPr>
        <w:tc>
          <w:tcPr>
            <w:tcW w:w="1487" w:type="dxa"/>
          </w:tcPr>
          <w:p w14:paraId="1E2A8BA8" w14:textId="310CA392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Moyenne</w:t>
            </w:r>
          </w:p>
        </w:tc>
        <w:tc>
          <w:tcPr>
            <w:tcW w:w="1910" w:type="dxa"/>
          </w:tcPr>
          <w:p w14:paraId="613C6D98" w14:textId="1ED16197" w:rsidR="00493104" w:rsidRDefault="003244DF" w:rsidP="00E1506C">
            <w:pPr>
              <w:pStyle w:val="Default"/>
              <w:jc w:val="center"/>
              <w:rPr>
                <w:i/>
                <w:iCs/>
                <w:lang w:val="fr-FR"/>
              </w:rPr>
            </w:pPr>
            <w:r w:rsidRPr="003244DF">
              <w:rPr>
                <w:rFonts w:ascii="Calibri" w:eastAsia="Times New Roman" w:hAnsi="Calibri" w:cs="Calibri"/>
              </w:rPr>
              <w:t>98.01028</w:t>
            </w:r>
          </w:p>
        </w:tc>
      </w:tr>
      <w:tr w:rsidR="00493104" w14:paraId="7708A90C" w14:textId="77777777" w:rsidTr="00FD6DCC">
        <w:trPr>
          <w:jc w:val="center"/>
        </w:trPr>
        <w:tc>
          <w:tcPr>
            <w:tcW w:w="1487" w:type="dxa"/>
          </w:tcPr>
          <w:p w14:paraId="521918FA" w14:textId="677D2D3E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Médiane</w:t>
            </w:r>
          </w:p>
        </w:tc>
        <w:tc>
          <w:tcPr>
            <w:tcW w:w="1910" w:type="dxa"/>
          </w:tcPr>
          <w:p w14:paraId="27E01E9D" w14:textId="53C70F59" w:rsidR="00493104" w:rsidRDefault="003244DF" w:rsidP="00D62C41">
            <w:pPr>
              <w:pStyle w:val="Default"/>
              <w:jc w:val="center"/>
              <w:rPr>
                <w:i/>
                <w:iCs/>
                <w:lang w:val="fr-FR"/>
              </w:rPr>
            </w:pPr>
            <w:r w:rsidRPr="003244DF">
              <w:rPr>
                <w:rFonts w:ascii="Calibri" w:eastAsia="Times New Roman" w:hAnsi="Calibri" w:cs="Calibri"/>
              </w:rPr>
              <w:t>108.5048</w:t>
            </w:r>
          </w:p>
        </w:tc>
      </w:tr>
      <w:tr w:rsidR="00493104" w14:paraId="61CB7CCE" w14:textId="77777777" w:rsidTr="00FD6DCC">
        <w:trPr>
          <w:jc w:val="center"/>
        </w:trPr>
        <w:tc>
          <w:tcPr>
            <w:tcW w:w="1487" w:type="dxa"/>
          </w:tcPr>
          <w:p w14:paraId="224A1E02" w14:textId="00ACD907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Min</w:t>
            </w:r>
          </w:p>
        </w:tc>
        <w:tc>
          <w:tcPr>
            <w:tcW w:w="1910" w:type="dxa"/>
          </w:tcPr>
          <w:p w14:paraId="106DF4E4" w14:textId="01D430E3" w:rsidR="00493104" w:rsidRDefault="00493104" w:rsidP="00D62C41">
            <w:pPr>
              <w:pStyle w:val="Default"/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0</w:t>
            </w:r>
          </w:p>
        </w:tc>
      </w:tr>
      <w:tr w:rsidR="00493104" w14:paraId="39FBEF16" w14:textId="77777777" w:rsidTr="00FD6DCC">
        <w:trPr>
          <w:jc w:val="center"/>
        </w:trPr>
        <w:tc>
          <w:tcPr>
            <w:tcW w:w="1487" w:type="dxa"/>
          </w:tcPr>
          <w:p w14:paraId="567FE199" w14:textId="74149DA3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Max</w:t>
            </w:r>
          </w:p>
        </w:tc>
        <w:tc>
          <w:tcPr>
            <w:tcW w:w="1910" w:type="dxa"/>
          </w:tcPr>
          <w:p w14:paraId="02FE809B" w14:textId="05409463" w:rsidR="00493104" w:rsidRDefault="003244DF" w:rsidP="00D62C41">
            <w:pPr>
              <w:pStyle w:val="Default"/>
              <w:jc w:val="center"/>
              <w:rPr>
                <w:i/>
                <w:iCs/>
                <w:lang w:val="fr-FR"/>
              </w:rPr>
            </w:pPr>
            <w:r w:rsidRPr="003244DF">
              <w:rPr>
                <w:rFonts w:ascii="Calibri" w:eastAsia="Times New Roman" w:hAnsi="Calibri" w:cs="Calibri"/>
              </w:rPr>
              <w:t>232.3395</w:t>
            </w:r>
          </w:p>
        </w:tc>
      </w:tr>
      <w:tr w:rsidR="00493104" w14:paraId="3217F74F" w14:textId="77777777" w:rsidTr="00FD6DCC">
        <w:trPr>
          <w:jc w:val="center"/>
        </w:trPr>
        <w:tc>
          <w:tcPr>
            <w:tcW w:w="1487" w:type="dxa"/>
          </w:tcPr>
          <w:p w14:paraId="110FED5F" w14:textId="4045952B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Q1</w:t>
            </w:r>
          </w:p>
        </w:tc>
        <w:tc>
          <w:tcPr>
            <w:tcW w:w="1910" w:type="dxa"/>
          </w:tcPr>
          <w:p w14:paraId="2B1208D7" w14:textId="0C7DDCA3" w:rsidR="00493104" w:rsidRDefault="003244DF" w:rsidP="00D62C41">
            <w:pPr>
              <w:pStyle w:val="Default"/>
              <w:jc w:val="center"/>
              <w:rPr>
                <w:i/>
                <w:iCs/>
                <w:lang w:val="fr-FR"/>
              </w:rPr>
            </w:pPr>
            <w:r w:rsidRPr="003244DF">
              <w:rPr>
                <w:rFonts w:ascii="Calibri" w:hAnsi="Calibri" w:cs="Calibri"/>
                <w:sz w:val="22"/>
                <w:szCs w:val="22"/>
              </w:rPr>
              <w:t>62.72085</w:t>
            </w:r>
          </w:p>
        </w:tc>
      </w:tr>
      <w:tr w:rsidR="00493104" w14:paraId="44D1089B" w14:textId="77777777" w:rsidTr="00FD6DCC">
        <w:trPr>
          <w:jc w:val="center"/>
        </w:trPr>
        <w:tc>
          <w:tcPr>
            <w:tcW w:w="1487" w:type="dxa"/>
          </w:tcPr>
          <w:p w14:paraId="22234941" w14:textId="74759B1A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Q3</w:t>
            </w:r>
          </w:p>
        </w:tc>
        <w:tc>
          <w:tcPr>
            <w:tcW w:w="1910" w:type="dxa"/>
          </w:tcPr>
          <w:p w14:paraId="3EBE0C45" w14:textId="25DCE6AC" w:rsidR="00493104" w:rsidRPr="00D62C41" w:rsidRDefault="003244DF" w:rsidP="00D62C41">
            <w:pPr>
              <w:jc w:val="center"/>
              <w:rPr>
                <w:rFonts w:ascii="Calibri" w:hAnsi="Calibri" w:cs="Calibri"/>
                <w:color w:val="000000"/>
              </w:rPr>
            </w:pPr>
            <w:r w:rsidRPr="003244DF">
              <w:rPr>
                <w:rFonts w:ascii="Calibri" w:hAnsi="Calibri" w:cs="Calibri"/>
                <w:color w:val="000000"/>
              </w:rPr>
              <w:t>136.1215</w:t>
            </w:r>
          </w:p>
        </w:tc>
      </w:tr>
      <w:tr w:rsidR="00493104" w14:paraId="405931AF" w14:textId="77777777" w:rsidTr="00FD6DCC">
        <w:trPr>
          <w:jc w:val="center"/>
        </w:trPr>
        <w:tc>
          <w:tcPr>
            <w:tcW w:w="1487" w:type="dxa"/>
          </w:tcPr>
          <w:p w14:paraId="20154289" w14:textId="7F852C20" w:rsidR="00493104" w:rsidRDefault="00493104" w:rsidP="00D62C41">
            <w:pPr>
              <w:pStyle w:val="Default"/>
              <w:jc w:val="both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Kurtosis</w:t>
            </w:r>
          </w:p>
        </w:tc>
        <w:tc>
          <w:tcPr>
            <w:tcW w:w="1910" w:type="dxa"/>
          </w:tcPr>
          <w:p w14:paraId="6AA6534A" w14:textId="79636192" w:rsidR="00493104" w:rsidRPr="002A02DB" w:rsidRDefault="003244DF" w:rsidP="00D62C41">
            <w:pPr>
              <w:pStyle w:val="Default"/>
              <w:jc w:val="center"/>
              <w:rPr>
                <w:rFonts w:ascii="Calibri" w:eastAsia="Times New Roman" w:hAnsi="Calibri" w:cs="Calibri"/>
              </w:rPr>
            </w:pPr>
            <w:r w:rsidRPr="003244DF">
              <w:rPr>
                <w:rFonts w:ascii="Calibri" w:eastAsia="Times New Roman" w:hAnsi="Calibri" w:cs="Calibri"/>
              </w:rPr>
              <w:t>2.312899</w:t>
            </w:r>
          </w:p>
        </w:tc>
      </w:tr>
      <w:bookmarkEnd w:id="1"/>
    </w:tbl>
    <w:p w14:paraId="1419FF05" w14:textId="612290D7" w:rsidR="002A02DB" w:rsidRDefault="002A02DB" w:rsidP="00613CC2">
      <w:pPr>
        <w:pStyle w:val="Default"/>
        <w:jc w:val="both"/>
        <w:rPr>
          <w:i/>
          <w:iCs/>
          <w:lang w:val="fr-FR"/>
        </w:rPr>
      </w:pPr>
    </w:p>
    <w:p w14:paraId="061B6E29" w14:textId="05484662" w:rsidR="00507712" w:rsidRDefault="00507712" w:rsidP="00613CC2">
      <w:pPr>
        <w:pStyle w:val="Default"/>
        <w:jc w:val="both"/>
        <w:rPr>
          <w:i/>
          <w:iCs/>
          <w:lang w:val="fr-FR"/>
        </w:rPr>
      </w:pPr>
    </w:p>
    <w:p w14:paraId="43569CC1" w14:textId="77777777" w:rsidR="00E92E3B" w:rsidRDefault="00E92E3B" w:rsidP="00E86E96">
      <w:pPr>
        <w:pStyle w:val="Default"/>
        <w:jc w:val="both"/>
        <w:rPr>
          <w:lang w:val="fr-FR"/>
        </w:rPr>
      </w:pPr>
    </w:p>
    <w:p w14:paraId="631797C5" w14:textId="1D8B7750" w:rsidR="00E86E96" w:rsidRPr="00680D65" w:rsidRDefault="00E86E96" w:rsidP="00493104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b/>
          <w:bCs/>
          <w:sz w:val="28"/>
          <w:szCs w:val="28"/>
          <w:lang w:val="fr-FR"/>
        </w:rPr>
      </w:pPr>
      <w:r w:rsidRPr="00680D65">
        <w:rPr>
          <w:rFonts w:asciiTheme="minorHAnsi" w:hAnsiTheme="minorHAnsi" w:cstheme="minorHAnsi"/>
          <w:b/>
          <w:bCs/>
          <w:sz w:val="28"/>
          <w:szCs w:val="28"/>
          <w:lang w:val="fr-FR"/>
        </w:rPr>
        <w:t xml:space="preserve">Recommandations </w:t>
      </w:r>
    </w:p>
    <w:p w14:paraId="474EAFAF" w14:textId="30B6A9F0" w:rsidR="00E86E96" w:rsidRDefault="00E86E96" w:rsidP="00E86E96">
      <w:pPr>
        <w:pStyle w:val="Default"/>
        <w:jc w:val="both"/>
        <w:rPr>
          <w:lang w:val="fr-FR"/>
        </w:rPr>
      </w:pPr>
    </w:p>
    <w:p w14:paraId="765472CA" w14:textId="67EF8FA5" w:rsidR="00613CC2" w:rsidRPr="00FD6DCC" w:rsidRDefault="00E86E96" w:rsidP="00E86E96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>L</w:t>
      </w:r>
      <w:r w:rsidR="00FD6DCC" w:rsidRPr="00FD6DCC">
        <w:rPr>
          <w:rFonts w:asciiTheme="minorHAnsi" w:hAnsiTheme="minorHAnsi" w:cstheme="minorHAnsi"/>
          <w:lang w:val="fr-FR"/>
        </w:rPr>
        <w:t>e</w:t>
      </w:r>
      <w:r w:rsidRPr="00FD6DCC">
        <w:rPr>
          <w:rFonts w:asciiTheme="minorHAnsi" w:hAnsiTheme="minorHAnsi" w:cstheme="minorHAnsi"/>
          <w:lang w:val="fr-FR"/>
        </w:rPr>
        <w:t xml:space="preserve"> caractère complexe du calcul de l’APL (</w:t>
      </w:r>
      <w:proofErr w:type="spellStart"/>
      <w:r w:rsidRPr="00FD6DCC">
        <w:rPr>
          <w:rFonts w:asciiTheme="minorHAnsi" w:hAnsiTheme="minorHAnsi" w:cstheme="minorHAnsi"/>
          <w:lang w:val="fr-FR"/>
        </w:rPr>
        <w:t>cf</w:t>
      </w:r>
      <w:proofErr w:type="spellEnd"/>
      <w:r w:rsidRPr="00FD6DCC">
        <w:rPr>
          <w:rFonts w:asciiTheme="minorHAnsi" w:hAnsiTheme="minorHAnsi" w:cstheme="minorHAnsi"/>
          <w:lang w:val="fr-FR"/>
        </w:rPr>
        <w:t xml:space="preserve"> section</w:t>
      </w:r>
      <w:r w:rsidR="00207F94">
        <w:rPr>
          <w:rFonts w:asciiTheme="minorHAnsi" w:hAnsiTheme="minorHAnsi" w:cstheme="minorHAnsi"/>
          <w:lang w:val="fr-FR"/>
        </w:rPr>
        <w:t> </w:t>
      </w:r>
      <w:r w:rsidR="00680D65">
        <w:rPr>
          <w:rFonts w:asciiTheme="minorHAnsi" w:hAnsiTheme="minorHAnsi" w:cstheme="minorHAnsi"/>
          <w:lang w:val="fr-FR"/>
        </w:rPr>
        <w:t>3</w:t>
      </w:r>
      <w:r w:rsidRPr="00FD6DCC">
        <w:rPr>
          <w:rFonts w:asciiTheme="minorHAnsi" w:hAnsiTheme="minorHAnsi" w:cstheme="minorHAnsi"/>
          <w:lang w:val="fr-FR"/>
        </w:rPr>
        <w:t xml:space="preserve">) ne permet pas selon de </w:t>
      </w:r>
      <w:r w:rsidR="009C7594">
        <w:rPr>
          <w:rFonts w:asciiTheme="minorHAnsi" w:hAnsiTheme="minorHAnsi" w:cstheme="minorHAnsi"/>
          <w:lang w:val="fr-FR"/>
        </w:rPr>
        <w:t>disposer</w:t>
      </w:r>
      <w:r w:rsidRPr="00FD6DCC">
        <w:rPr>
          <w:rFonts w:asciiTheme="minorHAnsi" w:hAnsiTheme="minorHAnsi" w:cstheme="minorHAnsi"/>
          <w:lang w:val="fr-FR"/>
        </w:rPr>
        <w:t xml:space="preserve"> </w:t>
      </w:r>
      <w:r w:rsidR="009C7594">
        <w:rPr>
          <w:rFonts w:asciiTheme="minorHAnsi" w:hAnsiTheme="minorHAnsi" w:cstheme="minorHAnsi"/>
          <w:lang w:val="fr-FR"/>
        </w:rPr>
        <w:t>d’</w:t>
      </w:r>
      <w:r w:rsidRPr="00FD6DCC">
        <w:rPr>
          <w:rFonts w:asciiTheme="minorHAnsi" w:hAnsiTheme="minorHAnsi" w:cstheme="minorHAnsi"/>
          <w:lang w:val="fr-FR"/>
        </w:rPr>
        <w:t xml:space="preserve">un indicateur interprétable facilement. Etant donné que la méthodologie </w:t>
      </w:r>
      <w:r w:rsidR="00E41BBC" w:rsidRPr="00FD6DCC">
        <w:rPr>
          <w:rFonts w:asciiTheme="minorHAnsi" w:hAnsiTheme="minorHAnsi" w:cstheme="minorHAnsi"/>
          <w:lang w:val="fr-FR"/>
        </w:rPr>
        <w:t>développée</w:t>
      </w:r>
      <w:r w:rsidR="009C7594">
        <w:rPr>
          <w:rFonts w:asciiTheme="minorHAnsi" w:hAnsiTheme="minorHAnsi" w:cstheme="minorHAnsi"/>
          <w:lang w:val="fr-FR"/>
        </w:rPr>
        <w:t xml:space="preserve"> pour cette étude</w:t>
      </w:r>
      <w:r w:rsidRPr="00FD6DCC">
        <w:rPr>
          <w:rFonts w:asciiTheme="minorHAnsi" w:hAnsiTheme="minorHAnsi" w:cstheme="minorHAnsi"/>
          <w:lang w:val="fr-FR"/>
        </w:rPr>
        <w:t xml:space="preserve"> se base </w:t>
      </w:r>
      <w:r w:rsidR="00E41BBC" w:rsidRPr="00FD6DCC">
        <w:rPr>
          <w:rFonts w:asciiTheme="minorHAnsi" w:hAnsiTheme="minorHAnsi" w:cstheme="minorHAnsi"/>
          <w:lang w:val="fr-FR"/>
        </w:rPr>
        <w:t xml:space="preserve">uniquement </w:t>
      </w:r>
      <w:r w:rsidRPr="00FD6DCC">
        <w:rPr>
          <w:rFonts w:asciiTheme="minorHAnsi" w:hAnsiTheme="minorHAnsi" w:cstheme="minorHAnsi"/>
          <w:lang w:val="fr-FR"/>
        </w:rPr>
        <w:t xml:space="preserve">sur des données </w:t>
      </w:r>
      <w:r w:rsidR="00E41BBC" w:rsidRPr="00FD6DCC">
        <w:rPr>
          <w:rFonts w:asciiTheme="minorHAnsi" w:hAnsiTheme="minorHAnsi" w:cstheme="minorHAnsi"/>
          <w:lang w:val="fr-FR"/>
        </w:rPr>
        <w:t>libres d’utilisation</w:t>
      </w:r>
      <w:r w:rsidRPr="00FD6DCC">
        <w:rPr>
          <w:rFonts w:asciiTheme="minorHAnsi" w:hAnsiTheme="minorHAnsi" w:cstheme="minorHAnsi"/>
          <w:lang w:val="fr-FR"/>
        </w:rPr>
        <w:t>, nous ne disposons pas de certaines informations utilisées par la DREES pour leur calcul de l’APL (notamment le nombre d’acte</w:t>
      </w:r>
      <w:r w:rsidR="002B6C83">
        <w:rPr>
          <w:rFonts w:asciiTheme="minorHAnsi" w:hAnsiTheme="minorHAnsi" w:cstheme="minorHAnsi"/>
          <w:lang w:val="fr-FR"/>
        </w:rPr>
        <w:t>s</w:t>
      </w:r>
      <w:r w:rsidRPr="00FD6DCC">
        <w:rPr>
          <w:rFonts w:asciiTheme="minorHAnsi" w:hAnsiTheme="minorHAnsi" w:cstheme="minorHAnsi"/>
          <w:lang w:val="fr-FR"/>
        </w:rPr>
        <w:t xml:space="preserve"> réalisés par chaque professionnel de santé). </w:t>
      </w:r>
      <w:r w:rsidR="00613CC2" w:rsidRPr="00FD6DCC">
        <w:rPr>
          <w:rFonts w:asciiTheme="minorHAnsi" w:hAnsiTheme="minorHAnsi" w:cstheme="minorHAnsi"/>
          <w:lang w:val="fr-FR"/>
        </w:rPr>
        <w:t>Si cela n’a pas d’incidence significative sur la comparabilité de l’APL entre territoires, il nous paraît dangereux de vouloir donner une interprétation simple de cet indicateur</w:t>
      </w:r>
      <w:r w:rsidR="00E41BBC" w:rsidRPr="00FD6DCC">
        <w:rPr>
          <w:rFonts w:asciiTheme="minorHAnsi" w:hAnsiTheme="minorHAnsi" w:cstheme="minorHAnsi"/>
          <w:lang w:val="fr-FR"/>
        </w:rPr>
        <w:t xml:space="preserve"> comme le fait la DREES. </w:t>
      </w:r>
    </w:p>
    <w:p w14:paraId="158C7923" w14:textId="66E99A2A" w:rsidR="00207F94" w:rsidRDefault="00613CC2" w:rsidP="00E86E96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lastRenderedPageBreak/>
        <w:t>Nous préconisons donc à l’</w:t>
      </w:r>
      <w:r w:rsidR="00680D65">
        <w:rPr>
          <w:rFonts w:asciiTheme="minorHAnsi" w:hAnsiTheme="minorHAnsi" w:cstheme="minorHAnsi"/>
          <w:lang w:val="fr-FR"/>
        </w:rPr>
        <w:t>EUR ELMI</w:t>
      </w:r>
      <w:r w:rsidR="00680D65" w:rsidRPr="00FD6DCC">
        <w:rPr>
          <w:rFonts w:asciiTheme="minorHAnsi" w:hAnsiTheme="minorHAnsi" w:cstheme="minorHAnsi"/>
          <w:lang w:val="fr-FR"/>
        </w:rPr>
        <w:t xml:space="preserve"> :</w:t>
      </w:r>
    </w:p>
    <w:p w14:paraId="7CCBB7E9" w14:textId="1FD04FA7" w:rsidR="00AC4C30" w:rsidRPr="00FD6DCC" w:rsidRDefault="00AC4C30" w:rsidP="00E86E96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54176DD7" w14:textId="7A5547DA" w:rsidR="00AC4C30" w:rsidRPr="00FD6DCC" w:rsidRDefault="00613CC2" w:rsidP="00AC4C30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lang w:val="fr-FR"/>
        </w:rPr>
      </w:pPr>
      <w:proofErr w:type="gramStart"/>
      <w:r w:rsidRPr="00FD6DCC">
        <w:rPr>
          <w:rFonts w:asciiTheme="minorHAnsi" w:hAnsiTheme="minorHAnsi" w:cstheme="minorHAnsi"/>
          <w:lang w:val="fr-FR"/>
        </w:rPr>
        <w:t>d’utiliser</w:t>
      </w:r>
      <w:proofErr w:type="gramEnd"/>
      <w:r w:rsidRPr="00FD6DCC">
        <w:rPr>
          <w:rFonts w:asciiTheme="minorHAnsi" w:hAnsiTheme="minorHAnsi" w:cstheme="minorHAnsi"/>
          <w:lang w:val="fr-FR"/>
        </w:rPr>
        <w:t xml:space="preserve"> l’indicateur APL en tant que mesure comparative </w:t>
      </w:r>
      <w:r w:rsidR="00AC4C30" w:rsidRPr="00FD6DCC">
        <w:rPr>
          <w:rFonts w:asciiTheme="minorHAnsi" w:hAnsiTheme="minorHAnsi" w:cstheme="minorHAnsi"/>
          <w:lang w:val="fr-FR"/>
        </w:rPr>
        <w:t xml:space="preserve">(entre territoires) </w:t>
      </w:r>
      <w:r w:rsidRPr="00FD6DCC">
        <w:rPr>
          <w:rFonts w:asciiTheme="minorHAnsi" w:hAnsiTheme="minorHAnsi" w:cstheme="minorHAnsi"/>
          <w:lang w:val="fr-FR"/>
        </w:rPr>
        <w:t xml:space="preserve">de </w:t>
      </w:r>
      <w:proofErr w:type="spellStart"/>
      <w:r w:rsidRPr="00FD6DCC">
        <w:rPr>
          <w:rFonts w:asciiTheme="minorHAnsi" w:hAnsiTheme="minorHAnsi" w:cstheme="minorHAnsi"/>
          <w:lang w:val="fr-FR"/>
        </w:rPr>
        <w:t>la</w:t>
      </w:r>
      <w:proofErr w:type="spellEnd"/>
      <w:r w:rsidRPr="00FD6DCC">
        <w:rPr>
          <w:rFonts w:asciiTheme="minorHAnsi" w:hAnsiTheme="minorHAnsi" w:cstheme="minorHAnsi"/>
          <w:lang w:val="fr-FR"/>
        </w:rPr>
        <w:t xml:space="preserve"> </w:t>
      </w:r>
      <w:r w:rsidR="00680D65">
        <w:rPr>
          <w:rFonts w:asciiTheme="minorHAnsi" w:hAnsiTheme="minorHAnsi" w:cstheme="minorHAnsi"/>
          <w:lang w:val="fr-FR"/>
        </w:rPr>
        <w:t>l’accessibilité géographique aux</w:t>
      </w:r>
      <w:r w:rsidRPr="00FD6DCC">
        <w:rPr>
          <w:rFonts w:asciiTheme="minorHAnsi" w:hAnsiTheme="minorHAnsi" w:cstheme="minorHAnsi"/>
          <w:lang w:val="fr-FR"/>
        </w:rPr>
        <w:t xml:space="preserve"> professionnels de santé.</w:t>
      </w:r>
    </w:p>
    <w:p w14:paraId="30F243C9" w14:textId="77777777" w:rsidR="009C7594" w:rsidRDefault="00AC4C30" w:rsidP="009C7594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lang w:val="fr-FR"/>
        </w:rPr>
      </w:pPr>
      <w:proofErr w:type="gramStart"/>
      <w:r w:rsidRPr="00FD6DCC">
        <w:rPr>
          <w:rFonts w:asciiTheme="minorHAnsi" w:hAnsiTheme="minorHAnsi" w:cstheme="minorHAnsi"/>
          <w:lang w:val="fr-FR"/>
        </w:rPr>
        <w:t>de</w:t>
      </w:r>
      <w:proofErr w:type="gramEnd"/>
      <w:r w:rsidRPr="00FD6DCC">
        <w:rPr>
          <w:rFonts w:asciiTheme="minorHAnsi" w:hAnsiTheme="minorHAnsi" w:cstheme="minorHAnsi"/>
          <w:lang w:val="fr-FR"/>
        </w:rPr>
        <w:t xml:space="preserve"> ne pas comparer les indicateurs d’APL entre </w:t>
      </w:r>
      <w:r w:rsidR="00E41BBC" w:rsidRPr="00FD6DCC">
        <w:rPr>
          <w:rFonts w:asciiTheme="minorHAnsi" w:hAnsiTheme="minorHAnsi" w:cstheme="minorHAnsi"/>
          <w:lang w:val="fr-FR"/>
        </w:rPr>
        <w:t xml:space="preserve">les </w:t>
      </w:r>
      <w:r w:rsidRPr="00FD6DCC">
        <w:rPr>
          <w:rFonts w:asciiTheme="minorHAnsi" w:hAnsiTheme="minorHAnsi" w:cstheme="minorHAnsi"/>
          <w:lang w:val="fr-FR"/>
        </w:rPr>
        <w:t>différentes professions de santé</w:t>
      </w:r>
    </w:p>
    <w:p w14:paraId="212D9DC3" w14:textId="77777777" w:rsidR="009C7594" w:rsidRDefault="009C7594" w:rsidP="009C7594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0ED2D913" w14:textId="77777777" w:rsidR="009C7594" w:rsidRDefault="009C7594" w:rsidP="009C7594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00140752" w14:textId="6E09F397" w:rsidR="00AC4C30" w:rsidRPr="009C7594" w:rsidRDefault="00AC4C30" w:rsidP="009C7594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9C7594">
        <w:rPr>
          <w:rFonts w:asciiTheme="minorHAnsi" w:hAnsiTheme="minorHAnsi" w:cstheme="minorHAnsi"/>
          <w:lang w:val="fr-FR"/>
        </w:rPr>
        <w:t xml:space="preserve"> </w:t>
      </w:r>
    </w:p>
    <w:p w14:paraId="74EE5820" w14:textId="7728E35B" w:rsidR="00E1506C" w:rsidRPr="009C7594" w:rsidRDefault="00613CC2" w:rsidP="00E86E96">
      <w:pPr>
        <w:pStyle w:val="Default"/>
        <w:jc w:val="both"/>
        <w:rPr>
          <w:lang w:val="fr-FR"/>
        </w:rPr>
      </w:pPr>
      <w:r>
        <w:rPr>
          <w:lang w:val="fr-FR"/>
        </w:rPr>
        <w:t xml:space="preserve">  </w:t>
      </w:r>
      <w:r w:rsidR="00E1506C" w:rsidRPr="00FD6DCC">
        <w:rPr>
          <w:rFonts w:asciiTheme="minorHAnsi" w:hAnsiTheme="minorHAnsi" w:cstheme="minorHAnsi"/>
          <w:b/>
          <w:bCs/>
          <w:lang w:val="fr-FR"/>
        </w:rPr>
        <w:t>Bibliographie</w:t>
      </w:r>
      <w:r w:rsidR="00AC4C30" w:rsidRPr="00FD6DCC">
        <w:rPr>
          <w:rFonts w:asciiTheme="minorHAnsi" w:hAnsiTheme="minorHAnsi" w:cstheme="minorHAnsi"/>
          <w:b/>
          <w:bCs/>
          <w:lang w:val="fr-FR"/>
        </w:rPr>
        <w:t xml:space="preserve"> Indicative</w:t>
      </w:r>
    </w:p>
    <w:p w14:paraId="41152A7E" w14:textId="096C6893" w:rsidR="00AC4C30" w:rsidRPr="00FD6DCC" w:rsidRDefault="00AC4C30" w:rsidP="00E86E96">
      <w:pPr>
        <w:pStyle w:val="Default"/>
        <w:jc w:val="both"/>
        <w:rPr>
          <w:rFonts w:asciiTheme="minorHAnsi" w:hAnsiTheme="minorHAnsi" w:cstheme="minorHAnsi"/>
          <w:b/>
          <w:bCs/>
          <w:lang w:val="fr-FR"/>
        </w:rPr>
      </w:pPr>
    </w:p>
    <w:p w14:paraId="1EF47C96" w14:textId="1B817CE2" w:rsidR="004A024B" w:rsidRPr="00FD6DCC" w:rsidRDefault="004A024B" w:rsidP="00E86E96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>IRDES (2020), « Quelle accessibilité à la médecine générale de ville en Île-de-France ? », Focus Santé en Île-de-France, Avril 2020</w:t>
      </w:r>
    </w:p>
    <w:p w14:paraId="0433ADB9" w14:textId="77777777" w:rsidR="004A024B" w:rsidRPr="00FD6DCC" w:rsidRDefault="004A024B" w:rsidP="00E86E96">
      <w:pPr>
        <w:pStyle w:val="Default"/>
        <w:jc w:val="both"/>
        <w:rPr>
          <w:rFonts w:asciiTheme="minorHAnsi" w:hAnsiTheme="minorHAnsi" w:cstheme="minorHAnsi"/>
          <w:b/>
          <w:bCs/>
          <w:lang w:val="fr-FR"/>
        </w:rPr>
      </w:pPr>
    </w:p>
    <w:p w14:paraId="3A6C48F3" w14:textId="0B89E7F3" w:rsidR="00AC4C30" w:rsidRPr="00FD6DCC" w:rsidRDefault="00AC4C30" w:rsidP="00AC4C30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 xml:space="preserve">IRDES (2016), « Analyse de </w:t>
      </w:r>
      <w:r w:rsidR="00207F94">
        <w:rPr>
          <w:rFonts w:asciiTheme="minorHAnsi" w:hAnsiTheme="minorHAnsi" w:cstheme="minorHAnsi"/>
          <w:lang w:val="fr-FR"/>
        </w:rPr>
        <w:t>sensibilité de l’Accessibilité Potentielle L</w:t>
      </w:r>
      <w:r w:rsidRPr="00FD6DCC">
        <w:rPr>
          <w:rFonts w:asciiTheme="minorHAnsi" w:hAnsiTheme="minorHAnsi" w:cstheme="minorHAnsi"/>
          <w:lang w:val="fr-FR"/>
        </w:rPr>
        <w:t>ocalisée (APL) », document de travail n°70, février 2016</w:t>
      </w:r>
    </w:p>
    <w:p w14:paraId="6F887E01" w14:textId="77777777" w:rsidR="004A024B" w:rsidRPr="00FD6DCC" w:rsidRDefault="004A024B" w:rsidP="00AC4C30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255B3572" w14:textId="290C2074" w:rsidR="004A024B" w:rsidRPr="00FD6DCC" w:rsidRDefault="00207F94" w:rsidP="004A024B">
      <w:pPr>
        <w:pStyle w:val="Default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IRDES (2012), « L’Accessibilité Potentielle L</w:t>
      </w:r>
      <w:r w:rsidR="004A024B" w:rsidRPr="00FD6DCC">
        <w:rPr>
          <w:rFonts w:asciiTheme="minorHAnsi" w:hAnsiTheme="minorHAnsi" w:cstheme="minorHAnsi"/>
          <w:lang w:val="fr-FR"/>
        </w:rPr>
        <w:t>ocalisée (APL) : Une nouvelle mesure de l’accessibilité aux soins appliquée aux médecins généralistes libéraux en France », document de travail n°51, décembre 2012</w:t>
      </w:r>
    </w:p>
    <w:p w14:paraId="35617ED5" w14:textId="371E222B" w:rsidR="004A024B" w:rsidRPr="00FD6DCC" w:rsidRDefault="004A024B" w:rsidP="004A024B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74B5AC49" w14:textId="6353E63D" w:rsidR="00AC4C30" w:rsidRPr="00FD6DCC" w:rsidRDefault="00207F94" w:rsidP="00AC4C30">
      <w:pPr>
        <w:pStyle w:val="Default"/>
        <w:jc w:val="both"/>
        <w:rPr>
          <w:rFonts w:asciiTheme="minorHAnsi" w:hAnsiTheme="minorHAnsi" w:cstheme="minorHAnsi"/>
          <w:lang w:val="fr-FR"/>
        </w:rPr>
      </w:pPr>
      <w:r>
        <w:rPr>
          <w:rFonts w:asciiTheme="minorHAnsi" w:hAnsiTheme="minorHAnsi" w:cstheme="minorHAnsi"/>
          <w:lang w:val="fr-FR"/>
        </w:rPr>
        <w:t>DREES &amp; IRDES (2012), « L’Accessibilité Potentielle L</w:t>
      </w:r>
      <w:r w:rsidR="00AC4C30" w:rsidRPr="00FD6DCC">
        <w:rPr>
          <w:rFonts w:asciiTheme="minorHAnsi" w:hAnsiTheme="minorHAnsi" w:cstheme="minorHAnsi"/>
          <w:lang w:val="fr-FR"/>
        </w:rPr>
        <w:t>ocalisée (APL) : une nouvelle mesure de l’accessibilité aux médecins généralistes libéraux », études et résultats N° 795, mars 2012</w:t>
      </w:r>
    </w:p>
    <w:p w14:paraId="3A233AD8" w14:textId="7495315B" w:rsidR="004A024B" w:rsidRPr="00FD6DCC" w:rsidRDefault="004A024B" w:rsidP="00AC4C30">
      <w:pPr>
        <w:pStyle w:val="Default"/>
        <w:jc w:val="both"/>
        <w:rPr>
          <w:rFonts w:asciiTheme="minorHAnsi" w:hAnsiTheme="minorHAnsi" w:cstheme="minorHAnsi"/>
          <w:lang w:val="fr-FR"/>
        </w:rPr>
      </w:pPr>
    </w:p>
    <w:p w14:paraId="1A935570" w14:textId="221E8F4E" w:rsidR="004A024B" w:rsidRPr="00FD6DCC" w:rsidRDefault="004A024B" w:rsidP="004A024B">
      <w:pPr>
        <w:pStyle w:val="Default"/>
        <w:jc w:val="both"/>
        <w:rPr>
          <w:rFonts w:asciiTheme="minorHAnsi" w:hAnsiTheme="minorHAnsi" w:cstheme="minorHAnsi"/>
          <w:lang w:val="fr-FR"/>
        </w:rPr>
      </w:pPr>
      <w:r w:rsidRPr="00FD6DCC">
        <w:rPr>
          <w:rFonts w:asciiTheme="minorHAnsi" w:hAnsiTheme="minorHAnsi" w:cstheme="minorHAnsi"/>
          <w:lang w:val="fr-FR"/>
        </w:rPr>
        <w:t>DRESS (2016), « Portrait des professionnels de santé », Panorama de la DREES Santé, Edition 2016</w:t>
      </w:r>
    </w:p>
    <w:p w14:paraId="30B8EEE0" w14:textId="77777777" w:rsidR="004A024B" w:rsidRPr="00FD6DCC" w:rsidRDefault="004A024B" w:rsidP="00AC4C30">
      <w:pPr>
        <w:pStyle w:val="Default"/>
        <w:jc w:val="both"/>
        <w:rPr>
          <w:rFonts w:asciiTheme="minorHAnsi" w:hAnsiTheme="minorHAnsi" w:cstheme="minorHAnsi"/>
          <w:lang w:val="fr-FR"/>
        </w:rPr>
      </w:pPr>
    </w:p>
    <w:sectPr w:rsidR="004A024B" w:rsidRPr="00FD6DCC" w:rsidSect="000F5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1D94C" w14:textId="77777777" w:rsidR="006C36D0" w:rsidRDefault="006C36D0" w:rsidP="00BC2B27">
      <w:pPr>
        <w:spacing w:after="0" w:line="240" w:lineRule="auto"/>
      </w:pPr>
      <w:r>
        <w:separator/>
      </w:r>
    </w:p>
  </w:endnote>
  <w:endnote w:type="continuationSeparator" w:id="0">
    <w:p w14:paraId="1F2BDEF4" w14:textId="77777777" w:rsidR="006C36D0" w:rsidRDefault="006C36D0" w:rsidP="00BC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IT Cby B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9467F" w14:textId="77777777" w:rsidR="006C36D0" w:rsidRDefault="006C36D0" w:rsidP="00BC2B27">
      <w:pPr>
        <w:spacing w:after="0" w:line="240" w:lineRule="auto"/>
      </w:pPr>
      <w:r>
        <w:separator/>
      </w:r>
    </w:p>
  </w:footnote>
  <w:footnote w:type="continuationSeparator" w:id="0">
    <w:p w14:paraId="07985FF7" w14:textId="77777777" w:rsidR="006C36D0" w:rsidRDefault="006C36D0" w:rsidP="00BC2B27">
      <w:pPr>
        <w:spacing w:after="0" w:line="240" w:lineRule="auto"/>
      </w:pPr>
      <w:r>
        <w:continuationSeparator/>
      </w:r>
    </w:p>
  </w:footnote>
  <w:footnote w:id="1">
    <w:p w14:paraId="7B83F5D9" w14:textId="6F3E10E9" w:rsidR="000B6945" w:rsidRPr="00305DC2" w:rsidRDefault="000B694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305DC2">
        <w:rPr>
          <w:lang w:val="fr-FR"/>
        </w:rPr>
        <w:t xml:space="preserve"> </w:t>
      </w:r>
      <w:r>
        <w:rPr>
          <w:lang w:val="fr-FR"/>
        </w:rPr>
        <w:t>Pour les praticiens exerçant dans différents lieux, nous divisons l’ETP par le nombre de localisations différentes.</w:t>
      </w:r>
    </w:p>
  </w:footnote>
  <w:footnote w:id="2">
    <w:p w14:paraId="4041A184" w14:textId="43B3C5FD" w:rsidR="000B6945" w:rsidRPr="00933660" w:rsidRDefault="000B6945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933660">
        <w:rPr>
          <w:lang w:val="fr-FR"/>
        </w:rPr>
        <w:t xml:space="preserve"> </w:t>
      </w:r>
      <w:r>
        <w:rPr>
          <w:lang w:val="fr-FR"/>
        </w:rPr>
        <w:t xml:space="preserve">Une population standardisée signifie que nous tenons compte des différences de besoin en soins de santé en fonction de l’âge de la population. </w:t>
      </w:r>
    </w:p>
  </w:footnote>
  <w:footnote w:id="3">
    <w:p w14:paraId="465497F1" w14:textId="77777777" w:rsidR="007862A6" w:rsidRPr="007A1932" w:rsidRDefault="007862A6" w:rsidP="007862A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 w:rsidRPr="00994E3A">
        <w:rPr>
          <w:lang w:val="fr-FR"/>
        </w:rPr>
        <w:t xml:space="preserve"> </w:t>
      </w:r>
      <w:r>
        <w:rPr>
          <w:lang w:val="fr-FR"/>
        </w:rPr>
        <w:t>« </w:t>
      </w:r>
      <w:r w:rsidRPr="00994E3A">
        <w:rPr>
          <w:lang w:val="fr-FR"/>
        </w:rPr>
        <w:t>Analyse de sensibilité de l’Accessibilité</w:t>
      </w:r>
      <w:r>
        <w:rPr>
          <w:lang w:val="fr-FR"/>
        </w:rPr>
        <w:t xml:space="preserve"> P</w:t>
      </w:r>
      <w:r w:rsidRPr="00994E3A">
        <w:rPr>
          <w:lang w:val="fr-FR"/>
        </w:rPr>
        <w:t xml:space="preserve">otentielle </w:t>
      </w:r>
      <w:r>
        <w:rPr>
          <w:lang w:val="fr-FR"/>
        </w:rPr>
        <w:t>L</w:t>
      </w:r>
      <w:r w:rsidRPr="00994E3A">
        <w:rPr>
          <w:lang w:val="fr-FR"/>
        </w:rPr>
        <w:t>ocalisée (APL)</w:t>
      </w:r>
      <w:r>
        <w:rPr>
          <w:lang w:val="fr-FR"/>
        </w:rPr>
        <w:t> », DREES, Document de travail 70, février 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0438"/>
    <w:multiLevelType w:val="hybridMultilevel"/>
    <w:tmpl w:val="8B189670"/>
    <w:lvl w:ilvl="0" w:tplc="F0326984">
      <w:start w:val="7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FCC"/>
    <w:multiLevelType w:val="multilevel"/>
    <w:tmpl w:val="B952FE6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61669E"/>
    <w:multiLevelType w:val="hybridMultilevel"/>
    <w:tmpl w:val="C1AA2FA2"/>
    <w:lvl w:ilvl="0" w:tplc="1B9202A4">
      <w:start w:val="7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916ED"/>
    <w:multiLevelType w:val="hybridMultilevel"/>
    <w:tmpl w:val="ED486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A3B17"/>
    <w:multiLevelType w:val="hybridMultilevel"/>
    <w:tmpl w:val="E25A3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22093"/>
    <w:multiLevelType w:val="hybridMultilevel"/>
    <w:tmpl w:val="12CC7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B3F58"/>
    <w:multiLevelType w:val="hybridMultilevel"/>
    <w:tmpl w:val="55DC5D34"/>
    <w:lvl w:ilvl="0" w:tplc="5A641378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E62B2"/>
    <w:multiLevelType w:val="multilevel"/>
    <w:tmpl w:val="FF32B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6C06A2A"/>
    <w:multiLevelType w:val="hybridMultilevel"/>
    <w:tmpl w:val="2A44B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E085C"/>
    <w:multiLevelType w:val="hybridMultilevel"/>
    <w:tmpl w:val="C4D6B8BC"/>
    <w:lvl w:ilvl="0" w:tplc="CE342B8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73206"/>
    <w:multiLevelType w:val="hybridMultilevel"/>
    <w:tmpl w:val="75BA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E0375"/>
    <w:multiLevelType w:val="hybridMultilevel"/>
    <w:tmpl w:val="376C9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F2A45"/>
    <w:multiLevelType w:val="hybridMultilevel"/>
    <w:tmpl w:val="6952F3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36AE6"/>
    <w:multiLevelType w:val="hybridMultilevel"/>
    <w:tmpl w:val="B3543006"/>
    <w:lvl w:ilvl="0" w:tplc="CF30FD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599806">
    <w:abstractNumId w:val="7"/>
  </w:num>
  <w:num w:numId="2" w16cid:durableId="512913695">
    <w:abstractNumId w:val="8"/>
  </w:num>
  <w:num w:numId="3" w16cid:durableId="1907687708">
    <w:abstractNumId w:val="3"/>
  </w:num>
  <w:num w:numId="4" w16cid:durableId="1719009563">
    <w:abstractNumId w:val="6"/>
  </w:num>
  <w:num w:numId="5" w16cid:durableId="1360932562">
    <w:abstractNumId w:val="9"/>
  </w:num>
  <w:num w:numId="6" w16cid:durableId="1336302887">
    <w:abstractNumId w:val="12"/>
  </w:num>
  <w:num w:numId="7" w16cid:durableId="847253088">
    <w:abstractNumId w:val="10"/>
  </w:num>
  <w:num w:numId="8" w16cid:durableId="859007553">
    <w:abstractNumId w:val="2"/>
  </w:num>
  <w:num w:numId="9" w16cid:durableId="1001930668">
    <w:abstractNumId w:val="0"/>
  </w:num>
  <w:num w:numId="10" w16cid:durableId="1479296632">
    <w:abstractNumId w:val="4"/>
  </w:num>
  <w:num w:numId="11" w16cid:durableId="628440818">
    <w:abstractNumId w:val="13"/>
  </w:num>
  <w:num w:numId="12" w16cid:durableId="475952998">
    <w:abstractNumId w:val="11"/>
  </w:num>
  <w:num w:numId="13" w16cid:durableId="1031686099">
    <w:abstractNumId w:val="1"/>
  </w:num>
  <w:num w:numId="14" w16cid:durableId="1574585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6A9"/>
    <w:rsid w:val="00024472"/>
    <w:rsid w:val="0007037A"/>
    <w:rsid w:val="000712F1"/>
    <w:rsid w:val="000A3688"/>
    <w:rsid w:val="000B6945"/>
    <w:rsid w:val="000D4AB3"/>
    <w:rsid w:val="000E2E3F"/>
    <w:rsid w:val="000E3935"/>
    <w:rsid w:val="000F50DF"/>
    <w:rsid w:val="00102F53"/>
    <w:rsid w:val="001366ED"/>
    <w:rsid w:val="0018158A"/>
    <w:rsid w:val="00185910"/>
    <w:rsid w:val="00207F94"/>
    <w:rsid w:val="00207FE3"/>
    <w:rsid w:val="00215A7A"/>
    <w:rsid w:val="00241DC6"/>
    <w:rsid w:val="00253583"/>
    <w:rsid w:val="00296192"/>
    <w:rsid w:val="002A02DB"/>
    <w:rsid w:val="002B6C83"/>
    <w:rsid w:val="00305DC2"/>
    <w:rsid w:val="003236EE"/>
    <w:rsid w:val="003244DF"/>
    <w:rsid w:val="003705E1"/>
    <w:rsid w:val="003C7744"/>
    <w:rsid w:val="003D46A9"/>
    <w:rsid w:val="00425B67"/>
    <w:rsid w:val="00426C8F"/>
    <w:rsid w:val="00493104"/>
    <w:rsid w:val="004A024B"/>
    <w:rsid w:val="004F2143"/>
    <w:rsid w:val="00507712"/>
    <w:rsid w:val="00517C90"/>
    <w:rsid w:val="00592E89"/>
    <w:rsid w:val="00610C3E"/>
    <w:rsid w:val="00613CC2"/>
    <w:rsid w:val="00657B6E"/>
    <w:rsid w:val="00680D65"/>
    <w:rsid w:val="006C36D0"/>
    <w:rsid w:val="00710808"/>
    <w:rsid w:val="0071564B"/>
    <w:rsid w:val="00750723"/>
    <w:rsid w:val="00774A16"/>
    <w:rsid w:val="007776D6"/>
    <w:rsid w:val="0077789F"/>
    <w:rsid w:val="007862A6"/>
    <w:rsid w:val="007874BE"/>
    <w:rsid w:val="007A1932"/>
    <w:rsid w:val="007E429F"/>
    <w:rsid w:val="00843044"/>
    <w:rsid w:val="00845FE9"/>
    <w:rsid w:val="008775FD"/>
    <w:rsid w:val="008A29C9"/>
    <w:rsid w:val="008E690E"/>
    <w:rsid w:val="0091372B"/>
    <w:rsid w:val="00930C62"/>
    <w:rsid w:val="009318F6"/>
    <w:rsid w:val="00933660"/>
    <w:rsid w:val="009438FF"/>
    <w:rsid w:val="00994E3A"/>
    <w:rsid w:val="009B2A41"/>
    <w:rsid w:val="009C7594"/>
    <w:rsid w:val="00A060D8"/>
    <w:rsid w:val="00A14B68"/>
    <w:rsid w:val="00AB2D57"/>
    <w:rsid w:val="00AC4C30"/>
    <w:rsid w:val="00AD16B0"/>
    <w:rsid w:val="00B72359"/>
    <w:rsid w:val="00BA39CA"/>
    <w:rsid w:val="00BB58A4"/>
    <w:rsid w:val="00BC2B27"/>
    <w:rsid w:val="00C079F9"/>
    <w:rsid w:val="00C369B9"/>
    <w:rsid w:val="00C44195"/>
    <w:rsid w:val="00C453C9"/>
    <w:rsid w:val="00C8469B"/>
    <w:rsid w:val="00CA0C83"/>
    <w:rsid w:val="00D03897"/>
    <w:rsid w:val="00D167F8"/>
    <w:rsid w:val="00D62C41"/>
    <w:rsid w:val="00D658B6"/>
    <w:rsid w:val="00DF46FA"/>
    <w:rsid w:val="00DF7C90"/>
    <w:rsid w:val="00E1506C"/>
    <w:rsid w:val="00E41BBC"/>
    <w:rsid w:val="00E555BE"/>
    <w:rsid w:val="00E61C82"/>
    <w:rsid w:val="00E62D14"/>
    <w:rsid w:val="00E81B93"/>
    <w:rsid w:val="00E86E96"/>
    <w:rsid w:val="00E92E3B"/>
    <w:rsid w:val="00EC0C36"/>
    <w:rsid w:val="00F141FD"/>
    <w:rsid w:val="00F15354"/>
    <w:rsid w:val="00F478AF"/>
    <w:rsid w:val="00F80953"/>
    <w:rsid w:val="00F91626"/>
    <w:rsid w:val="00F948CC"/>
    <w:rsid w:val="00FB6DA1"/>
    <w:rsid w:val="00FD0EFA"/>
    <w:rsid w:val="00FD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033C"/>
  <w15:chartTrackingRefBased/>
  <w15:docId w15:val="{A6CEAA83-63B7-4F55-9C0E-86585D3B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44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46A9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C2B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C2B27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C2B27"/>
    <w:rPr>
      <w:vertAlign w:val="superscript"/>
    </w:rPr>
  </w:style>
  <w:style w:type="paragraph" w:customStyle="1" w:styleId="Default">
    <w:name w:val="Default"/>
    <w:rsid w:val="00207FE3"/>
    <w:pPr>
      <w:autoSpaceDE w:val="0"/>
      <w:autoSpaceDN w:val="0"/>
      <w:adjustRightInd w:val="0"/>
      <w:spacing w:after="0" w:line="240" w:lineRule="auto"/>
    </w:pPr>
    <w:rPr>
      <w:rFonts w:ascii="Franklin Gothic IT Cby BT" w:hAnsi="Franklin Gothic IT Cby BT" w:cs="Franklin Gothic IT Cby BT"/>
      <w:color w:val="000000"/>
      <w:sz w:val="24"/>
      <w:szCs w:val="24"/>
    </w:rPr>
  </w:style>
  <w:style w:type="character" w:customStyle="1" w:styleId="A12">
    <w:name w:val="A12"/>
    <w:uiPriority w:val="99"/>
    <w:rsid w:val="00207FE3"/>
    <w:rPr>
      <w:rFonts w:cs="Franklin Gothic IT Cby BT"/>
      <w:i/>
      <w:iCs/>
      <w:color w:val="000000"/>
      <w:sz w:val="9"/>
      <w:szCs w:val="9"/>
    </w:rPr>
  </w:style>
  <w:style w:type="character" w:styleId="Textedelespacerserv">
    <w:name w:val="Placeholder Text"/>
    <w:basedOn w:val="Policepardfaut"/>
    <w:uiPriority w:val="99"/>
    <w:semiHidden/>
    <w:rsid w:val="00592E89"/>
    <w:rPr>
      <w:color w:val="80808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3366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93366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933660"/>
    <w:rPr>
      <w:vertAlign w:val="superscript"/>
    </w:rPr>
  </w:style>
  <w:style w:type="table" w:styleId="Grilledutableau">
    <w:name w:val="Table Grid"/>
    <w:basedOn w:val="TableauNormal"/>
    <w:uiPriority w:val="39"/>
    <w:rsid w:val="0007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024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4472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024472"/>
    <w:pPr>
      <w:spacing w:after="100"/>
      <w:ind w:left="220"/>
    </w:pPr>
    <w:rPr>
      <w:rFonts w:eastAsiaTheme="minorEastAsia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024472"/>
    <w:pPr>
      <w:spacing w:after="100"/>
    </w:pPr>
    <w:rPr>
      <w:rFonts w:eastAsiaTheme="minorEastAsia" w:cs="Times New Roman"/>
    </w:rPr>
  </w:style>
  <w:style w:type="paragraph" w:styleId="TM3">
    <w:name w:val="toc 3"/>
    <w:basedOn w:val="Normal"/>
    <w:next w:val="Normal"/>
    <w:autoRedefine/>
    <w:uiPriority w:val="39"/>
    <w:unhideWhenUsed/>
    <w:rsid w:val="00024472"/>
    <w:pPr>
      <w:spacing w:after="100"/>
      <w:ind w:left="440"/>
    </w:pPr>
    <w:rPr>
      <w:rFonts w:eastAsiaTheme="minorEastAsia" w:cs="Times New Roman"/>
    </w:rPr>
  </w:style>
  <w:style w:type="paragraph" w:styleId="Sansinterligne">
    <w:name w:val="No Spacing"/>
    <w:uiPriority w:val="1"/>
    <w:qFormat/>
    <w:rsid w:val="0002447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136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66ED"/>
  </w:style>
  <w:style w:type="paragraph" w:styleId="Pieddepage">
    <w:name w:val="footer"/>
    <w:basedOn w:val="Normal"/>
    <w:link w:val="PieddepageCar"/>
    <w:uiPriority w:val="99"/>
    <w:unhideWhenUsed/>
    <w:rsid w:val="001366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4CEDE-2D3A-4E0F-8ADB-B57314A3E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1172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Montmartin</dc:creator>
  <cp:keywords/>
  <dc:description/>
  <cp:lastModifiedBy>MONTMARTIN Benjamin</cp:lastModifiedBy>
  <cp:revision>13</cp:revision>
  <dcterms:created xsi:type="dcterms:W3CDTF">2021-09-01T15:37:00Z</dcterms:created>
  <dcterms:modified xsi:type="dcterms:W3CDTF">2023-09-04T10:03:00Z</dcterms:modified>
</cp:coreProperties>
</file>