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Kestrel Financial Summary</w:t>
      </w:r>
    </w:p>
    <w:p>
      <w:r>
        <w:t>Revenue grew steadily across all four quarters of the fiscal year.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Quarter</w:t>
            </w:r>
          </w:p>
        </w:tc>
        <w:tc>
          <w:tcPr>
            <w:tcW w:type="dxa" w:w="4320"/>
          </w:tcPr>
          <w:p>
            <w:r>
              <w:t>Revenue ($M)</w:t>
            </w:r>
          </w:p>
        </w:tc>
      </w:tr>
      <w:tr>
        <w:tc>
          <w:tcPr>
            <w:tcW w:type="dxa" w:w="4320"/>
          </w:tcPr>
          <w:p>
            <w:r>
              <w:t>Q1</w:t>
            </w:r>
          </w:p>
        </w:tc>
        <w:tc>
          <w:tcPr>
            <w:tcW w:type="dxa" w:w="4320"/>
          </w:tcPr>
          <w:p>
            <w:r>
              <w:t>42</w:t>
            </w:r>
          </w:p>
        </w:tc>
      </w:tr>
      <w:tr>
        <w:tc>
          <w:tcPr>
            <w:tcW w:type="dxa" w:w="4320"/>
          </w:tcPr>
          <w:p>
            <w:r>
              <w:t>Q2</w:t>
            </w:r>
          </w:p>
        </w:tc>
        <w:tc>
          <w:tcPr>
            <w:tcW w:type="dxa" w:w="4320"/>
          </w:tcPr>
          <w:p>
            <w:r>
              <w:t>58</w:t>
            </w:r>
          </w:p>
        </w:tc>
      </w:tr>
      <w:tr>
        <w:tc>
          <w:tcPr>
            <w:tcW w:type="dxa" w:w="4320"/>
          </w:tcPr>
          <w:p>
            <w:r>
              <w:t>Q3</w:t>
            </w:r>
          </w:p>
        </w:tc>
        <w:tc>
          <w:tcPr>
            <w:tcW w:type="dxa" w:w="4320"/>
          </w:tcPr>
          <w:p>
            <w:r>
              <w:t>51</w:t>
            </w:r>
          </w:p>
        </w:tc>
      </w:tr>
      <w:tr>
        <w:tc>
          <w:tcPr>
            <w:tcW w:type="dxa" w:w="4320"/>
          </w:tcPr>
          <w:p>
            <w:r>
              <w:t>Q4</w:t>
            </w:r>
          </w:p>
        </w:tc>
        <w:tc>
          <w:tcPr>
            <w:tcW w:type="dxa" w:w="4320"/>
          </w:tcPr>
          <w:p>
            <w:r>
              <w:t>73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4572000" cy="2743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chart_tm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