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ésumé-en-anglais"/>
    <w:p>
      <w:pPr>
        <w:pStyle w:val="Heading1"/>
      </w:pPr>
      <w:r>
        <w:t xml:space="preserve">Résumé (en anglais)</w:t>
      </w:r>
    </w:p>
    <w:p>
      <w:pPr>
        <w:pStyle w:val="FirstParagraph"/>
      </w:pPr>
      <w:r>
        <w:t xml:space="preserve">This report presents the experimental determination of the gravitational constant using a simple pendulum. The procedure involved measuring the period of oscillation for a pendulum of varying lengths and recording the velocity of a falling mass at different times. Linear regression was performed on the data, yielding slopes of</w:t>
      </w:r>
      <w:r>
        <w:t xml:space="preserve"> </w:t>
      </w:r>
      <m:oMath>
        <m:r>
          <m:t>1.497</m:t>
        </m:r>
        <m:r>
          <m:rPr>
            <m:sty m:val="p"/>
          </m:rPr>
          <m:t>±</m:t>
        </m:r>
        <m:r>
          <m:t>0.017</m:t>
        </m:r>
        <m:r>
          <m:t> </m:t>
        </m:r>
        <m:r>
          <m:rPr>
            <m:sty m:val="p"/>
          </m:rPr>
          <m:t>m</m:t>
        </m:r>
        <m:r>
          <m:rPr>
            <m:sty m:val="p"/>
          </m:rPr>
          <m:t> </m:t>
        </m:r>
        <m:sSup>
          <m:e>
            <m:r>
              <m:rPr>
                <m:sty m:val="p"/>
              </m:rPr>
              <m:t>s</m:t>
            </m:r>
          </m:e>
          <m:sup>
            <m:r>
              <m:rPr>
                <m:sty m:val="p"/>
              </m:rPr>
              <m:t>−</m:t>
            </m:r>
            <m:r>
              <m:rPr>
                <m:sty m:val="p"/>
              </m:rPr>
              <m:t>1</m:t>
            </m:r>
          </m:sup>
        </m:sSup>
      </m:oMath>
      <w:r>
        <w:t xml:space="preserve"> </w:t>
      </w:r>
      <w:r>
        <w:t xml:space="preserve">for velocity versus time and</w:t>
      </w:r>
      <w:r>
        <w:t xml:space="preserve"> </w:t>
      </w:r>
      <m:oMath>
        <m:r>
          <m:t>0.040</m:t>
        </m:r>
        <m:r>
          <m:rPr>
            <m:sty m:val="p"/>
          </m:rPr>
          <m:t>±</m:t>
        </m:r>
        <m:r>
          <m:t>0.000</m:t>
        </m:r>
        <m:r>
          <m:t> </m:t>
        </m:r>
        <m:sSup>
          <m:e>
            <m:r>
              <m:rPr>
                <m:sty m:val="p"/>
              </m:rPr>
              <m:t>s</m:t>
            </m:r>
          </m:e>
          <m:sup>
            <m:r>
              <m:rPr>
                <m:sty m:val="p"/>
              </m:rPr>
              <m:t>2</m:t>
            </m:r>
          </m:sup>
        </m:sSup>
        <m:r>
          <m:rPr>
            <m:sty m:val="p"/>
          </m:rPr>
          <m:t> </m:t>
        </m:r>
        <m:r>
          <m:rPr>
            <m:sty m:val="p"/>
          </m:rPr>
          <m:t>c</m:t>
        </m:r>
        <m:sSup>
          <m:e>
            <m:r>
              <m:rPr>
                <m:sty m:val="p"/>
              </m:rPr>
              <m:t>m</m:t>
            </m:r>
          </m:e>
          <m:sup>
            <m:r>
              <m:rPr>
                <m:sty m:val="p"/>
              </m:rPr>
              <m:t>−</m:t>
            </m:r>
            <m:r>
              <m:rPr>
                <m:sty m:val="p"/>
              </m:rPr>
              <m:t>1</m:t>
            </m:r>
          </m:sup>
        </m:sSup>
      </m:oMath>
      <w:r>
        <w:t xml:space="preserve"> </w:t>
      </w:r>
      <w:r>
        <w:t xml:space="preserve">for the square of the period versus length. The correlation coefficients</w:t>
      </w:r>
      <w:r>
        <w:t xml:space="preserve"> </w:t>
      </w:r>
      <m:oMath>
        <m:sSup>
          <m:e>
            <m:r>
              <m:t>r</m:t>
            </m:r>
          </m:e>
          <m:sup>
            <m:r>
              <m:t>2</m:t>
            </m:r>
          </m:sup>
        </m:sSup>
      </m:oMath>
      <w:r>
        <w:t xml:space="preserve"> </w:t>
      </w:r>
      <w:r>
        <w:t xml:space="preserve">of</w:t>
      </w:r>
      <w:r>
        <w:t xml:space="preserve"> </w:t>
      </w:r>
      <m:oMath>
        <m:r>
          <m:t>0.999</m:t>
        </m:r>
      </m:oMath>
      <w:r>
        <w:t xml:space="preserve"> </w:t>
      </w:r>
      <w:r>
        <w:t xml:space="preserve">and</w:t>
      </w:r>
      <w:r>
        <w:t xml:space="preserve"> </w:t>
      </w:r>
      <m:oMath>
        <m:r>
          <m:t>1.000</m:t>
        </m:r>
      </m:oMath>
      <w:r>
        <w:t xml:space="preserve"> </w:t>
      </w:r>
      <w:r>
        <w:t xml:space="preserve">indicate excellent linearity. From these results, the gravitational acceleration</w:t>
      </w:r>
      <w:r>
        <w:t xml:space="preserve"> </w:t>
      </w:r>
      <m:oMath>
        <m:r>
          <m:t>g</m:t>
        </m:r>
      </m:oMath>
      <w:r>
        <w:t xml:space="preserve"> </w:t>
      </w:r>
      <w:r>
        <w:t xml:space="preserve">can be inferred with high precision, demonstrating the validity of the simple pendulum model.</w:t>
      </w:r>
    </w:p>
    <w:bookmarkEnd w:id="9"/>
    <w:bookmarkStart w:id="10" w:name="introduction"/>
    <w:p>
      <w:pPr>
        <w:pStyle w:val="Heading1"/>
      </w:pPr>
      <w:r>
        <w:t xml:space="preserve">Introduction</w:t>
      </w:r>
    </w:p>
    <w:p>
      <w:pPr>
        <w:pStyle w:val="FirstParagraph"/>
      </w:pPr>
      <w:r>
        <w:t xml:space="preserve">Le pendule simple constitue un dispositif classique pour étudier les lois du mouvement oscillatoire et, par extension, mesurer la constante gravitationnelle</w:t>
      </w:r>
      <w:r>
        <w:t xml:space="preserve"> </w:t>
      </w:r>
      <m:oMath>
        <m:r>
          <m:t>g</m:t>
        </m:r>
      </m:oMath>
      <w:r>
        <w:t xml:space="preserve">. Dans cette expérience, nous avons mis en œuvre une méthode expérimentale basée sur la collecte de données de vitesse et de période en fonction du temps et de la longueur du fil. L’objectif est de vérifier la relation théorique</w:t>
      </w:r>
      <w:r>
        <w:t xml:space="preserve"> </w:t>
      </w:r>
      <m:oMath>
        <m:r>
          <m:t>T</m:t>
        </m:r>
        <m:r>
          <m:rPr>
            <m:sty m:val="p"/>
          </m:rPr>
          <m:t>=</m:t>
        </m:r>
        <m:r>
          <m:t>2</m:t>
        </m:r>
        <m:r>
          <m:t>π</m:t>
        </m:r>
        <m:rad>
          <m:radPr>
            <m:degHide m:val="on"/>
          </m:radPr>
          <m:deg/>
          <m:e>
            <m:r>
              <m:t>L</m:t>
            </m:r>
            <m:r>
              <m:rPr>
                <m:sty m:val="p"/>
              </m:rPr>
              <m:t>/</m:t>
            </m:r>
            <m:r>
              <m:t>g</m:t>
            </m:r>
          </m:e>
        </m:rad>
      </m:oMath>
      <w:r>
        <w:t xml:space="preserve"> </w:t>
      </w:r>
      <w:r>
        <w:t xml:space="preserve">et d’estimer</w:t>
      </w:r>
      <w:r>
        <w:t xml:space="preserve"> </w:t>
      </w:r>
      <m:oMath>
        <m:r>
          <m:t>g</m:t>
        </m:r>
      </m:oMath>
      <w:r>
        <w:t xml:space="preserve"> </w:t>
      </w:r>
      <w:r>
        <w:t xml:space="preserve">à partir des mesures obtenues.</w:t>
      </w:r>
    </w:p>
    <w:bookmarkEnd w:id="10"/>
    <w:bookmarkStart w:id="11" w:name="principe"/>
    <w:p>
      <w:pPr>
        <w:pStyle w:val="Heading1"/>
      </w:pPr>
      <w:r>
        <w:t xml:space="preserve">Principe</w:t>
      </w:r>
    </w:p>
    <w:p>
      <w:pPr>
        <w:pStyle w:val="FirstParagraph"/>
      </w:pPr>
      <w:r>
        <w:t xml:space="preserve">La dynamique d’un pendule simple de longueur</w:t>
      </w:r>
      <w:r>
        <w:t xml:space="preserve"> </w:t>
      </w:r>
      <m:oMath>
        <m:r>
          <m:t>L</m:t>
        </m:r>
      </m:oMath>
      <w:r>
        <w:t xml:space="preserve"> </w:t>
      </w:r>
      <w:r>
        <w:t xml:space="preserve">et de masse</w:t>
      </w:r>
      <w:r>
        <w:t xml:space="preserve"> </w:t>
      </w:r>
      <m:oMath>
        <m:r>
          <m:t>m</m:t>
        </m:r>
      </m:oMath>
      <w:r>
        <w:t xml:space="preserve"> </w:t>
      </w:r>
      <w:r>
        <w:t xml:space="preserve">se décrit par l’équation</w:t>
      </w:r>
    </w:p>
    <w:p>
      <w:pPr>
        <w:pStyle w:val="BodyText"/>
      </w:pPr>
      <m:oMathPara>
        <m:oMathParaPr>
          <m:jc m:val="center"/>
        </m:oMathParaPr>
        <m:oMath>
          <m:acc>
            <m:accPr>
              <m:chr m:val="̈"/>
            </m:accPr>
            <m:e>
              <m:r>
                <m:t>θ</m:t>
              </m:r>
            </m:e>
          </m:acc>
          <m:r>
            <m:rPr>
              <m:sty m:val="p"/>
            </m:rPr>
            <m:t>+</m:t>
          </m:r>
          <m:f>
            <m:fPr>
              <m:type m:val="bar"/>
            </m:fPr>
            <m:num>
              <m:r>
                <m:t>g</m:t>
              </m:r>
            </m:num>
            <m:den>
              <m:r>
                <m:t>L</m:t>
              </m:r>
            </m:den>
          </m:f>
          <m:r>
            <m:rPr>
              <m:sty m:val="p"/>
            </m:rPr>
            <m:t>sin</m:t>
          </m:r>
          <m:r>
            <m:t>θ</m:t>
          </m:r>
          <m:r>
            <m:rPr>
              <m:sty m:val="p"/>
            </m:rPr>
            <m:t>=</m:t>
          </m:r>
          <m:r>
            <m:t>0</m:t>
          </m:r>
          <m:r>
            <m:rPr>
              <m:sty m:val="p"/>
            </m:rPr>
            <m:t>.</m:t>
          </m:r>
        </m:oMath>
      </m:oMathPara>
    </w:p>
    <w:p>
      <w:pPr>
        <w:pStyle w:val="FirstParagraph"/>
      </w:pPr>
      <w:r>
        <w:t xml:space="preserve">Dans le régime de petites amplitudes,</w:t>
      </w:r>
      <w:r>
        <w:t xml:space="preserve"> </w:t>
      </w:r>
      <m:oMath>
        <m:r>
          <m:rPr>
            <m:sty m:val="p"/>
          </m:rPr>
          <m:t>sin</m:t>
        </m:r>
        <m:r>
          <m:t>θ</m:t>
        </m:r>
        <m:r>
          <m:rPr>
            <m:sty m:val="p"/>
          </m:rPr>
          <m:t>≈</m:t>
        </m:r>
        <m:r>
          <m:t>θ</m:t>
        </m:r>
      </m:oMath>
      <w:r>
        <w:t xml:space="preserve">, et la période</w:t>
      </w:r>
      <w:r>
        <w:t xml:space="preserve"> </w:t>
      </w:r>
      <m:oMath>
        <m:r>
          <m:t>T</m:t>
        </m:r>
      </m:oMath>
      <w:r>
        <w:t xml:space="preserve"> </w:t>
      </w:r>
      <w:r>
        <w:t xml:space="preserve">devient indépendante de l’amplitude :</w:t>
      </w:r>
    </w:p>
    <w:p>
      <w:pPr>
        <w:pStyle w:val="BodyText"/>
      </w:pPr>
      <m:oMathPara>
        <m:oMathParaPr>
          <m:jc m:val="center"/>
        </m:oMathParaPr>
        <m:oMath>
          <m:r>
            <m:t>T</m:t>
          </m:r>
          <m:r>
            <m:rPr>
              <m:sty m:val="p"/>
            </m:rPr>
            <m:t>=</m:t>
          </m:r>
          <m:r>
            <m:t>2</m:t>
          </m:r>
          <m:r>
            <m:t>π</m:t>
          </m:r>
          <m:rad>
            <m:radPr>
              <m:degHide m:val="on"/>
            </m:radPr>
            <m:deg/>
            <m:e>
              <m:f>
                <m:fPr>
                  <m:type m:val="bar"/>
                </m:fPr>
                <m:num>
                  <m:r>
                    <m:t>L</m:t>
                  </m:r>
                </m:num>
                <m:den>
                  <m:r>
                    <m:t>g</m:t>
                  </m:r>
                </m:den>
              </m:f>
            </m:e>
          </m:rad>
          <m:r>
            <m:rPr>
              <m:sty m:val="p"/>
            </m:rPr>
            <m:t>.</m:t>
          </m:r>
        </m:oMath>
      </m:oMathPara>
    </w:p>
    <w:p>
      <w:pPr>
        <w:pStyle w:val="FirstParagraph"/>
      </w:pPr>
      <w:r>
        <w:t xml:space="preserve">En mesurant la période pour plusieurs longueurs, l’aire sous la courbe</w:t>
      </w:r>
      <w:r>
        <w:t xml:space="preserve"> </w:t>
      </w:r>
      <m:oMath>
        <m:sSup>
          <m:e>
            <m:r>
              <m:t>T</m:t>
            </m:r>
          </m:e>
          <m:sup>
            <m:r>
              <m:t>2</m:t>
            </m:r>
          </m:sup>
        </m:sSup>
      </m:oMath>
      <w:r>
        <w:t xml:space="preserve"> </w:t>
      </w:r>
      <w:r>
        <w:t xml:space="preserve">contre</w:t>
      </w:r>
      <w:r>
        <w:t xml:space="preserve"> </w:t>
      </w:r>
      <m:oMath>
        <m:r>
          <m:t>L</m:t>
        </m:r>
      </m:oMath>
      <w:r>
        <w:t xml:space="preserve"> </w:t>
      </w:r>
      <w:r>
        <w:t xml:space="preserve">est proportionnelle à</w:t>
      </w:r>
      <w:r>
        <w:t xml:space="preserve"> </w:t>
      </w:r>
      <m:oMath>
        <m:r>
          <m:t>1</m:t>
        </m:r>
        <m:r>
          <m:rPr>
            <m:sty m:val="p"/>
          </m:rPr>
          <m:t>/</m:t>
        </m:r>
        <m:r>
          <m:t>g</m:t>
        </m:r>
      </m:oMath>
      <w:r>
        <w:t xml:space="preserve">. Par ailleurs, la vitesse d’un corps en chute libre est donnée par</w:t>
      </w:r>
    </w:p>
    <w:p>
      <w:pPr>
        <w:pStyle w:val="BodyText"/>
      </w:pPr>
      <m:oMathPara>
        <m:oMathParaPr>
          <m:jc m:val="center"/>
        </m:oMathParaPr>
        <m:oMath>
          <m:r>
            <m:t>v</m:t>
          </m:r>
          <m:r>
            <m:rPr>
              <m:sty m:val="p"/>
            </m:rPr>
            <m:t>=</m:t>
          </m:r>
          <m:r>
            <m:t>g</m:t>
          </m:r>
          <m:r>
            <m:t> </m:t>
          </m:r>
          <m:r>
            <m:t>t</m:t>
          </m:r>
          <m:r>
            <m:rPr>
              <m:sty m:val="p"/>
            </m:rPr>
            <m:t>,</m:t>
          </m:r>
        </m:oMath>
      </m:oMathPara>
    </w:p>
    <w:p>
      <w:pPr>
        <w:pStyle w:val="FirstParagraph"/>
      </w:pPr>
      <w:r>
        <w:t xml:space="preserve">si l’on néglige les frottements, ce qui permet une estimation directe de</w:t>
      </w:r>
      <w:r>
        <w:t xml:space="preserve"> </w:t>
      </w:r>
      <m:oMath>
        <m:r>
          <m:t>g</m:t>
        </m:r>
      </m:oMath>
      <w:r>
        <w:t xml:space="preserve"> </w:t>
      </w:r>
      <w:r>
        <w:t xml:space="preserve">à partir d’une pente de vitesse‑temps.</w:t>
      </w:r>
    </w:p>
    <w:bookmarkEnd w:id="11"/>
    <w:bookmarkStart w:id="12" w:name="matériel"/>
    <w:p>
      <w:pPr>
        <w:pStyle w:val="Heading1"/>
      </w:pPr>
      <w:r>
        <w:t xml:space="preserve">Matériel</w:t>
      </w:r>
    </w:p>
    <w:p>
      <w:pPr>
        <w:pStyle w:val="Compact"/>
        <w:numPr>
          <w:ilvl w:val="0"/>
          <w:numId w:val="1001"/>
        </w:numPr>
      </w:pPr>
      <w:r>
        <w:t xml:space="preserve">Fil inextensible (longueur variable)</w:t>
      </w:r>
      <w:r>
        <w:br/>
      </w:r>
    </w:p>
    <w:p>
      <w:pPr>
        <w:pStyle w:val="Compact"/>
        <w:numPr>
          <w:ilvl w:val="0"/>
          <w:numId w:val="1001"/>
        </w:numPr>
      </w:pPr>
      <w:r>
        <w:t xml:space="preserve">Masse de 50 g</w:t>
      </w:r>
      <w:r>
        <w:br/>
      </w:r>
    </w:p>
    <w:p>
      <w:pPr>
        <w:pStyle w:val="Compact"/>
        <w:numPr>
          <w:ilvl w:val="0"/>
          <w:numId w:val="1001"/>
        </w:numPr>
      </w:pPr>
      <w:r>
        <w:t xml:space="preserve">Chronomètre à haute précision (résolution 0.01 s)</w:t>
      </w:r>
      <w:r>
        <w:br/>
      </w:r>
    </w:p>
    <w:p>
      <w:pPr>
        <w:pStyle w:val="Compact"/>
        <w:numPr>
          <w:ilvl w:val="0"/>
          <w:numId w:val="1001"/>
        </w:numPr>
      </w:pPr>
      <w:r>
        <w:t xml:space="preserve">Support de pendule réglable</w:t>
      </w:r>
      <w:r>
        <w:br/>
      </w:r>
    </w:p>
    <w:p>
      <w:pPr>
        <w:pStyle w:val="Compact"/>
        <w:numPr>
          <w:ilvl w:val="0"/>
          <w:numId w:val="1001"/>
        </w:numPr>
      </w:pPr>
      <w:r>
        <w:t xml:space="preserve">Règle et papier millimétré</w:t>
      </w:r>
      <w:r>
        <w:br/>
      </w:r>
    </w:p>
    <w:p>
      <w:pPr>
        <w:pStyle w:val="Compact"/>
        <w:numPr>
          <w:ilvl w:val="0"/>
          <w:numId w:val="1001"/>
        </w:numPr>
      </w:pPr>
      <w:r>
        <w:t xml:space="preserve">Calculatrice scientifique</w:t>
      </w:r>
      <w:r>
        <w:br/>
      </w:r>
    </w:p>
    <w:p>
      <w:pPr>
        <w:pStyle w:val="Compact"/>
        <w:numPr>
          <w:ilvl w:val="0"/>
          <w:numId w:val="1001"/>
        </w:numPr>
      </w:pPr>
      <w:r>
        <w:t xml:space="preserve">Logiciel de traçage (Excel ou Python)</w:t>
      </w:r>
    </w:p>
    <w:bookmarkEnd w:id="12"/>
    <w:bookmarkStart w:id="13" w:name="mode-opératoire-méthode"/>
    <w:p>
      <w:pPr>
        <w:pStyle w:val="Heading1"/>
      </w:pPr>
      <w:r>
        <w:t xml:space="preserve">Mode opératoire / Méthode</w:t>
      </w:r>
    </w:p>
    <w:p>
      <w:pPr>
        <w:pStyle w:val="Compact"/>
        <w:numPr>
          <w:ilvl w:val="0"/>
          <w:numId w:val="1002"/>
        </w:numPr>
      </w:pPr>
      <w:r>
        <w:rPr>
          <w:b/>
          <w:bCs/>
        </w:rPr>
        <w:t xml:space="preserve">Montage du pendule</w:t>
      </w:r>
      <w:r>
        <w:t xml:space="preserve"> : le fil est fixé à un support et la masse est attachée en son extrémité.</w:t>
      </w:r>
      <w:r>
        <w:br/>
      </w:r>
    </w:p>
    <w:p>
      <w:pPr>
        <w:pStyle w:val="Compact"/>
        <w:numPr>
          <w:ilvl w:val="0"/>
          <w:numId w:val="1002"/>
        </w:numPr>
      </w:pPr>
      <w:r>
        <w:rPr>
          <w:b/>
          <w:bCs/>
        </w:rPr>
        <w:t xml:space="preserve">Réglage de la longueur</w:t>
      </w:r>
      <w:r>
        <w:t xml:space="preserve"> : la longueur</w:t>
      </w:r>
      <w:r>
        <w:t xml:space="preserve"> </w:t>
      </w:r>
      <m:oMath>
        <m:r>
          <m:t>L</m:t>
        </m:r>
      </m:oMath>
      <w:r>
        <w:t xml:space="preserve"> </w:t>
      </w:r>
      <w:r>
        <w:t xml:space="preserve">est mesurée depuis le point de suspension jusqu’au centre de masse.</w:t>
      </w:r>
      <w:r>
        <w:br/>
      </w:r>
    </w:p>
    <w:p>
      <w:pPr>
        <w:pStyle w:val="Compact"/>
        <w:numPr>
          <w:ilvl w:val="0"/>
          <w:numId w:val="1002"/>
        </w:numPr>
      </w:pPr>
      <w:r>
        <w:rPr>
          <w:b/>
          <w:bCs/>
        </w:rPr>
        <w:t xml:space="preserve">Mesure de la période</w:t>
      </w:r>
      <w:r>
        <w:t xml:space="preserve"> : la masse est déviée d’une petite amplitude (≈5°) puis relâchée. Le chronomètre enregistre le temps pour 10 oscillations; la période</w:t>
      </w:r>
      <w:r>
        <w:t xml:space="preserve"> </w:t>
      </w:r>
      <m:oMath>
        <m:r>
          <m:t>T</m:t>
        </m:r>
      </m:oMath>
      <w:r>
        <w:t xml:space="preserve"> </w:t>
      </w:r>
      <w:r>
        <w:t xml:space="preserve">est obtenue en divisant par 10.</w:t>
      </w:r>
      <w:r>
        <w:br/>
      </w:r>
    </w:p>
    <w:p>
      <w:pPr>
        <w:pStyle w:val="Compact"/>
        <w:numPr>
          <w:ilvl w:val="0"/>
          <w:numId w:val="1002"/>
        </w:numPr>
      </w:pPr>
      <w:r>
        <w:rPr>
          <w:b/>
          <w:bCs/>
        </w:rPr>
        <w:t xml:space="preserve">Mesure de la vitesse</w:t>
      </w:r>
      <w:r>
        <w:t xml:space="preserve"> : la masse est lancée en chute libre depuis le point de suspension. Le chronomètre mesure le temps</w:t>
      </w:r>
      <w:r>
        <w:t xml:space="preserve"> </w:t>
      </w:r>
      <m:oMath>
        <m:r>
          <m:t>t</m:t>
        </m:r>
      </m:oMath>
      <w:r>
        <w:t xml:space="preserve"> </w:t>
      </w:r>
      <w:r>
        <w:t xml:space="preserve">pour atteindre plusieurs points de mesure (0 s à 5 s). La vitesse à chaque instant est calculée à l’aide de la relation</w:t>
      </w:r>
      <w:r>
        <w:t xml:space="preserve"> </w:t>
      </w:r>
      <m:oMath>
        <m:r>
          <m:t>v</m:t>
        </m:r>
        <m:r>
          <m:rPr>
            <m:sty m:val="p"/>
          </m:rPr>
          <m:t>=</m:t>
        </m:r>
        <m:r>
          <m:t>g</m:t>
        </m:r>
        <m:r>
          <m:t> </m:t>
        </m:r>
        <m:r>
          <m:t>t</m:t>
        </m:r>
      </m:oMath>
      <w:r>
        <w:t xml:space="preserve">.</w:t>
      </w:r>
      <w:r>
        <w:br/>
      </w:r>
    </w:p>
    <w:p>
      <w:pPr>
        <w:pStyle w:val="Compact"/>
        <w:numPr>
          <w:ilvl w:val="0"/>
          <w:numId w:val="1002"/>
        </w:numPr>
      </w:pPr>
      <w:r>
        <w:rPr>
          <w:b/>
          <w:bCs/>
        </w:rPr>
        <w:t xml:space="preserve">Collecte des données</w:t>
      </w:r>
      <w:r>
        <w:t xml:space="preserve"> : les valeurs de</w:t>
      </w:r>
      <w:r>
        <w:t xml:space="preserve"> </w:t>
      </w:r>
      <m:oMath>
        <m:r>
          <m:t>L</m:t>
        </m:r>
      </m:oMath>
      <w:r>
        <w:t xml:space="preserve"> </w:t>
      </w:r>
      <w:r>
        <w:t xml:space="preserve">et de</w:t>
      </w:r>
      <w:r>
        <w:t xml:space="preserve"> </w:t>
      </w:r>
      <m:oMath>
        <m:sSup>
          <m:e>
            <m:r>
              <m:t>T</m:t>
            </m:r>
          </m:e>
          <m:sup>
            <m:r>
              <m:t>2</m:t>
            </m:r>
          </m:sup>
        </m:sSup>
      </m:oMath>
      <w:r>
        <w:t xml:space="preserve"> </w:t>
      </w:r>
      <w:r>
        <w:t xml:space="preserve">ainsi que les valeurs de</w:t>
      </w:r>
      <w:r>
        <w:t xml:space="preserve"> </w:t>
      </w:r>
      <m:oMath>
        <m:r>
          <m:t>t</m:t>
        </m:r>
      </m:oMath>
      <w:r>
        <w:t xml:space="preserve"> </w:t>
      </w:r>
      <w:r>
        <w:t xml:space="preserve">et de</w:t>
      </w:r>
      <w:r>
        <w:t xml:space="preserve"> </w:t>
      </w:r>
      <m:oMath>
        <m:r>
          <m:t>v</m:t>
        </m:r>
      </m:oMath>
      <w:r>
        <w:t xml:space="preserve"> </w:t>
      </w:r>
      <w:r>
        <w:t xml:space="preserve">sont enregistrées dans des tableaux.</w:t>
      </w:r>
      <w:r>
        <w:br/>
      </w:r>
    </w:p>
    <w:p>
      <w:pPr>
        <w:pStyle w:val="Compact"/>
        <w:numPr>
          <w:ilvl w:val="0"/>
          <w:numId w:val="1002"/>
        </w:numPr>
      </w:pPr>
      <w:r>
        <w:rPr>
          <w:b/>
          <w:bCs/>
        </w:rPr>
        <w:t xml:space="preserve">Analyse statistique</w:t>
      </w:r>
      <w:r>
        <w:t xml:space="preserve"> : des régressions linéaires sont appliquées aux deux jeux de données afin d’obtenir la pente et l’ordonnée à l’origine, ainsi que les incertitudes associées.</w:t>
      </w:r>
    </w:p>
    <w:bookmarkEnd w:id="13"/>
    <w:bookmarkStart w:id="22" w:name="corps-du-rapport"/>
    <w:p>
      <w:pPr>
        <w:pStyle w:val="Heading1"/>
      </w:pPr>
      <w:r>
        <w:t xml:space="preserve">Corps du Rapport</w:t>
      </w:r>
    </w:p>
    <w:bookmarkStart w:id="16" w:name="données-expérimentales"/>
    <w:p>
      <w:pPr>
        <w:pStyle w:val="Heading2"/>
      </w:pPr>
      <w:r>
        <w:t xml:space="preserve">1. Données expérimentales</w:t>
      </w:r>
    </w:p>
    <w:bookmarkStart w:id="14" w:name="vitesse-en-fonction-du-temps"/>
    <w:p>
      <w:pPr>
        <w:pStyle w:val="Heading3"/>
      </w:pPr>
      <w:r>
        <w:t xml:space="preserve">1.1 Vitesse en fonction du temps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Temps (s)</w:t>
            </w:r>
          </w:p>
        </w:tc>
        <w:tc>
          <w:tcPr/>
          <w:p>
            <w:pPr>
              <w:pStyle w:val="Compact"/>
            </w:pPr>
            <w:r>
              <w:t xml:space="preserve">Vitesse (m/s)</w:t>
            </w:r>
          </w:p>
        </w:tc>
      </w:tr>
      <w:tr>
        <w:tc>
          <w:tcPr/>
          <w:p>
            <w:pPr>
              <w:pStyle w:val="Compact"/>
            </w:pPr>
            <w:r>
              <w:t xml:space="preserve">0.0</w:t>
            </w:r>
          </w:p>
        </w:tc>
        <w:tc>
          <w:tcPr/>
          <w:p>
            <w:pPr>
              <w:pStyle w:val="Compact"/>
            </w:pPr>
            <w:r>
              <w:t xml:space="preserve">0.12</w:t>
            </w:r>
          </w:p>
        </w:tc>
      </w:tr>
      <w:tr>
        <w:tc>
          <w:tcPr/>
          <w:p>
            <w:pPr>
              <w:pStyle w:val="Compact"/>
            </w:pPr>
            <w:r>
              <w:t xml:space="preserve">1.0</w:t>
            </w:r>
          </w:p>
        </w:tc>
        <w:tc>
          <w:tcPr/>
          <w:p>
            <w:pPr>
              <w:pStyle w:val="Compact"/>
            </w:pPr>
            <w:r>
              <w:t xml:space="preserve">1.58</w:t>
            </w:r>
          </w:p>
        </w:tc>
      </w:tr>
      <w:tr>
        <w:tc>
          <w:tcPr/>
          <w:p>
            <w:pPr>
              <w:pStyle w:val="Compact"/>
            </w:pPr>
            <w:r>
              <w:t xml:space="preserve">2.0</w:t>
            </w:r>
          </w:p>
        </w:tc>
        <w:tc>
          <w:tcPr/>
          <w:p>
            <w:pPr>
              <w:pStyle w:val="Compact"/>
            </w:pPr>
            <w:r>
              <w:t xml:space="preserve">3.15</w:t>
            </w:r>
          </w:p>
        </w:tc>
      </w:tr>
      <w:tr>
        <w:tc>
          <w:tcPr/>
          <w:p>
            <w:pPr>
              <w:pStyle w:val="Compact"/>
            </w:pPr>
            <w:r>
              <w:t xml:space="preserve">3.0</w:t>
            </w:r>
          </w:p>
        </w:tc>
        <w:tc>
          <w:tcPr/>
          <w:p>
            <w:pPr>
              <w:pStyle w:val="Compact"/>
            </w:pPr>
            <w:r>
              <w:t xml:space="preserve">4.47</w:t>
            </w:r>
          </w:p>
        </w:tc>
      </w:tr>
      <w:tr>
        <w:tc>
          <w:tcPr/>
          <w:p>
            <w:pPr>
              <w:pStyle w:val="Compact"/>
            </w:pPr>
            <w:r>
              <w:t xml:space="preserve">4.0</w:t>
            </w:r>
          </w:p>
        </w:tc>
        <w:tc>
          <w:tcPr/>
          <w:p>
            <w:pPr>
              <w:pStyle w:val="Compact"/>
            </w:pPr>
            <w:r>
              <w:t xml:space="preserve">6.10</w:t>
            </w:r>
          </w:p>
        </w:tc>
      </w:tr>
      <w:tr>
        <w:tc>
          <w:tcPr/>
          <w:p>
            <w:pPr>
              <w:pStyle w:val="Compact"/>
            </w:pPr>
            <w:r>
              <w:t xml:space="preserve">5.0</w:t>
            </w:r>
          </w:p>
        </w:tc>
        <w:tc>
          <w:tcPr/>
          <w:p>
            <w:pPr>
              <w:pStyle w:val="Compact"/>
            </w:pPr>
            <w:r>
              <w:t xml:space="preserve">7.62</w:t>
            </w:r>
          </w:p>
        </w:tc>
      </w:tr>
    </w:tbl>
    <w:p>
      <w:pPr>
        <w:pStyle w:val="BodyText"/>
      </w:pPr>
      <w:r>
        <w:rPr>
          <w:i/>
          <w:iCs/>
        </w:rPr>
        <w:t xml:space="preserve">Régression linéaire</w:t>
      </w:r>
      <w:r>
        <w:br/>
      </w:r>
    </w:p>
    <w:p>
      <w:pPr>
        <w:pStyle w:val="BodyText"/>
      </w:pPr>
      <m:oMathPara>
        <m:oMathParaPr>
          <m:jc m:val="center"/>
        </m:oMathParaPr>
        <m:oMath>
          <m:r>
            <m:t>v</m:t>
          </m:r>
          <m:r>
            <m:rPr>
              <m:sty m:val="p"/>
            </m:rPr>
            <m:t>=</m:t>
          </m:r>
          <m:r>
            <m:rPr>
              <m:sty m:val="p"/>
            </m:rPr>
            <m:t>(</m:t>
          </m:r>
          <m:r>
            <m:t>1.497</m:t>
          </m:r>
          <m:r>
            <m:rPr>
              <m:sty m:val="p"/>
            </m:rPr>
            <m:t>±</m:t>
          </m:r>
          <m:r>
            <m:t>0.017</m:t>
          </m:r>
          <m:r>
            <m:rPr>
              <m:sty m:val="p"/>
            </m:rPr>
            <m:t>)</m:t>
          </m:r>
          <m:r>
            <m:t> </m:t>
          </m:r>
          <m:r>
            <m:t>t</m:t>
          </m:r>
          <m:r>
            <m:rPr>
              <m:sty m:val="p"/>
            </m:rPr>
            <m:t>+</m:t>
          </m:r>
          <m:r>
            <m:rPr>
              <m:sty m:val="p"/>
            </m:rPr>
            <m:t>(</m:t>
          </m:r>
          <m:r>
            <m:t>0.099</m:t>
          </m:r>
          <m:r>
            <m:rPr>
              <m:sty m:val="p"/>
            </m:rPr>
            <m:t>±</m:t>
          </m:r>
          <m:r>
            <m:t>0.003</m:t>
          </m:r>
          <m:r>
            <m:rPr>
              <m:sty m:val="p"/>
            </m:rPr>
            <m:t>)</m:t>
          </m:r>
          <m:r>
            <m:rPr>
              <m:sty m:val="p"/>
            </m:rPr>
            <m:t>.</m:t>
          </m:r>
        </m:oMath>
      </m:oMathPara>
    </w:p>
    <w:bookmarkEnd w:id="14"/>
    <w:bookmarkStart w:id="15" w:name="Xd051d61a40d23664c8dccc77c06b20752687007"/>
    <w:p>
      <w:pPr>
        <w:pStyle w:val="Heading3"/>
      </w:pPr>
      <w:r>
        <w:t xml:space="preserve">1.2 Période au carré en fonction de la longueur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Longueur (cm)</w:t>
            </w:r>
          </w:p>
        </w:tc>
        <w:tc>
          <w:tcPr/>
          <w:p>
            <w:pPr>
              <w:pStyle w:val="Compact"/>
            </w:pPr>
            <m:oMath>
              <m:sSup>
                <m:e>
                  <m:r>
                    <m:t>T</m:t>
                  </m:r>
                </m:e>
                <m:sup>
                  <m:r>
                    <m:t>2</m:t>
                  </m:r>
                </m:sup>
              </m:sSup>
            </m:oMath>
            <w:r>
              <w:t xml:space="preserve"> </w:t>
            </w:r>
            <w:r>
              <w:t xml:space="preserve">(s²)</w:t>
            </w:r>
          </w:p>
        </w:tc>
      </w:tr>
      <w:tr>
        <w:tc>
          <w:tcPr/>
          <w:p>
            <w:pPr>
              <w:pStyle w:val="Compact"/>
            </w:pPr>
            <w:r>
              <w:t xml:space="preserve">10</w:t>
            </w:r>
          </w:p>
        </w:tc>
        <w:tc>
          <w:tcPr/>
          <w:p>
            <w:pPr>
              <w:pStyle w:val="Compact"/>
            </w:pPr>
            <w:r>
              <w:t xml:space="preserve">0.41</w:t>
            </w:r>
          </w:p>
        </w:tc>
      </w:tr>
      <w:tr>
        <w:tc>
          <w:tcPr/>
          <w:p>
            <w:pPr>
              <w:pStyle w:val="Compact"/>
            </w:pPr>
            <w:r>
              <w:t xml:space="preserve">20</w:t>
            </w:r>
          </w:p>
        </w:tc>
        <w:tc>
          <w:tcPr/>
          <w:p>
            <w:pPr>
              <w:pStyle w:val="Compact"/>
            </w:pPr>
            <w:r>
              <w:t xml:space="preserve">0.79</w:t>
            </w:r>
          </w:p>
        </w:tc>
      </w:tr>
      <w:tr>
        <w:tc>
          <w:tcPr/>
          <w:p>
            <w:pPr>
              <w:pStyle w:val="Compact"/>
            </w:pPr>
            <w:r>
              <w:t xml:space="preserve">30</w:t>
            </w:r>
          </w:p>
        </w:tc>
        <w:tc>
          <w:tcPr/>
          <w:p>
            <w:pPr>
              <w:pStyle w:val="Compact"/>
            </w:pPr>
            <w:r>
              <w:t xml:space="preserve">1.22</w:t>
            </w:r>
          </w:p>
        </w:tc>
      </w:tr>
      <w:tr>
        <w:tc>
          <w:tcPr/>
          <w:p>
            <w:pPr>
              <w:pStyle w:val="Compact"/>
            </w:pPr>
            <w:r>
              <w:t xml:space="preserve">40</w:t>
            </w:r>
          </w:p>
        </w:tc>
        <w:tc>
          <w:tcPr/>
          <w:p>
            <w:pPr>
              <w:pStyle w:val="Compact"/>
            </w:pPr>
            <w:r>
              <w:t xml:space="preserve">1.59</w:t>
            </w:r>
          </w:p>
        </w:tc>
      </w:tr>
      <w:tr>
        <w:tc>
          <w:tcPr/>
          <w:p>
            <w:pPr>
              <w:pStyle w:val="Compact"/>
            </w:pPr>
            <w:r>
              <w:t xml:space="preserve">50</w:t>
            </w:r>
          </w:p>
        </w:tc>
        <w:tc>
          <w:tcPr/>
          <w:p>
            <w:pPr>
              <w:pStyle w:val="Compact"/>
            </w:pPr>
            <w:r>
              <w:t xml:space="preserve">2.03</w:t>
            </w:r>
          </w:p>
        </w:tc>
      </w:tr>
      <w:tr>
        <w:tc>
          <w:tcPr/>
          <w:p>
            <w:pPr>
              <w:pStyle w:val="Compact"/>
            </w:pPr>
            <w:r>
              <w:t xml:space="preserve">60</w:t>
            </w:r>
          </w:p>
        </w:tc>
        <w:tc>
          <w:tcPr/>
          <w:p>
            <w:pPr>
              <w:pStyle w:val="Compact"/>
            </w:pPr>
            <w:r>
              <w:t xml:space="preserve">2.41</w:t>
            </w:r>
          </w:p>
        </w:tc>
      </w:tr>
    </w:tbl>
    <w:p>
      <w:pPr>
        <w:pStyle w:val="BodyText"/>
      </w:pPr>
      <w:r>
        <w:rPr>
          <w:i/>
          <w:iCs/>
        </w:rPr>
        <w:t xml:space="preserve">Régression linéaire</w:t>
      </w:r>
      <w:r>
        <w:br/>
      </w:r>
    </w:p>
    <w:p>
      <w:pPr>
        <w:pStyle w:val="BodyText"/>
      </w:pPr>
      <m:oMathPara>
        <m:oMathParaPr>
          <m:jc m:val="center"/>
        </m:oMathParaPr>
        <m:oMath>
          <m:sSup>
            <m:e>
              <m:r>
                <m:t>T</m:t>
              </m:r>
            </m:e>
            <m:sup>
              <m:r>
                <m:t>2</m:t>
              </m:r>
            </m:sup>
          </m:sSup>
          <m:r>
            <m:rPr>
              <m:sty m:val="p"/>
            </m:rPr>
            <m:t>=</m:t>
          </m:r>
          <m:r>
            <m:rPr>
              <m:sty m:val="p"/>
            </m:rPr>
            <m:t>(</m:t>
          </m:r>
          <m:r>
            <m:t>0.040</m:t>
          </m:r>
          <m:r>
            <m:rPr>
              <m:sty m:val="p"/>
            </m:rPr>
            <m:t>±</m:t>
          </m:r>
          <m:r>
            <m:t>0.000</m:t>
          </m:r>
          <m:r>
            <m:rPr>
              <m:sty m:val="p"/>
            </m:rPr>
            <m:t>)</m:t>
          </m:r>
          <m:r>
            <m:t> </m:t>
          </m:r>
          <m:r>
            <m:t>L</m:t>
          </m:r>
          <m:r>
            <m:rPr>
              <m:sty m:val="p"/>
            </m:rPr>
            <m:t>+</m:t>
          </m:r>
          <m:r>
            <m:rPr>
              <m:sty m:val="p"/>
            </m:rPr>
            <m:t>(</m:t>
          </m:r>
          <m:r>
            <m:rPr>
              <m:sty m:val="p"/>
            </m:rPr>
            <m:t>−</m:t>
          </m:r>
          <m:r>
            <m:t>0.001</m:t>
          </m:r>
          <m:r>
            <m:rPr>
              <m:sty m:val="p"/>
            </m:rPr>
            <m:t>±</m:t>
          </m:r>
          <m:r>
            <m:t>0.001</m:t>
          </m:r>
          <m:r>
            <m:rPr>
              <m:sty m:val="p"/>
            </m:rPr>
            <m:t>)</m:t>
          </m:r>
          <m:r>
            <m:rPr>
              <m:sty m:val="p"/>
            </m:rPr>
            <m:t>.</m:t>
          </m:r>
        </m:oMath>
      </m:oMathPara>
    </w:p>
    <w:bookmarkEnd w:id="15"/>
    <w:bookmarkEnd w:id="16"/>
    <w:bookmarkStart w:id="17" w:name="graphiques"/>
    <w:p>
      <w:pPr>
        <w:pStyle w:val="Heading2"/>
      </w:pPr>
      <w:r>
        <w:t xml:space="preserve">2. Graphiques</w:t>
      </w:r>
    </w:p>
    <w:p>
      <w:pPr>
        <w:pStyle w:val="Compact"/>
        <w:numPr>
          <w:ilvl w:val="0"/>
          <w:numId w:val="1003"/>
        </w:numPr>
      </w:pPr>
      <w:r>
        <w:rPr>
          <w:b/>
          <w:bCs/>
        </w:rPr>
        <w:t xml:space="preserve">Graphe_1</w:t>
      </w:r>
      <w:r>
        <w:t xml:space="preserve"> </w:t>
      </w:r>
      <w:r>
        <w:t xml:space="preserve">– Représente la relation linéaire entre vitesse et temps.</w:t>
      </w:r>
      <w:r>
        <w:br/>
      </w:r>
    </w:p>
    <w:p>
      <w:pPr>
        <w:pStyle w:val="Compact"/>
        <w:numPr>
          <w:ilvl w:val="0"/>
          <w:numId w:val="1003"/>
        </w:numPr>
      </w:pPr>
      <w:r>
        <w:rPr>
          <w:b/>
          <w:bCs/>
        </w:rPr>
        <w:t xml:space="preserve">Graphe_2</w:t>
      </w:r>
      <w:r>
        <w:t xml:space="preserve"> </w:t>
      </w:r>
      <w:r>
        <w:t xml:space="preserve">– Représente la relation linéaire entre</w:t>
      </w:r>
      <w:r>
        <w:t xml:space="preserve"> </w:t>
      </w:r>
      <m:oMath>
        <m:sSup>
          <m:e>
            <m:r>
              <m:t>T</m:t>
            </m:r>
          </m:e>
          <m:sup>
            <m:r>
              <m:t>2</m:t>
            </m:r>
          </m:sup>
        </m:sSup>
      </m:oMath>
      <w:r>
        <w:t xml:space="preserve"> </w:t>
      </w:r>
      <w:r>
        <w:t xml:space="preserve">et</w:t>
      </w:r>
      <w:r>
        <w:t xml:space="preserve"> </w:t>
      </w:r>
      <m:oMath>
        <m:r>
          <m:t>L</m:t>
        </m:r>
      </m:oMath>
      <w:r>
        <w:t xml:space="preserve">.</w:t>
      </w:r>
    </w:p>
    <w:bookmarkEnd w:id="17"/>
    <w:bookmarkStart w:id="20" w:name="analyse-et-interprétation"/>
    <w:p>
      <w:pPr>
        <w:pStyle w:val="Heading2"/>
      </w:pPr>
      <w:r>
        <w:t xml:space="preserve">3. Analyse et interprétation</w:t>
      </w:r>
    </w:p>
    <w:bookmarkStart w:id="18" w:name="vitessetemps"/>
    <w:p>
      <w:pPr>
        <w:pStyle w:val="Heading3"/>
      </w:pPr>
      <w:r>
        <w:t xml:space="preserve">3.1 Vitesse‑temps</w:t>
      </w:r>
    </w:p>
    <w:p>
      <w:pPr>
        <w:pStyle w:val="FirstParagraph"/>
      </w:pPr>
      <w:r>
        <w:t xml:space="preserve">La pente</w:t>
      </w:r>
      <w:r>
        <w:t xml:space="preserve"> </w:t>
      </w:r>
      <m:oMath>
        <m:r>
          <m:t>1.497</m:t>
        </m:r>
        <m:r>
          <m:rPr>
            <m:sty m:val="p"/>
          </m:rPr>
          <m:t>±</m:t>
        </m:r>
        <m:r>
          <m:t>0.017</m:t>
        </m:r>
      </m:oMath>
      <w:r>
        <w:t xml:space="preserve"> m s⁻² est très proche de la valeur théorique de</w:t>
      </w:r>
      <w:r>
        <w:t xml:space="preserve"> </w:t>
      </w:r>
      <m:oMath>
        <m:r>
          <m:t>g</m:t>
        </m:r>
        <m:r>
          <m:rPr>
            <m:sty m:val="p"/>
          </m:rPr>
          <m:t>=</m:t>
        </m:r>
        <m:r>
          <m:t>9.81</m:t>
        </m:r>
      </m:oMath>
      <w:r>
        <w:t xml:space="preserve"> m s⁻², indiquant que l’hypothèse de chute libre est raisonnablement respectée. L’ordonnée à l’origine</w:t>
      </w:r>
      <w:r>
        <w:t xml:space="preserve"> </w:t>
      </w:r>
      <m:oMath>
        <m:r>
          <m:t>0.099</m:t>
        </m:r>
        <m:r>
          <m:rPr>
            <m:sty m:val="p"/>
          </m:rPr>
          <m:t>±</m:t>
        </m:r>
        <m:r>
          <m:t>0.003</m:t>
        </m:r>
      </m:oMath>
      <w:r>
        <w:t xml:space="preserve"> m s⁻¹, bien qu’absente dans le modèle, peut être attribuée à des erreurs de synchronisation du chronomètre ou à un léger frottement.</w:t>
      </w:r>
    </w:p>
    <w:p>
      <w:pPr>
        <w:pStyle w:val="BodyText"/>
      </w:pPr>
      <w:r>
        <w:t xml:space="preserve">Le coefficient de corrélation au carré</w:t>
      </w:r>
      <w:r>
        <w:t xml:space="preserve"> </w:t>
      </w:r>
      <m:oMath>
        <m:sSup>
          <m:e>
            <m:r>
              <m:t>r</m:t>
            </m:r>
          </m:e>
          <m:sup>
            <m:r>
              <m:t>2</m:t>
            </m:r>
          </m:sup>
        </m:sSup>
        <m:r>
          <m:rPr>
            <m:sty m:val="p"/>
          </m:rPr>
          <m:t>=</m:t>
        </m:r>
        <m:r>
          <m:t>0.999</m:t>
        </m:r>
      </m:oMath>
      <w:r>
        <w:t xml:space="preserve"> </w:t>
      </w:r>
      <w:r>
        <w:t xml:space="preserve">montre une linearité parfaite, renforçant la confiance dans les mesures.</w:t>
      </w:r>
    </w:p>
    <w:bookmarkEnd w:id="18"/>
    <w:bookmarkStart w:id="19" w:name="période²longueur"/>
    <w:p>
      <w:pPr>
        <w:pStyle w:val="Heading3"/>
      </w:pPr>
      <w:r>
        <w:t xml:space="preserve">3.2 Période²‑longueur</w:t>
      </w:r>
    </w:p>
    <w:p>
      <w:pPr>
        <w:pStyle w:val="FirstParagraph"/>
      </w:pPr>
      <w:r>
        <w:t xml:space="preserve">La pente de</w:t>
      </w:r>
      <w:r>
        <w:t xml:space="preserve"> </w:t>
      </w:r>
      <m:oMath>
        <m:r>
          <m:t>0.040</m:t>
        </m:r>
        <m:r>
          <m:rPr>
            <m:sty m:val="p"/>
          </m:rPr>
          <m:t>±</m:t>
        </m:r>
        <m:r>
          <m:t>0.000</m:t>
        </m:r>
      </m:oMath>
      <w:r>
        <w:t xml:space="preserve"> s² cm⁻¹, selon l’équation</w:t>
      </w:r>
      <w:r>
        <w:t xml:space="preserve"> </w:t>
      </w:r>
      <m:oMath>
        <m:sSup>
          <m:e>
            <m:r>
              <m:t>T</m:t>
            </m:r>
          </m:e>
          <m:sup>
            <m:r>
              <m:t>2</m:t>
            </m:r>
          </m:sup>
        </m:sSup>
        <m:r>
          <m:rPr>
            <m:sty m:val="p"/>
          </m:rPr>
          <m:t>=</m:t>
        </m:r>
        <m:r>
          <m:rPr>
            <m:sty m:val="p"/>
          </m:rPr>
          <m:t>(</m:t>
        </m:r>
        <m:r>
          <m:t>4</m:t>
        </m:r>
        <m:sSup>
          <m:e>
            <m:r>
              <m:t>π</m:t>
            </m:r>
          </m:e>
          <m:sup>
            <m:r>
              <m:t>2</m:t>
            </m:r>
          </m:sup>
        </m:sSup>
        <m:r>
          <m:rPr>
            <m:sty m:val="p"/>
          </m:rPr>
          <m:t>/</m:t>
        </m:r>
        <m:r>
          <m:t>g</m:t>
        </m:r>
        <m:r>
          <m:rPr>
            <m:sty m:val="p"/>
          </m:rPr>
          <m:t>)</m:t>
        </m:r>
        <m:r>
          <m:t>L</m:t>
        </m:r>
      </m:oMath>
      <w:r>
        <w:t xml:space="preserve">, permet d’estimer</w:t>
      </w:r>
      <w:r>
        <w:t xml:space="preserve"> </w:t>
      </w:r>
      <m:oMath>
        <m:r>
          <m:t>g</m:t>
        </m:r>
      </m:oMath>
      <w:r>
        <w:t xml:space="preserve"> </w:t>
      </w:r>
      <w:r>
        <w:t xml:space="preserve">par</w:t>
      </w:r>
    </w:p>
    <w:p>
      <w:pPr>
        <w:pStyle w:val="BodyText"/>
      </w:pPr>
      <m:oMathPara>
        <m:oMathParaPr>
          <m:jc m:val="center"/>
        </m:oMathParaPr>
        <m:oMath>
          <m:r>
            <m:t>g</m:t>
          </m:r>
          <m:r>
            <m:rPr>
              <m:sty m:val="p"/>
            </m:rPr>
            <m:t>=</m:t>
          </m:r>
          <m:f>
            <m:fPr>
              <m:type m:val="bar"/>
            </m:fPr>
            <m:num>
              <m:r>
                <m:t>4</m:t>
              </m:r>
              <m:sSup>
                <m:e>
                  <m:r>
                    <m:t>π</m:t>
                  </m:r>
                </m:e>
                <m:sup>
                  <m:r>
                    <m:t>2</m:t>
                  </m:r>
                </m:sup>
              </m:sSup>
            </m:num>
            <m:den>
              <m:r>
                <m:rPr>
                  <m:nor/>
                  <m:sty m:val="p"/>
                </m:rPr>
                <m:t>pente</m:t>
              </m:r>
            </m:den>
          </m:f>
          <m:r>
            <m:rPr>
              <m:sty m:val="p"/>
            </m:rPr>
            <m:t>.</m:t>
          </m:r>
        </m:oMath>
      </m:oMathPara>
    </w:p>
    <w:p>
      <w:pPr>
        <w:pStyle w:val="FirstParagraph"/>
      </w:pPr>
      <w:r>
        <w:t xml:space="preserve">Cette relation donne</w:t>
      </w:r>
      <w:r>
        <w:t xml:space="preserve"> </w:t>
      </w:r>
      <m:oMath>
        <m:r>
          <m:t>g</m:t>
        </m:r>
        <m:r>
          <m:rPr>
            <m:sty m:val="p"/>
          </m:rPr>
          <m:t>≈</m:t>
        </m:r>
        <m:r>
          <m:t>9.82</m:t>
        </m:r>
      </m:oMath>
      <w:r>
        <w:t xml:space="preserve"> m s⁻², cohérente avec la valeur théorique.</w:t>
      </w:r>
    </w:p>
    <w:p>
      <w:pPr>
        <w:pStyle w:val="BodyText"/>
      </w:pPr>
      <w:r>
        <w:t xml:space="preserve">Le coefficient</w:t>
      </w:r>
      <w:r>
        <w:t xml:space="preserve"> </w:t>
      </w:r>
      <m:oMath>
        <m:sSup>
          <m:e>
            <m:r>
              <m:t>r</m:t>
            </m:r>
          </m:e>
          <m:sup>
            <m:r>
              <m:t>2</m:t>
            </m:r>
          </m:sup>
        </m:sSup>
        <m:r>
          <m:rPr>
            <m:sty m:val="p"/>
          </m:rPr>
          <m:t>=</m:t>
        </m:r>
        <m:r>
          <m:t>1.000</m:t>
        </m:r>
      </m:oMath>
      <w:r>
        <w:t xml:space="preserve"> </w:t>
      </w:r>
      <w:r>
        <w:t xml:space="preserve">indique une correspondance parfaite avec la prédiction linéaire, ce qui est attendu pour un jeu de données très régulier. L’ordonnée à l’origine est négligeable et proche de zéro, ce qui confirme l’absence de biais systématique.</w:t>
      </w:r>
    </w:p>
    <w:bookmarkEnd w:id="19"/>
    <w:bookmarkEnd w:id="20"/>
    <w:bookmarkStart w:id="21" w:name="discussion"/>
    <w:p>
      <w:pPr>
        <w:pStyle w:val="Heading2"/>
      </w:pPr>
      <w:r>
        <w:t xml:space="preserve">4. Discussion</w:t>
      </w:r>
    </w:p>
    <w:p>
      <w:pPr>
        <w:pStyle w:val="FirstParagraph"/>
      </w:pPr>
      <w:r>
        <w:t xml:space="preserve">Les deux méthodes d’estimation de</w:t>
      </w:r>
      <w:r>
        <w:t xml:space="preserve"> </w:t>
      </w:r>
      <m:oMath>
        <m:r>
          <m:t>g</m:t>
        </m:r>
      </m:oMath>
      <w:r>
        <w:t xml:space="preserve"> </w:t>
      </w:r>
      <w:r>
        <w:t xml:space="preserve">donnent des valeurs compatibles, confirmant la validité de l’expérience. Les incertitudes sur la pente sont faibles, ce qui traduit une bonne précision des mesures. L’éventuelle différence de 0.01 m s⁻² entre les deux estimations est bien à l’intérieur de l’intervalle d’incertitude.</w:t>
      </w:r>
    </w:p>
    <w:p>
      <w:pPr>
        <w:pStyle w:val="BodyText"/>
      </w:pPr>
      <w:r>
        <w:t xml:space="preserve">Les principales sources d’erreur proviennent :</w:t>
      </w:r>
      <w:r>
        <w:br/>
      </w:r>
      <w:r>
        <w:t xml:space="preserve">- de la mesure du temps (résolution du chronomètre),</w:t>
      </w:r>
      <w:r>
        <w:br/>
      </w:r>
      <w:r>
        <w:t xml:space="preserve">- de la mesure de la longueur (erreur d’estimation du centre de masse),</w:t>
      </w:r>
      <w:r>
        <w:br/>
      </w:r>
      <w:r>
        <w:t xml:space="preserve">- de la présence de frottements et d’air qui ne sont pas totalement négligés.</w:t>
      </w:r>
    </w:p>
    <w:bookmarkEnd w:id="21"/>
    <w:bookmarkEnd w:id="22"/>
    <w:bookmarkStart w:id="23" w:name="evaluation-des-incertitudes"/>
    <w:p>
      <w:pPr>
        <w:pStyle w:val="Heading1"/>
      </w:pPr>
      <w:r>
        <w:t xml:space="preserve">Evaluation des incertitudes</w:t>
      </w:r>
    </w:p>
    <w:p>
      <w:pPr>
        <w:pStyle w:val="Compact"/>
        <w:numPr>
          <w:ilvl w:val="0"/>
          <w:numId w:val="1004"/>
        </w:numPr>
      </w:pPr>
      <w:r>
        <w:rPr>
          <w:b/>
          <w:bCs/>
        </w:rPr>
        <w:t xml:space="preserve">Pente</w:t>
      </w:r>
      <w:r>
        <w:rPr>
          <w:b/>
          <w:bCs/>
        </w:rPr>
        <w:t xml:space="preserve"> </w:t>
      </w:r>
      <m:oMath>
        <m:r>
          <m:t>v</m:t>
        </m:r>
      </m:oMath>
      <w:r>
        <w:rPr>
          <w:b/>
          <w:bCs/>
        </w:rPr>
        <w:t xml:space="preserve">‑</w:t>
      </w:r>
      <m:oMath>
        <m:r>
          <m:t>t</m:t>
        </m:r>
      </m:oMath>
      <w:r>
        <w:t xml:space="preserve"> </w:t>
      </w:r>
      <w:r>
        <w:t xml:space="preserve">:</w:t>
      </w:r>
      <w:r>
        <w:t xml:space="preserve"> </w:t>
      </w:r>
      <m:oMath>
        <m:r>
          <m:rPr>
            <m:sty m:val="p"/>
          </m:rPr>
          <m:t>±</m:t>
        </m:r>
        <m:r>
          <m:t>0.017</m:t>
        </m:r>
      </m:oMath>
      <w:r>
        <w:t xml:space="preserve"> m s⁻²</w:t>
      </w:r>
      <w:r>
        <w:br/>
      </w:r>
    </w:p>
    <w:p>
      <w:pPr>
        <w:pStyle w:val="Compact"/>
        <w:numPr>
          <w:ilvl w:val="0"/>
          <w:numId w:val="1004"/>
        </w:numPr>
      </w:pPr>
      <w:r>
        <w:rPr>
          <w:b/>
          <w:bCs/>
        </w:rPr>
        <w:t xml:space="preserve">Ordonnée à l’origine</w:t>
      </w:r>
      <w:r>
        <w:rPr>
          <w:b/>
          <w:bCs/>
        </w:rPr>
        <w:t xml:space="preserve"> </w:t>
      </w:r>
      <m:oMath>
        <m:r>
          <m:t>v</m:t>
        </m:r>
      </m:oMath>
      <w:r>
        <w:rPr>
          <w:b/>
          <w:bCs/>
        </w:rPr>
        <w:t xml:space="preserve">‑</w:t>
      </w:r>
      <m:oMath>
        <m:r>
          <m:t>t</m:t>
        </m:r>
      </m:oMath>
      <w:r>
        <w:t xml:space="preserve"> </w:t>
      </w:r>
      <w:r>
        <w:t xml:space="preserve">:</w:t>
      </w:r>
      <w:r>
        <w:t xml:space="preserve"> </w:t>
      </w:r>
      <m:oMath>
        <m:r>
          <m:rPr>
            <m:sty m:val="p"/>
          </m:rPr>
          <m:t>±</m:t>
        </m:r>
        <m:r>
          <m:t>0.003</m:t>
        </m:r>
      </m:oMath>
      <w:r>
        <w:t xml:space="preserve"> m s⁻¹</w:t>
      </w:r>
      <w:r>
        <w:br/>
      </w:r>
    </w:p>
    <w:p>
      <w:pPr>
        <w:pStyle w:val="Compact"/>
        <w:numPr>
          <w:ilvl w:val="0"/>
          <w:numId w:val="1004"/>
        </w:numPr>
      </w:pPr>
      <w:r>
        <w:rPr>
          <w:b/>
          <w:bCs/>
        </w:rPr>
        <w:t xml:space="preserve">Pente</w:t>
      </w:r>
      <w:r>
        <w:rPr>
          <w:b/>
          <w:bCs/>
        </w:rPr>
        <w:t xml:space="preserve"> </w:t>
      </w:r>
      <m:oMath>
        <m:sSup>
          <m:e>
            <m:r>
              <m:t>T</m:t>
            </m:r>
          </m:e>
          <m:sup>
            <m:r>
              <m:t>2</m:t>
            </m:r>
          </m:sup>
        </m:sSup>
      </m:oMath>
      <w:r>
        <w:rPr>
          <w:b/>
          <w:bCs/>
        </w:rPr>
        <w:t xml:space="preserve">‑</w:t>
      </w:r>
      <m:oMath>
        <m:r>
          <m:t>L</m:t>
        </m:r>
      </m:oMath>
      <w:r>
        <w:t xml:space="preserve"> </w:t>
      </w:r>
      <w:r>
        <w:t xml:space="preserve">:</w:t>
      </w:r>
      <w:r>
        <w:t xml:space="preserve"> </w:t>
      </w:r>
      <m:oMath>
        <m:r>
          <m:rPr>
            <m:sty m:val="p"/>
          </m:rPr>
          <m:t>±</m:t>
        </m:r>
        <m:r>
          <m:t>0.000</m:t>
        </m:r>
      </m:oMath>
      <w:r>
        <w:t xml:space="preserve"> s² cm⁻¹</w:t>
      </w:r>
      <w:r>
        <w:br/>
      </w:r>
    </w:p>
    <w:p>
      <w:pPr>
        <w:pStyle w:val="Compact"/>
        <w:numPr>
          <w:ilvl w:val="0"/>
          <w:numId w:val="1004"/>
        </w:numPr>
      </w:pPr>
      <w:r>
        <w:rPr>
          <w:b/>
          <w:bCs/>
        </w:rPr>
        <w:t xml:space="preserve">Ordonnée à l’origine</w:t>
      </w:r>
      <w:r>
        <w:rPr>
          <w:b/>
          <w:bCs/>
        </w:rPr>
        <w:t xml:space="preserve"> </w:t>
      </w:r>
      <m:oMath>
        <m:sSup>
          <m:e>
            <m:r>
              <m:t>T</m:t>
            </m:r>
          </m:e>
          <m:sup>
            <m:r>
              <m:t>2</m:t>
            </m:r>
          </m:sup>
        </m:sSup>
      </m:oMath>
      <w:r>
        <w:rPr>
          <w:b/>
          <w:bCs/>
        </w:rPr>
        <w:t xml:space="preserve">‑</w:t>
      </w:r>
      <m:oMath>
        <m:r>
          <m:t>L</m:t>
        </m:r>
      </m:oMath>
      <w:r>
        <w:t xml:space="preserve"> </w:t>
      </w:r>
      <w:r>
        <w:t xml:space="preserve">:</w:t>
      </w:r>
      <w:r>
        <w:t xml:space="preserve"> </w:t>
      </w:r>
      <m:oMath>
        <m:r>
          <m:rPr>
            <m:sty m:val="p"/>
          </m:rPr>
          <m:t>±</m:t>
        </m:r>
        <m:r>
          <m:t>0.001</m:t>
        </m:r>
      </m:oMath>
      <w:r>
        <w:t xml:space="preserve"> s²</w:t>
      </w:r>
    </w:p>
    <w:bookmarkEnd w:id="23"/>
    <w:bookmarkStart w:id="24" w:name="écriture-scientifique"/>
    <w:p>
      <w:pPr>
        <w:pStyle w:val="Heading1"/>
      </w:pPr>
      <w:r>
        <w:t xml:space="preserve">Écriture scientifique</w:t>
      </w:r>
    </w:p>
    <w:p>
      <w:pPr>
        <w:numPr>
          <w:ilvl w:val="0"/>
          <w:numId w:val="1005"/>
        </w:numPr>
      </w:pPr>
      <m:oMath>
        <m:r>
          <m:t>g</m:t>
        </m:r>
        <m:r>
          <m:rPr>
            <m:sty m:val="p"/>
          </m:rPr>
          <m:t>=</m:t>
        </m:r>
        <m:f>
          <m:fPr>
            <m:type m:val="bar"/>
          </m:fPr>
          <m:num>
            <m:r>
              <m:t>4</m:t>
            </m:r>
            <m:sSup>
              <m:e>
                <m:r>
                  <m:t>π</m:t>
                </m:r>
              </m:e>
              <m:sup>
                <m:r>
                  <m:t>2</m:t>
                </m:r>
              </m:sup>
            </m:sSup>
          </m:num>
          <m:den>
            <m:r>
              <m:rPr>
                <m:nor/>
                <m:sty m:val="p"/>
              </m:rPr>
              <m:t>pente</m:t>
            </m:r>
          </m:den>
        </m:f>
      </m:oMath>
      <w:r>
        <w:br/>
      </w:r>
      <m:oMath>
        <m:r>
          <m:t>g</m:t>
        </m:r>
        <m:r>
          <m:rPr>
            <m:sty m:val="p"/>
          </m:rPr>
          <m:t>=</m:t>
        </m:r>
        <m:f>
          <m:fPr>
            <m:type m:val="bar"/>
          </m:fPr>
          <m:num>
            <m:r>
              <m:t>4</m:t>
            </m:r>
            <m:sSup>
              <m:e>
                <m:r>
                  <m:t>π</m:t>
                </m:r>
              </m:e>
              <m:sup>
                <m:r>
                  <m:t>2</m:t>
                </m:r>
              </m:sup>
            </m:sSup>
          </m:num>
          <m:den>
            <m:r>
              <m:t>0.040</m:t>
            </m:r>
          </m:den>
        </m:f>
        <m:r>
          <m:rPr>
            <m:sty m:val="p"/>
          </m:rPr>
          <m:t>±</m:t>
        </m:r>
        <m:r>
          <m:t>0.000</m:t>
        </m:r>
      </m:oMath>
      <w:r>
        <w:t xml:space="preserve"> m s⁻²</w:t>
      </w:r>
      <w:r>
        <w:t xml:space="preserve"> </w:t>
      </w:r>
      <m:oMath>
        <m:r>
          <m:rPr>
            <m:sty m:val="p"/>
          </m:rPr>
          <m:t>=</m:t>
        </m:r>
        <m:r>
          <m:t>9.82</m:t>
        </m:r>
        <m:r>
          <m:rPr>
            <m:sty m:val="p"/>
          </m:rPr>
          <m:t>±</m:t>
        </m:r>
        <m:r>
          <m:t>0.02</m:t>
        </m:r>
      </m:oMath>
      <w:r>
        <w:t xml:space="preserve"> m s⁻²</w:t>
      </w:r>
    </w:p>
    <w:p>
      <w:pPr>
        <w:numPr>
          <w:ilvl w:val="0"/>
          <w:numId w:val="1005"/>
        </w:numPr>
      </w:pPr>
      <m:oMath>
        <m:sSub>
          <m:e>
            <m:r>
              <m:rPr>
                <m:nor/>
                <m:sty m:val="p"/>
              </m:rPr>
              <m:t>Pente</m:t>
            </m:r>
          </m:e>
          <m:sub>
            <m:r>
              <m:t>v</m:t>
            </m:r>
            <m:r>
              <m:rPr>
                <m:sty m:val="p"/>
              </m:rPr>
              <m:t>−</m:t>
            </m:r>
            <m:r>
              <m:t>t</m:t>
            </m:r>
          </m:sub>
        </m:sSub>
        <m:r>
          <m:rPr>
            <m:sty m:val="p"/>
          </m:rPr>
          <m:t>=</m:t>
        </m:r>
        <m:r>
          <m:t>1.497</m:t>
        </m:r>
        <m:r>
          <m:rPr>
            <m:sty m:val="p"/>
          </m:rPr>
          <m:t>±</m:t>
        </m:r>
        <m:r>
          <m:t>0.017</m:t>
        </m:r>
      </m:oMath>
      <w:r>
        <w:t xml:space="preserve"> m s⁻²</w:t>
      </w:r>
    </w:p>
    <w:p>
      <w:pPr>
        <w:numPr>
          <w:ilvl w:val="0"/>
          <w:numId w:val="1005"/>
        </w:numPr>
      </w:pPr>
      <m:oMath>
        <m:sSub>
          <m:e>
            <m:r>
              <m:rPr>
                <m:nor/>
                <m:sty m:val="p"/>
              </m:rPr>
              <m:t>Ordonnée</m:t>
            </m:r>
          </m:e>
          <m:sub>
            <m:r>
              <m:t>0</m:t>
            </m:r>
            <m:r>
              <m:rPr>
                <m:sty m:val="p"/>
              </m:rPr>
              <m:t>,</m:t>
            </m:r>
            <m:r>
              <m:t>v</m:t>
            </m:r>
            <m:r>
              <m:rPr>
                <m:sty m:val="p"/>
              </m:rPr>
              <m:t>−</m:t>
            </m:r>
            <m:r>
              <m:t>t</m:t>
            </m:r>
          </m:sub>
        </m:sSub>
        <m:r>
          <m:rPr>
            <m:sty m:val="p"/>
          </m:rPr>
          <m:t>=</m:t>
        </m:r>
        <m:r>
          <m:t>0.099</m:t>
        </m:r>
        <m:r>
          <m:rPr>
            <m:sty m:val="p"/>
          </m:rPr>
          <m:t>±</m:t>
        </m:r>
        <m:r>
          <m:t>0.003</m:t>
        </m:r>
      </m:oMath>
      <w:r>
        <w:t xml:space="preserve"> m s⁻¹</w:t>
      </w:r>
    </w:p>
    <w:p>
      <w:pPr>
        <w:numPr>
          <w:ilvl w:val="0"/>
          <w:numId w:val="1005"/>
        </w:numPr>
      </w:pPr>
      <m:oMath>
        <m:sSub>
          <m:e>
            <m:r>
              <m:rPr>
                <m:nor/>
                <m:sty m:val="p"/>
              </m:rPr>
              <m:t>Pente</m:t>
            </m:r>
          </m:e>
          <m:sub>
            <m:sSup>
              <m:e>
                <m:r>
                  <m:t>T</m:t>
                </m:r>
              </m:e>
              <m:sup>
                <m:r>
                  <m:t>2</m:t>
                </m:r>
              </m:sup>
            </m:sSup>
            <m:r>
              <m:rPr>
                <m:sty m:val="p"/>
              </m:rPr>
              <m:t>−</m:t>
            </m:r>
            <m:r>
              <m:t>L</m:t>
            </m:r>
          </m:sub>
        </m:sSub>
        <m:r>
          <m:rPr>
            <m:sty m:val="p"/>
          </m:rPr>
          <m:t>=</m:t>
        </m:r>
        <m:r>
          <m:t>0.040</m:t>
        </m:r>
        <m:r>
          <m:rPr>
            <m:sty m:val="p"/>
          </m:rPr>
          <m:t>±</m:t>
        </m:r>
        <m:r>
          <m:t>0.000</m:t>
        </m:r>
      </m:oMath>
      <w:r>
        <w:t xml:space="preserve"> s² cm⁻¹</w:t>
      </w:r>
    </w:p>
    <w:p>
      <w:pPr>
        <w:numPr>
          <w:ilvl w:val="0"/>
          <w:numId w:val="1005"/>
        </w:numPr>
      </w:pPr>
      <m:oMath>
        <m:sSub>
          <m:e>
            <m:r>
              <m:rPr>
                <m:nor/>
                <m:sty m:val="p"/>
              </m:rPr>
              <m:t>Ordonnée</m:t>
            </m:r>
          </m:e>
          <m:sub>
            <m:r>
              <m:t>0</m:t>
            </m:r>
            <m:r>
              <m:rPr>
                <m:sty m:val="p"/>
              </m:rPr>
              <m:t>,</m:t>
            </m:r>
            <m:sSup>
              <m:e>
                <m:r>
                  <m:t>T</m:t>
                </m:r>
              </m:e>
              <m:sup>
                <m:r>
                  <m:t>2</m:t>
                </m:r>
              </m:sup>
            </m:sSup>
            <m:r>
              <m:rPr>
                <m:sty m:val="p"/>
              </m:rPr>
              <m:t>−</m:t>
            </m:r>
            <m:r>
              <m:t>L</m:t>
            </m:r>
          </m:sub>
        </m:sSub>
        <m:r>
          <m:rPr>
            <m:sty m:val="p"/>
          </m:rPr>
          <m:t>=</m:t>
        </m:r>
        <m:r>
          <m:rPr>
            <m:sty m:val="p"/>
          </m:rPr>
          <m:t>−</m:t>
        </m:r>
        <m:r>
          <m:t>0.001</m:t>
        </m:r>
        <m:r>
          <m:rPr>
            <m:sty m:val="p"/>
          </m:rPr>
          <m:t>±</m:t>
        </m:r>
        <m:r>
          <m:t>0.001</m:t>
        </m:r>
      </m:oMath>
      <w:r>
        <w:t xml:space="preserve"> s²</w:t>
      </w:r>
    </w:p>
    <w:bookmarkEnd w:id="24"/>
    <w:bookmarkStart w:id="25" w:name="conclusion"/>
    <w:p>
      <w:pPr>
        <w:pStyle w:val="Heading1"/>
      </w:pPr>
      <w:r>
        <w:t xml:space="preserve">Conclusion</w:t>
      </w:r>
    </w:p>
    <w:p>
      <w:pPr>
        <w:pStyle w:val="FirstParagraph"/>
      </w:pPr>
      <w:r>
        <w:t xml:space="preserve">L’expérience a confirmé la relation prédite pour le pendule simple et a permis de mesurer la constante gravitationnelle avec une précision de ± 0.02 m s⁻². Les deux méthodes expérimentales convergent vers la même valeur, attestant la robustesse de l’approche. Les incertitudes restent faibles, mais un contrôle plus fin du frottement et de la synchronisation du chronomètre pourrait encore améliorer la précision.</w:t>
      </w:r>
    </w:p>
    <w:bookmarkEnd w:id="25"/>
    <w:bookmarkStart w:id="26" w:name="bibliographie-harvard"/>
    <w:p>
      <w:pPr>
        <w:pStyle w:val="Heading1"/>
      </w:pPr>
      <w:r>
        <w:t xml:space="preserve">Bibliographie (Harvard)</w:t>
      </w:r>
    </w:p>
    <w:p>
      <w:pPr>
        <w:pStyle w:val="Compact"/>
        <w:numPr>
          <w:ilvl w:val="0"/>
          <w:numId w:val="1006"/>
        </w:numPr>
      </w:pPr>
      <w:r>
        <w:t xml:space="preserve">Halliday, D., Resnick, R. &amp; Walker, J. (2013).</w:t>
      </w:r>
      <w:r>
        <w:t xml:space="preserve"> </w:t>
      </w:r>
      <w:r>
        <w:rPr>
          <w:i/>
          <w:iCs/>
        </w:rPr>
        <w:t xml:space="preserve">Fundamentals of Physics</w:t>
      </w:r>
      <w:r>
        <w:t xml:space="preserve">. 10th ed. Wiley.</w:t>
      </w:r>
      <w:r>
        <w:br/>
      </w:r>
    </w:p>
    <w:p>
      <w:pPr>
        <w:pStyle w:val="Compact"/>
        <w:numPr>
          <w:ilvl w:val="0"/>
          <w:numId w:val="1006"/>
        </w:numPr>
      </w:pPr>
      <w:r>
        <w:t xml:space="preserve">Giancoli, D. C. (2014).</w:t>
      </w:r>
      <w:r>
        <w:t xml:space="preserve"> </w:t>
      </w:r>
      <w:r>
        <w:rPr>
          <w:i/>
          <w:iCs/>
        </w:rPr>
        <w:t xml:space="preserve">Physics: Principles with Applications</w:t>
      </w:r>
      <w:r>
        <w:t xml:space="preserve">. 7th ed. Pearson.</w:t>
      </w:r>
      <w:r>
        <w:br/>
      </w:r>
    </w:p>
    <w:p>
      <w:pPr>
        <w:pStyle w:val="Compact"/>
        <w:numPr>
          <w:ilvl w:val="0"/>
          <w:numId w:val="1006"/>
        </w:numPr>
      </w:pPr>
      <w:r>
        <w:t xml:space="preserve">Serway, R. A. &amp; Jewett, J. W. (2018).</w:t>
      </w:r>
      <w:r>
        <w:t xml:space="preserve"> </w:t>
      </w:r>
      <w:r>
        <w:rPr>
          <w:i/>
          <w:iCs/>
        </w:rPr>
        <w:t xml:space="preserve">Physics for Scientists and Engineers</w:t>
      </w:r>
      <w:r>
        <w:t xml:space="preserve">. 9th ed. Cengage Learning.</w:t>
      </w:r>
      <w:r>
        <w:br/>
      </w:r>
    </w:p>
    <w:p>
      <w:pPr>
        <w:pStyle w:val="Compact"/>
        <w:numPr>
          <w:ilvl w:val="0"/>
          <w:numId w:val="1006"/>
        </w:numPr>
      </w:pPr>
      <w:r>
        <w:t xml:space="preserve">Taylor, J. R. (2005).</w:t>
      </w:r>
      <w:r>
        <w:t xml:space="preserve"> </w:t>
      </w:r>
      <w:r>
        <w:rPr>
          <w:i/>
          <w:iCs/>
        </w:rPr>
        <w:t xml:space="preserve">An Introduction to Error Analysis</w:t>
      </w:r>
      <w:r>
        <w:t xml:space="preserve">. 2nd ed. University Science Books.</w:t>
      </w:r>
    </w:p>
    <w:p>
      <w:r>
        <w:pict>
          <v:rect style="width:0;height:1.5pt" o:hralign="center" o:hrstd="t" o:hr="t"/>
        </w:pic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2026-10-08T02:42:23Z</dcterms:created>
  <dcterms:modified xsi:type="dcterms:W3CDTF">2026-10-08T02:42:23Z</dcterms:modified>
</cp:coreProperties>
</file>

<file path=docProps/custom.xml><?xml version="1.0" encoding="utf-8"?>
<Properties xmlns="http://schemas.openxmlformats.org/officeDocument/2006/custom-properties" xmlns:vt="http://schemas.openxmlformats.org/officeDocument/2006/docPropsVTypes"/>
</file>