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ésumé"/>
    <w:p>
      <w:pPr>
        <w:pStyle w:val="Heading1"/>
      </w:pPr>
      <w:r>
        <w:t xml:space="preserve">Résumé</w:t>
      </w:r>
    </w:p>
    <w:p>
      <w:pPr>
        <w:pStyle w:val="FirstParagraph"/>
      </w:pPr>
      <w:r>
        <w:t xml:space="preserve">This report presents a laboratory study on a simple pendulum aimed at determining the experimental value of the gravitational acceleration</w:t>
      </w:r>
      <w:r>
        <w:t xml:space="preserve"> </w:t>
      </w:r>
      <m:oMath>
        <m:r>
          <m:t>g</m:t>
        </m:r>
      </m:oMath>
      <w:r>
        <w:t xml:space="preserve">. A lightweight bob is suspended from a rigid, inextensible string and its oscillatory motion is recorded. Two sets of measurements were taken: (i) velocity versus time during the descent, and (ii) period squared</w:t>
      </w:r>
      <w:r>
        <w:t xml:space="preserve"> </w:t>
      </w:r>
      <m:oMath>
        <m:sSup>
          <m:e>
            <m:r>
              <m:t>T</m:t>
            </m:r>
          </m:e>
          <m:sup>
            <m:r>
              <m:t>2</m:t>
            </m:r>
          </m:sup>
        </m:sSup>
      </m:oMath>
      <w:r>
        <w:t xml:space="preserve"> </w:t>
      </w:r>
      <w:r>
        <w:t xml:space="preserve">versus length</w:t>
      </w:r>
      <w:r>
        <w:t xml:space="preserve"> </w:t>
      </w:r>
      <m:oMath>
        <m:r>
          <m:t>L</m:t>
        </m:r>
      </m:oMath>
      <w:r>
        <w:t xml:space="preserve">. Linear regressions were performed to extract the slope of each plot, from which</w:t>
      </w:r>
      <w:r>
        <w:t xml:space="preserve"> </w:t>
      </w:r>
      <m:oMath>
        <m:r>
          <m:t>g</m:t>
        </m:r>
      </m:oMath>
      <w:r>
        <w:t xml:space="preserve"> </w:t>
      </w:r>
      <w:r>
        <w:t xml:space="preserve">and the relationship</w:t>
      </w:r>
      <w:r>
        <w:t xml:space="preserve"> </w:t>
      </w:r>
      <m:oMath>
        <m:sSup>
          <m:e>
            <m:r>
              <m:t>T</m:t>
            </m:r>
          </m:e>
          <m:sup>
            <m:r>
              <m:t>2</m:t>
            </m:r>
          </m:sup>
        </m:sSup>
        <m:r>
          <m:rPr>
            <m:sty m:val="p"/>
          </m:rPr>
          <m:t>=</m:t>
        </m:r>
        <m:f>
          <m:fPr>
            <m:type m:val="bar"/>
          </m:fPr>
          <m:num>
            <m:r>
              <m:t>4</m:t>
            </m:r>
            <m:sSup>
              <m:e>
                <m:r>
                  <m:t>π</m:t>
                </m:r>
              </m:e>
              <m:sup>
                <m:r>
                  <m:t>2</m:t>
                </m:r>
              </m:sup>
            </m:sSup>
          </m:num>
          <m:den>
            <m:r>
              <m:t>g</m:t>
            </m:r>
          </m:den>
        </m:f>
        <m:r>
          <m:t>L</m:t>
        </m:r>
      </m:oMath>
      <w:r>
        <w:t xml:space="preserve"> </w:t>
      </w:r>
      <w:r>
        <w:t xml:space="preserve">were obtained. The results show a high degree of correlation (</w:t>
      </w:r>
      <m:oMath>
        <m:sSup>
          <m:e>
            <m:r>
              <m:t>r</m:t>
            </m:r>
          </m:e>
          <m:sup>
            <m:r>
              <m:t>2</m:t>
            </m:r>
          </m:sup>
        </m:sSup>
        <m:r>
          <m:rPr>
            <m:sty m:val="p"/>
          </m:rPr>
          <m:t>≈</m:t>
        </m:r>
        <m:r>
          <m:t>1</m:t>
        </m:r>
      </m:oMath>
      <w:r>
        <w:t xml:space="preserve">) and yield a value of</w:t>
      </w:r>
      <w:r>
        <w:t xml:space="preserve"> </w:t>
      </w:r>
      <m:oMath>
        <m:r>
          <m:t>g</m:t>
        </m:r>
      </m:oMath>
      <w:r>
        <w:t xml:space="preserve"> </w:t>
      </w:r>
      <w:r>
        <w:t xml:space="preserve">consistent with the accepted local value. The final section discusses the uncertainties, presents the scientific notation for each measured and calculated quantity, and provides a concise conclusion.</w:t>
      </w:r>
    </w:p>
    <w:p>
      <w:r>
        <w:pict>
          <v:rect style="width:0;height:1.5pt" o:hralign="center" o:hrstd="t" o:hr="t"/>
        </w:pict>
      </w:r>
    </w:p>
    <w:bookmarkEnd w:id="9"/>
    <w:bookmarkStart w:id="10" w:name="introduction"/>
    <w:p>
      <w:pPr>
        <w:pStyle w:val="Heading1"/>
      </w:pPr>
      <w:r>
        <w:t xml:space="preserve">Introduction</w:t>
      </w:r>
    </w:p>
    <w:p>
      <w:pPr>
        <w:pStyle w:val="FirstParagraph"/>
      </w:pPr>
      <w:r>
        <w:t xml:space="preserve">Le pendule simple est un système oscillatoire dont la dynamique est largement utilisée pour déterminer la constante gravitationnelle</w:t>
      </w:r>
      <w:r>
        <w:t xml:space="preserve"> </w:t>
      </w:r>
      <m:oMath>
        <m:r>
          <m:t>g</m:t>
        </m:r>
      </m:oMath>
      <w:r>
        <w:t xml:space="preserve">. En étudiant la relation entre le temps de période</w:t>
      </w:r>
      <w:r>
        <w:t xml:space="preserve"> </w:t>
      </w:r>
      <m:oMath>
        <m:r>
          <m:t>T</m:t>
        </m:r>
      </m:oMath>
      <w:r>
        <w:t xml:space="preserve"> </w:t>
      </w:r>
      <w:r>
        <w:t xml:space="preserve">et la longueur</w:t>
      </w:r>
      <w:r>
        <w:t xml:space="preserve"> </w:t>
      </w:r>
      <m:oMath>
        <m:r>
          <m:t>L</m:t>
        </m:r>
      </m:oMath>
      <w:r>
        <w:t xml:space="preserve"> </w:t>
      </w:r>
      <w:r>
        <w:t xml:space="preserve">de l’arc, on peut inférer</w:t>
      </w:r>
      <w:r>
        <w:t xml:space="preserve"> </w:t>
      </w:r>
      <m:oMath>
        <m:r>
          <m:t>g</m:t>
        </m:r>
      </m:oMath>
      <w:r>
        <w:t xml:space="preserve"> </w:t>
      </w:r>
      <w:r>
        <w:t xml:space="preserve">via la formule théorique</w:t>
      </w:r>
    </w:p>
    <w:p>
      <w:pPr>
        <w:pStyle w:val="BodyText"/>
      </w:pPr>
      <m:oMathPara>
        <m:oMathParaPr>
          <m:jc m:val="center"/>
        </m:oMathParaPr>
        <m:oMath>
          <m:r>
            <m:t>T</m:t>
          </m:r>
          <m:r>
            <m:rPr>
              <m:sty m:val="p"/>
            </m:rPr>
            <m:t>=</m:t>
          </m:r>
          <m:r>
            <m:t>2</m:t>
          </m:r>
          <m:r>
            <m:t>π</m:t>
          </m:r>
          <m:rad>
            <m:radPr>
              <m:degHide m:val="on"/>
            </m:radPr>
            <m:deg/>
            <m:e>
              <m:f>
                <m:fPr>
                  <m:type m:val="bar"/>
                </m:fPr>
                <m:num>
                  <m:r>
                    <m:t>L</m:t>
                  </m:r>
                </m:num>
                <m:den>
                  <m:r>
                    <m:t>g</m:t>
                  </m:r>
                </m:den>
              </m:f>
            </m:e>
          </m:rad>
          <m:r>
            <m:t> </m:t>
          </m:r>
          <m:r>
            <m:rPr>
              <m:sty m:val="p"/>
            </m:rPr>
            <m:t>.</m:t>
          </m:r>
        </m:oMath>
      </m:oMathPara>
    </w:p>
    <w:p>
      <w:pPr>
        <w:pStyle w:val="FirstParagraph"/>
      </w:pPr>
      <w:r>
        <w:t xml:space="preserve">Cette expérience permet de vérifier la validité de cette relation et de mesurer</w:t>
      </w:r>
      <w:r>
        <w:t xml:space="preserve"> </w:t>
      </w:r>
      <m:oMath>
        <m:r>
          <m:t>g</m:t>
        </m:r>
      </m:oMath>
      <w:r>
        <w:t xml:space="preserve"> </w:t>
      </w:r>
      <w:r>
        <w:t xml:space="preserve">en laboratoire.</w:t>
      </w:r>
    </w:p>
    <w:p>
      <w:r>
        <w:pict>
          <v:rect style="width:0;height:1.5pt" o:hralign="center" o:hrstd="t" o:hr="t"/>
        </w:pict>
      </w:r>
    </w:p>
    <w:bookmarkEnd w:id="10"/>
    <w:bookmarkStart w:id="11" w:name="principe"/>
    <w:p>
      <w:pPr>
        <w:pStyle w:val="Heading1"/>
      </w:pPr>
      <w:r>
        <w:t xml:space="preserve">Principe</w:t>
      </w:r>
    </w:p>
    <w:p>
      <w:pPr>
        <w:pStyle w:val="FirstParagraph"/>
      </w:pPr>
      <w:r>
        <w:t xml:space="preserve">Un pendule simple se compose d’une masse ponctuelle (le poids) suspendue à un fil de longueur</w:t>
      </w:r>
      <w:r>
        <w:t xml:space="preserve"> </w:t>
      </w:r>
      <m:oMath>
        <m:r>
          <m:t>L</m:t>
        </m:r>
      </m:oMath>
      <w:r>
        <w:t xml:space="preserve">, supposé inextensible et sans masse. Sous l’influence de la gravité, le poids subit une force de rappel proportionnelle à l’angle</w:t>
      </w:r>
      <w:r>
        <w:t xml:space="preserve"> </w:t>
      </w:r>
      <m:oMath>
        <m:r>
          <m:t>θ</m:t>
        </m:r>
      </m:oMath>
      <w:r>
        <w:t xml:space="preserve">. Pour de petites oscillations, l’équation différentielle est linéarisée, donnant</w:t>
      </w:r>
    </w:p>
    <w:p>
      <w:pPr>
        <w:pStyle w:val="BodyText"/>
      </w:pPr>
      <m:oMathPara>
        <m:oMathParaPr>
          <m:jc m:val="center"/>
        </m:oMathParaPr>
        <m:oMath>
          <m:acc>
            <m:accPr>
              <m:chr m:val="̈"/>
            </m:accPr>
            <m:e>
              <m:r>
                <m:t>θ</m:t>
              </m:r>
            </m:e>
          </m:acc>
          <m:r>
            <m:rPr>
              <m:sty m:val="p"/>
            </m:rPr>
            <m:t>+</m:t>
          </m:r>
          <m:f>
            <m:fPr>
              <m:type m:val="bar"/>
            </m:fPr>
            <m:num>
              <m:r>
                <m:t>g</m:t>
              </m:r>
            </m:num>
            <m:den>
              <m:r>
                <m:t>L</m:t>
              </m:r>
            </m:den>
          </m:f>
          <m:r>
            <m:t>θ</m:t>
          </m:r>
          <m:r>
            <m:rPr>
              <m:sty m:val="p"/>
            </m:rPr>
            <m:t>=</m:t>
          </m:r>
          <m:r>
            <m:t>0</m:t>
          </m:r>
          <m:r>
            <m:rPr>
              <m:sty m:val="p"/>
            </m:rPr>
            <m:t>,</m:t>
          </m:r>
        </m:oMath>
      </m:oMathPara>
    </w:p>
    <w:p>
      <w:pPr>
        <w:pStyle w:val="FirstParagraph"/>
      </w:pPr>
      <w:r>
        <w:t xml:space="preserve">dont la solution sinusoidale donne la période</w:t>
      </w:r>
      <w:r>
        <w:t xml:space="preserve"> </w:t>
      </w:r>
      <m:oMath>
        <m:r>
          <m:t>T</m:t>
        </m:r>
      </m:oMath>
      <w:r>
        <w:t xml:space="preserve"> </w:t>
      </w:r>
      <w:r>
        <w:t xml:space="preserve">mentionnée précédemment. L’expérience consiste à mesurer</w:t>
      </w:r>
      <w:r>
        <w:t xml:space="preserve"> </w:t>
      </w:r>
      <m:oMath>
        <m:r>
          <m:t>T</m:t>
        </m:r>
      </m:oMath>
      <w:r>
        <w:t xml:space="preserve"> </w:t>
      </w:r>
      <w:r>
        <w:t xml:space="preserve">pour différentes longueurs, puis à tracer</w:t>
      </w:r>
      <w:r>
        <w:t xml:space="preserve"> </w:t>
      </w:r>
      <m:oMath>
        <m:sSup>
          <m:e>
            <m:r>
              <m:t>T</m:t>
            </m:r>
          </m:e>
          <m:sup>
            <m:r>
              <m:t>2</m:t>
            </m:r>
          </m:sup>
        </m:sSup>
      </m:oMath>
      <w:r>
        <w:t xml:space="preserve"> </w:t>
      </w:r>
      <w:r>
        <w:t xml:space="preserve">contre</w:t>
      </w:r>
      <w:r>
        <w:t xml:space="preserve"> </w:t>
      </w:r>
      <m:oMath>
        <m:r>
          <m:t>L</m:t>
        </m:r>
      </m:oMath>
      <w:r>
        <w:t xml:space="preserve">. La pente de la droite obtenue est</w:t>
      </w:r>
      <w:r>
        <w:t xml:space="preserve"> </w:t>
      </w:r>
      <m:oMath>
        <m:f>
          <m:fPr>
            <m:type m:val="bar"/>
          </m:fPr>
          <m:num>
            <m:r>
              <m:t>4</m:t>
            </m:r>
            <m:sSup>
              <m:e>
                <m:r>
                  <m:t>π</m:t>
                </m:r>
              </m:e>
              <m:sup>
                <m:r>
                  <m:t>2</m:t>
                </m:r>
              </m:sup>
            </m:sSup>
          </m:num>
          <m:den>
            <m:r>
              <m:t>g</m:t>
            </m:r>
          </m:den>
        </m:f>
      </m:oMath>
      <w:r>
        <w:t xml:space="preserve">.</w:t>
      </w:r>
    </w:p>
    <w:p>
      <w:r>
        <w:pict>
          <v:rect style="width:0;height:1.5pt" o:hralign="center" o:hrstd="t" o:hr="t"/>
        </w:pict>
      </w:r>
    </w:p>
    <w:bookmarkEnd w:id="11"/>
    <w:bookmarkStart w:id="12" w:name="matériel"/>
    <w:p>
      <w:pPr>
        <w:pStyle w:val="Heading1"/>
      </w:pPr>
      <w:r>
        <w:t xml:space="preserve">Matériel</w:t>
      </w:r>
    </w:p>
    <w:p>
      <w:pPr>
        <w:pStyle w:val="Compact"/>
        <w:numPr>
          <w:ilvl w:val="0"/>
          <w:numId w:val="1001"/>
        </w:numPr>
      </w:pPr>
      <w:r>
        <w:t xml:space="preserve">Fil de masse négligeable et inextensible</w:t>
      </w:r>
      <w:r>
        <w:br/>
      </w:r>
    </w:p>
    <w:p>
      <w:pPr>
        <w:pStyle w:val="Compact"/>
        <w:numPr>
          <w:ilvl w:val="0"/>
          <w:numId w:val="1001"/>
        </w:numPr>
      </w:pPr>
      <w:r>
        <w:t xml:space="preserve">Masse bob (poids)</w:t>
      </w:r>
      <w:r>
        <w:br/>
      </w:r>
    </w:p>
    <w:p>
      <w:pPr>
        <w:pStyle w:val="Compact"/>
        <w:numPr>
          <w:ilvl w:val="0"/>
          <w:numId w:val="1001"/>
        </w:numPr>
      </w:pPr>
      <w:r>
        <w:t xml:space="preserve">Chronomètre ou dispositif de mesure temporelle</w:t>
      </w:r>
      <w:r>
        <w:br/>
      </w:r>
    </w:p>
    <w:p>
      <w:pPr>
        <w:pStyle w:val="Compact"/>
        <w:numPr>
          <w:ilvl w:val="0"/>
          <w:numId w:val="1001"/>
        </w:numPr>
      </w:pPr>
      <w:r>
        <w:t xml:space="preserve">Règle ou mètre pour mesurer la longueur</w:t>
      </w:r>
      <w:r>
        <w:br/>
      </w:r>
    </w:p>
    <w:p>
      <w:pPr>
        <w:pStyle w:val="Compact"/>
        <w:numPr>
          <w:ilvl w:val="0"/>
          <w:numId w:val="1001"/>
        </w:numPr>
      </w:pPr>
      <w:r>
        <w:t xml:space="preserve">Support rigide pour fixer le fil</w:t>
      </w:r>
      <w:r>
        <w:br/>
      </w:r>
    </w:p>
    <w:p>
      <w:pPr>
        <w:pStyle w:val="Compact"/>
        <w:numPr>
          <w:ilvl w:val="0"/>
          <w:numId w:val="1001"/>
        </w:numPr>
      </w:pPr>
      <w:r>
        <w:t xml:space="preserve">Support de mesure du déplacement (pour le premier jeu de données)</w:t>
      </w:r>
    </w:p>
    <w:p>
      <w:r>
        <w:pict>
          <v:rect style="width:0;height:1.5pt" o:hralign="center" o:hrstd="t" o:hr="t"/>
        </w:pict>
      </w:r>
    </w:p>
    <w:bookmarkEnd w:id="12"/>
    <w:bookmarkStart w:id="13" w:name="mode-opératoire-méthode"/>
    <w:p>
      <w:pPr>
        <w:pStyle w:val="Heading1"/>
      </w:pPr>
      <w:r>
        <w:t xml:space="preserve">Mode opératoire / Méthode</w:t>
      </w:r>
    </w:p>
    <w:p>
      <w:pPr>
        <w:pStyle w:val="Compact"/>
        <w:numPr>
          <w:ilvl w:val="0"/>
          <w:numId w:val="1002"/>
        </w:numPr>
      </w:pPr>
      <w:r>
        <w:t xml:space="preserve">Fixer le fil au support à une hauteur donnée.</w:t>
      </w:r>
      <w:r>
        <w:br/>
      </w:r>
    </w:p>
    <w:p>
      <w:pPr>
        <w:pStyle w:val="Compact"/>
        <w:numPr>
          <w:ilvl w:val="0"/>
          <w:numId w:val="1002"/>
        </w:numPr>
      </w:pPr>
      <w:r>
        <w:t xml:space="preserve">Ajuster la longueur</w:t>
      </w:r>
      <w:r>
        <w:t xml:space="preserve"> </w:t>
      </w:r>
      <m:oMath>
        <m:r>
          <m:t>L</m:t>
        </m:r>
      </m:oMath>
      <w:r>
        <w:t xml:space="preserve"> </w:t>
      </w:r>
      <w:r>
        <w:t xml:space="preserve">du fil pour chaque série de mesures.</w:t>
      </w:r>
      <w:r>
        <w:br/>
      </w:r>
    </w:p>
    <w:p>
      <w:pPr>
        <w:pStyle w:val="Compact"/>
        <w:numPr>
          <w:ilvl w:val="0"/>
          <w:numId w:val="1002"/>
        </w:numPr>
      </w:pPr>
      <w:r>
        <w:t xml:space="preserve">Soulever le bob et le laisser osciller, en assurant que l’angle initial reste faible.</w:t>
      </w:r>
      <w:r>
        <w:br/>
      </w:r>
    </w:p>
    <w:p>
      <w:pPr>
        <w:pStyle w:val="Compact"/>
        <w:numPr>
          <w:ilvl w:val="0"/>
          <w:numId w:val="1002"/>
        </w:numPr>
      </w:pPr>
      <w:r>
        <w:t xml:space="preserve">Mesurer la période</w:t>
      </w:r>
      <w:r>
        <w:t xml:space="preserve"> </w:t>
      </w:r>
      <m:oMath>
        <m:r>
          <m:t>T</m:t>
        </m:r>
      </m:oMath>
      <w:r>
        <w:t xml:space="preserve"> </w:t>
      </w:r>
      <w:r>
        <w:t xml:space="preserve">(temps pour un tour complet) à l’aide du chronomètre.</w:t>
      </w:r>
      <w:r>
        <w:br/>
      </w:r>
    </w:p>
    <w:p>
      <w:pPr>
        <w:pStyle w:val="Compact"/>
        <w:numPr>
          <w:ilvl w:val="0"/>
          <w:numId w:val="1002"/>
        </w:numPr>
      </w:pPr>
      <w:r>
        <w:t xml:space="preserve">Répéter pour plusieurs longueurs</w:t>
      </w:r>
      <w:r>
        <w:t xml:space="preserve"> </w:t>
      </w:r>
      <m:oMath>
        <m:r>
          <m:t>L</m:t>
        </m:r>
      </m:oMath>
      <w:r>
        <w:t xml:space="preserve">.</w:t>
      </w:r>
      <w:r>
        <w:br/>
      </w:r>
    </w:p>
    <w:p>
      <w:pPr>
        <w:pStyle w:val="Compact"/>
        <w:numPr>
          <w:ilvl w:val="0"/>
          <w:numId w:val="1002"/>
        </w:numPr>
      </w:pPr>
      <w:r>
        <w:t xml:space="preserve">Pour la vitesse, mesurer le déplacement et le temps à différents points de descente, puis calculer la vitesse moyenne.</w:t>
      </w:r>
    </w:p>
    <w:p>
      <w:r>
        <w:pict>
          <v:rect style="width:0;height:1.5pt" o:hralign="center" o:hrstd="t" o:hr="t"/>
        </w:pict>
      </w:r>
    </w:p>
    <w:bookmarkEnd w:id="13"/>
    <w:bookmarkStart w:id="18" w:name="corps-du-rapport"/>
    <w:p>
      <w:pPr>
        <w:pStyle w:val="Heading1"/>
      </w:pPr>
      <w:r>
        <w:t xml:space="preserve">Corps du rapport</w:t>
      </w:r>
    </w:p>
    <w:bookmarkStart w:id="15" w:name="analyse-des-données-de-vitesse"/>
    <w:p>
      <w:pPr>
        <w:pStyle w:val="Heading2"/>
      </w:pPr>
      <w:r>
        <w:t xml:space="preserve">1. Analyse des données de vitesse</w:t>
      </w:r>
    </w:p>
    <w:p>
      <w:pPr>
        <w:pStyle w:val="FirstParagraph"/>
      </w:pPr>
      <w:r>
        <w:t xml:space="preserve">Les points de mesure de vitesse en fonction du temps sont :</w:t>
      </w:r>
    </w:p>
    <w:p>
      <w:pPr>
        <w:pStyle w:val="Compact"/>
        <w:numPr>
          <w:ilvl w:val="0"/>
          <w:numId w:val="1003"/>
        </w:numPr>
      </w:pPr>
      <w:r>
        <w:t xml:space="preserve">abscisse (s) :</w:t>
      </w:r>
      <w:r>
        <w:t xml:space="preserve"> </w:t>
      </w:r>
      <m:oMath>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br/>
      </w:r>
    </w:p>
    <w:p>
      <w:pPr>
        <w:pStyle w:val="Compact"/>
        <w:numPr>
          <w:ilvl w:val="0"/>
          <w:numId w:val="1003"/>
        </w:numPr>
      </w:pPr>
      <w:r>
        <w:t xml:space="preserve">ordonnée (m/s) :</w:t>
      </w:r>
      <w:r>
        <w:t xml:space="preserve"> </w:t>
      </w:r>
      <m:oMath>
        <m:r>
          <m:rPr>
            <m:sty m:val="p"/>
          </m:rPr>
          <m:t>[</m:t>
        </m:r>
        <m:r>
          <m:t>0.12</m:t>
        </m:r>
        <m:r>
          <m:rPr>
            <m:sty m:val="p"/>
          </m:rPr>
          <m:t>,</m:t>
        </m:r>
        <m:r>
          <m:t>1.58</m:t>
        </m:r>
        <m:r>
          <m:rPr>
            <m:sty m:val="p"/>
          </m:rPr>
          <m:t>,</m:t>
        </m:r>
        <m:r>
          <m:t>3.15</m:t>
        </m:r>
        <m:r>
          <m:rPr>
            <m:sty m:val="p"/>
          </m:rPr>
          <m:t>,</m:t>
        </m:r>
        <m:r>
          <m:t>4.47</m:t>
        </m:r>
        <m:r>
          <m:rPr>
            <m:sty m:val="p"/>
          </m:rPr>
          <m:t>,</m:t>
        </m:r>
        <m:r>
          <m:t>6.10</m:t>
        </m:r>
        <m:r>
          <m:rPr>
            <m:sty m:val="p"/>
          </m:rPr>
          <m:t>,</m:t>
        </m:r>
        <m:r>
          <m:t>7.62</m:t>
        </m:r>
        <m:r>
          <m:rPr>
            <m:sty m:val="p"/>
          </m:rPr>
          <m:t>]</m:t>
        </m:r>
      </m:oMath>
    </w:p>
    <w:p>
      <w:pPr>
        <w:pStyle w:val="FirstParagraph"/>
      </w:pPr>
      <w:r>
        <w:t xml:space="preserve">Une régression linéaire a été appliquée, donnant :</w:t>
      </w:r>
    </w:p>
    <w:p>
      <w:pPr>
        <w:pStyle w:val="Compact"/>
        <w:numPr>
          <w:ilvl w:val="0"/>
          <w:numId w:val="1004"/>
        </w:numPr>
      </w:pPr>
      <w:r>
        <w:t xml:space="preserve">Pente</w:t>
      </w:r>
      <w:r>
        <w:t xml:space="preserve"> </w:t>
      </w:r>
      <m:oMath>
        <m:r>
          <m:rPr>
            <m:sty m:val="p"/>
          </m:rPr>
          <m:t>=</m:t>
        </m:r>
        <m:r>
          <m:t>1.497</m:t>
        </m:r>
        <m:r>
          <m:t> </m:t>
        </m:r>
        <m:r>
          <m:rPr>
            <m:sty m:val="p"/>
          </m:rPr>
          <m:t>m</m:t>
        </m:r>
        <m:r>
          <m:rPr>
            <m:sty m:val="p"/>
          </m:rPr>
          <m:t> </m:t>
        </m:r>
        <m:sSup>
          <m:e>
            <m:r>
              <m:rPr>
                <m:sty m:val="p"/>
              </m:rPr>
              <m:t>s</m:t>
            </m:r>
          </m:e>
          <m:sup>
            <m:r>
              <m:rPr>
                <m:sty m:val="p"/>
              </m:rPr>
              <m:t>−</m:t>
            </m:r>
            <m:r>
              <m:rPr>
                <m:sty m:val="p"/>
              </m:rPr>
              <m:t>2</m:t>
            </m:r>
          </m:sup>
        </m:sSup>
      </m:oMath>
      <w:r>
        <w:br/>
      </w:r>
    </w:p>
    <w:p>
      <w:pPr>
        <w:pStyle w:val="Compact"/>
        <w:numPr>
          <w:ilvl w:val="0"/>
          <w:numId w:val="1004"/>
        </w:numPr>
      </w:pPr>
      <w:r>
        <w:t xml:space="preserve">Ordonnée à l’origine</w:t>
      </w:r>
      <w:r>
        <w:t xml:space="preserve"> </w:t>
      </w:r>
      <m:oMath>
        <m:r>
          <m:rPr>
            <m:sty m:val="p"/>
          </m:rPr>
          <m:t>=</m:t>
        </m:r>
        <m:r>
          <m:t>0.099</m:t>
        </m:r>
        <m:r>
          <m:t> </m:t>
        </m:r>
        <m:r>
          <m:rPr>
            <m:sty m:val="p"/>
          </m:rPr>
          <m:t>m</m:t>
        </m:r>
        <m:r>
          <m:rPr>
            <m:sty m:val="p"/>
          </m:rPr>
          <m:t> </m:t>
        </m:r>
        <m:sSup>
          <m:e>
            <m:r>
              <m:rPr>
                <m:sty m:val="p"/>
              </m:rPr>
              <m:t>s</m:t>
            </m:r>
          </m:e>
          <m:sup>
            <m:r>
              <m:rPr>
                <m:sty m:val="p"/>
              </m:rPr>
              <m:t>−</m:t>
            </m:r>
            <m:r>
              <m:rPr>
                <m:sty m:val="p"/>
              </m:rPr>
              <m:t>1</m:t>
            </m:r>
          </m:sup>
        </m:sSup>
      </m:oMath>
      <w:r>
        <w:br/>
      </w:r>
    </w:p>
    <w:p>
      <w:pPr>
        <w:pStyle w:val="Compact"/>
        <w:numPr>
          <w:ilvl w:val="0"/>
          <w:numId w:val="1004"/>
        </w:numPr>
      </w:pPr>
      <w:r>
        <w:t xml:space="preserve">Incertitude sur la pente</w:t>
      </w:r>
      <w:r>
        <w:t xml:space="preserve"> </w:t>
      </w:r>
      <m:oMath>
        <m:r>
          <m:rPr>
            <m:sty m:val="p"/>
          </m:rPr>
          <m:t>=</m:t>
        </m:r>
        <m:r>
          <m:t>0.017</m:t>
        </m:r>
        <m:r>
          <m:t> </m:t>
        </m:r>
        <m:r>
          <m:rPr>
            <m:sty m:val="p"/>
          </m:rPr>
          <m:t>m</m:t>
        </m:r>
        <m:r>
          <m:rPr>
            <m:sty m:val="p"/>
          </m:rPr>
          <m:t> </m:t>
        </m:r>
        <m:sSup>
          <m:e>
            <m:r>
              <m:rPr>
                <m:sty m:val="p"/>
              </m:rPr>
              <m:t>s</m:t>
            </m:r>
          </m:e>
          <m:sup>
            <m:r>
              <m:rPr>
                <m:sty m:val="p"/>
              </m:rPr>
              <m:t>−</m:t>
            </m:r>
            <m:r>
              <m:rPr>
                <m:sty m:val="p"/>
              </m:rPr>
              <m:t>2</m:t>
            </m:r>
          </m:sup>
        </m:sSup>
      </m:oMath>
      <w:r>
        <w:br/>
      </w:r>
    </w:p>
    <w:p>
      <w:pPr>
        <w:pStyle w:val="Compact"/>
        <w:numPr>
          <w:ilvl w:val="0"/>
          <w:numId w:val="1004"/>
        </w:numPr>
      </w:pPr>
      <w:r>
        <w:t xml:space="preserve">Coefficient de corrélation</w:t>
      </w:r>
      <w:r>
        <w:t xml:space="preserve"> </w:t>
      </w:r>
      <m:oMath>
        <m:sSup>
          <m:e>
            <m:r>
              <m:t>r</m:t>
            </m:r>
          </m:e>
          <m:sup>
            <m:r>
              <m:t>2</m:t>
            </m:r>
          </m:sup>
        </m:sSup>
        <m:r>
          <m:rPr>
            <m:sty m:val="p"/>
          </m:rPr>
          <m:t>=</m:t>
        </m:r>
        <m:r>
          <m:t>0.999</m:t>
        </m:r>
      </m:oMath>
      <w:r>
        <w:br/>
      </w:r>
    </w:p>
    <w:p>
      <w:pPr>
        <w:pStyle w:val="Compact"/>
        <w:numPr>
          <w:ilvl w:val="0"/>
          <w:numId w:val="1004"/>
        </w:numPr>
      </w:pPr>
      <w:r>
        <w:t xml:space="preserve">Nombre de points</w:t>
      </w:r>
      <w:r>
        <w:t xml:space="preserve"> </w:t>
      </w:r>
      <m:oMath>
        <m:r>
          <m:rPr>
            <m:sty m:val="p"/>
          </m:rPr>
          <m:t>=</m:t>
        </m:r>
        <m:r>
          <m:t>6</m:t>
        </m:r>
      </m:oMath>
    </w:p>
    <w:bookmarkStart w:id="14" w:name="graphe-1"/>
    <w:p>
      <w:pPr>
        <w:pStyle w:val="Heading3"/>
      </w:pPr>
      <w:r>
        <w:t xml:space="preserve">Graphe 1</w:t>
      </w:r>
    </w:p>
    <w:p>
      <w:pPr>
        <w:pStyle w:val="FirstParagraph"/>
      </w:pPr>
      <w:r>
        <w:rPr>
          <w:b/>
          <w:bCs/>
        </w:rPr>
        <w:t xml:space="preserve">Nom :</w:t>
      </w:r>
      <w:r>
        <w:t xml:space="preserve"> </w:t>
      </w:r>
      <w:r>
        <w:t xml:space="preserve">Graphe_1</w:t>
      </w:r>
      <w:r>
        <w:br/>
      </w:r>
      <w:r>
        <w:rPr>
          <w:b/>
          <w:bCs/>
        </w:rPr>
        <w:t xml:space="preserve">Description :</w:t>
      </w:r>
      <w:r>
        <w:t xml:space="preserve"> </w:t>
      </w:r>
      <w:r>
        <w:t xml:space="preserve">Représente la variation linéaire de la vitesse du pendule en fonction du temps, illustrant la croissance progressive de la vitesse pendant la descente.</w:t>
      </w:r>
    </w:p>
    <w:bookmarkEnd w:id="14"/>
    <w:bookmarkEnd w:id="15"/>
    <w:bookmarkStart w:id="17" w:name="analyse-des-données-de-période"/>
    <w:p>
      <w:pPr>
        <w:pStyle w:val="Heading2"/>
      </w:pPr>
      <w:r>
        <w:t xml:space="preserve">2. Analyse des données de période</w:t>
      </w:r>
    </w:p>
    <w:p>
      <w:pPr>
        <w:pStyle w:val="FirstParagraph"/>
      </w:pPr>
      <w:r>
        <w:t xml:space="preserve">Les points de mesure de</w:t>
      </w:r>
      <w:r>
        <w:t xml:space="preserve"> </w:t>
      </w:r>
      <m:oMath>
        <m:sSup>
          <m:e>
            <m:r>
              <m:t>T</m:t>
            </m:r>
          </m:e>
          <m:sup>
            <m:r>
              <m:t>2</m:t>
            </m:r>
          </m:sup>
        </m:sSup>
      </m:oMath>
      <w:r>
        <w:t xml:space="preserve"> </w:t>
      </w:r>
      <w:r>
        <w:t xml:space="preserve">en fonction de</w:t>
      </w:r>
      <w:r>
        <w:t xml:space="preserve"> </w:t>
      </w:r>
      <m:oMath>
        <m:r>
          <m:t>L</m:t>
        </m:r>
      </m:oMath>
      <w:r>
        <w:t xml:space="preserve"> </w:t>
      </w:r>
      <w:r>
        <w:t xml:space="preserve">sont :</w:t>
      </w:r>
    </w:p>
    <w:p>
      <w:pPr>
        <w:pStyle w:val="Compact"/>
        <w:numPr>
          <w:ilvl w:val="0"/>
          <w:numId w:val="1005"/>
        </w:numPr>
      </w:pPr>
      <w:r>
        <w:t xml:space="preserve">abscisse (cm) :</w:t>
      </w:r>
      <w:r>
        <w:t xml:space="preserve"> </w:t>
      </w:r>
      <m:oMath>
        <m:r>
          <m:rPr>
            <m:sty m:val="p"/>
          </m:rPr>
          <m:t>[</m:t>
        </m:r>
        <m:r>
          <m:t>10</m:t>
        </m:r>
        <m:r>
          <m:rPr>
            <m:sty m:val="p"/>
          </m:rPr>
          <m:t>,</m:t>
        </m:r>
        <m:r>
          <m:t>20</m:t>
        </m:r>
        <m:r>
          <m:rPr>
            <m:sty m:val="p"/>
          </m:rPr>
          <m:t>,</m:t>
        </m:r>
        <m:r>
          <m:t>30</m:t>
        </m:r>
        <m:r>
          <m:rPr>
            <m:sty m:val="p"/>
          </m:rPr>
          <m:t>,</m:t>
        </m:r>
        <m:r>
          <m:t>40</m:t>
        </m:r>
        <m:r>
          <m:rPr>
            <m:sty m:val="p"/>
          </m:rPr>
          <m:t>,</m:t>
        </m:r>
        <m:r>
          <m:t>50</m:t>
        </m:r>
        <m:r>
          <m:rPr>
            <m:sty m:val="p"/>
          </m:rPr>
          <m:t>,</m:t>
        </m:r>
        <m:r>
          <m:t>60</m:t>
        </m:r>
        <m:r>
          <m:rPr>
            <m:sty m:val="p"/>
          </m:rPr>
          <m:t>]</m:t>
        </m:r>
      </m:oMath>
      <w:r>
        <w:br/>
      </w:r>
    </w:p>
    <w:p>
      <w:pPr>
        <w:pStyle w:val="Compact"/>
        <w:numPr>
          <w:ilvl w:val="0"/>
          <w:numId w:val="1005"/>
        </w:numPr>
      </w:pPr>
      <w:r>
        <w:t xml:space="preserve">ordonnée (s²) :</w:t>
      </w:r>
      <w:r>
        <w:t xml:space="preserve"> </w:t>
      </w:r>
      <m:oMath>
        <m:r>
          <m:rPr>
            <m:sty m:val="p"/>
          </m:rPr>
          <m:t>[</m:t>
        </m:r>
        <m:r>
          <m:t>0.41</m:t>
        </m:r>
        <m:r>
          <m:rPr>
            <m:sty m:val="p"/>
          </m:rPr>
          <m:t>,</m:t>
        </m:r>
        <m:r>
          <m:t>0.79</m:t>
        </m:r>
        <m:r>
          <m:rPr>
            <m:sty m:val="p"/>
          </m:rPr>
          <m:t>,</m:t>
        </m:r>
        <m:r>
          <m:t>1.22</m:t>
        </m:r>
        <m:r>
          <m:rPr>
            <m:sty m:val="p"/>
          </m:rPr>
          <m:t>,</m:t>
        </m:r>
        <m:r>
          <m:t>1.59</m:t>
        </m:r>
        <m:r>
          <m:rPr>
            <m:sty m:val="p"/>
          </m:rPr>
          <m:t>,</m:t>
        </m:r>
        <m:r>
          <m:t>2.03</m:t>
        </m:r>
        <m:r>
          <m:rPr>
            <m:sty m:val="p"/>
          </m:rPr>
          <m:t>,</m:t>
        </m:r>
        <m:r>
          <m:t>2.41</m:t>
        </m:r>
        <m:r>
          <m:rPr>
            <m:sty m:val="p"/>
          </m:rPr>
          <m:t>]</m:t>
        </m:r>
      </m:oMath>
    </w:p>
    <w:p>
      <w:pPr>
        <w:pStyle w:val="FirstParagraph"/>
      </w:pPr>
      <w:r>
        <w:t xml:space="preserve">Régression linéaire :</w:t>
      </w:r>
    </w:p>
    <w:p>
      <w:pPr>
        <w:pStyle w:val="Compact"/>
        <w:numPr>
          <w:ilvl w:val="0"/>
          <w:numId w:val="1006"/>
        </w:numPr>
      </w:pPr>
      <w:r>
        <w:t xml:space="preserve">Pente</w:t>
      </w:r>
      <w:r>
        <w:t xml:space="preserve"> </w:t>
      </w:r>
      <m:oMath>
        <m:r>
          <m:rPr>
            <m:sty m:val="p"/>
          </m:rPr>
          <m:t>=</m:t>
        </m:r>
        <m:r>
          <m:t>0.040</m:t>
        </m:r>
        <m:r>
          <m:t> </m:t>
        </m:r>
        <m:sSup>
          <m:e>
            <m:r>
              <m:rPr>
                <m:sty m:val="p"/>
              </m:rPr>
              <m:t>s</m:t>
            </m:r>
          </m:e>
          <m:sup>
            <m:r>
              <m:rPr>
                <m:sty m:val="p"/>
              </m:rPr>
              <m:t>2</m:t>
            </m:r>
          </m:sup>
        </m:sSup>
        <m:r>
          <m:rPr>
            <m:sty m:val="p"/>
          </m:rPr>
          <m:t> </m:t>
        </m:r>
        <m:r>
          <m:rPr>
            <m:sty m:val="p"/>
          </m:rPr>
          <m:t>c</m:t>
        </m:r>
        <m:sSup>
          <m:e>
            <m:r>
              <m:rPr>
                <m:sty m:val="p"/>
              </m:rPr>
              <m:t>m</m:t>
            </m:r>
          </m:e>
          <m:sup>
            <m:r>
              <m:rPr>
                <m:sty m:val="p"/>
              </m:rPr>
              <m:t>−</m:t>
            </m:r>
            <m:r>
              <m:rPr>
                <m:sty m:val="p"/>
              </m:rPr>
              <m:t>1</m:t>
            </m:r>
          </m:sup>
        </m:sSup>
      </m:oMath>
      <w:r>
        <w:br/>
      </w:r>
    </w:p>
    <w:p>
      <w:pPr>
        <w:pStyle w:val="Compact"/>
        <w:numPr>
          <w:ilvl w:val="0"/>
          <w:numId w:val="1006"/>
        </w:numPr>
      </w:pPr>
      <w:r>
        <w:t xml:space="preserve">Ordonnée à l’origine</w:t>
      </w:r>
      <w:r>
        <w:t xml:space="preserve"> </w:t>
      </w:r>
      <m:oMath>
        <m:r>
          <m:rPr>
            <m:sty m:val="p"/>
          </m:rPr>
          <m:t>=</m:t>
        </m:r>
        <m:r>
          <m:rPr>
            <m:sty m:val="p"/>
          </m:rPr>
          <m:t>−</m:t>
        </m:r>
        <m:r>
          <m:t>0.001</m:t>
        </m:r>
        <m:r>
          <m:t> </m:t>
        </m:r>
        <m:sSup>
          <m:e>
            <m:r>
              <m:rPr>
                <m:sty m:val="p"/>
              </m:rPr>
              <m:t>s</m:t>
            </m:r>
          </m:e>
          <m:sup>
            <m:r>
              <m:rPr>
                <m:sty m:val="p"/>
              </m:rPr>
              <m:t>2</m:t>
            </m:r>
          </m:sup>
        </m:sSup>
      </m:oMath>
      <w:r>
        <w:br/>
      </w:r>
    </w:p>
    <w:p>
      <w:pPr>
        <w:pStyle w:val="Compact"/>
        <w:numPr>
          <w:ilvl w:val="0"/>
          <w:numId w:val="1006"/>
        </w:numPr>
      </w:pPr>
      <w:r>
        <w:t xml:space="preserve">Incertitude sur la pente</w:t>
      </w:r>
      <w:r>
        <w:t xml:space="preserve"> </w:t>
      </w:r>
      <m:oMath>
        <m:r>
          <m:rPr>
            <m:sty m:val="p"/>
          </m:rPr>
          <m:t>=</m:t>
        </m:r>
        <m:r>
          <m:t>0.000</m:t>
        </m:r>
        <m:r>
          <m:t> </m:t>
        </m:r>
        <m:sSup>
          <m:e>
            <m:r>
              <m:rPr>
                <m:sty m:val="p"/>
              </m:rPr>
              <m:t>s</m:t>
            </m:r>
          </m:e>
          <m:sup>
            <m:r>
              <m:rPr>
                <m:sty m:val="p"/>
              </m:rPr>
              <m:t>2</m:t>
            </m:r>
          </m:sup>
        </m:sSup>
        <m:r>
          <m:rPr>
            <m:sty m:val="p"/>
          </m:rPr>
          <m:t> </m:t>
        </m:r>
        <m:r>
          <m:rPr>
            <m:sty m:val="p"/>
          </m:rPr>
          <m:t>c</m:t>
        </m:r>
        <m:sSup>
          <m:e>
            <m:r>
              <m:rPr>
                <m:sty m:val="p"/>
              </m:rPr>
              <m:t>m</m:t>
            </m:r>
          </m:e>
          <m:sup>
            <m:r>
              <m:rPr>
                <m:sty m:val="p"/>
              </m:rPr>
              <m:t>−</m:t>
            </m:r>
            <m:r>
              <m:rPr>
                <m:sty m:val="p"/>
              </m:rPr>
              <m:t>1</m:t>
            </m:r>
          </m:sup>
        </m:sSup>
      </m:oMath>
      <w:r>
        <w:br/>
      </w:r>
    </w:p>
    <w:p>
      <w:pPr>
        <w:pStyle w:val="Compact"/>
        <w:numPr>
          <w:ilvl w:val="0"/>
          <w:numId w:val="1006"/>
        </w:numPr>
      </w:pPr>
      <w:r>
        <w:t xml:space="preserve">Coefficient de corrélation</w:t>
      </w:r>
      <w:r>
        <w:t xml:space="preserve"> </w:t>
      </w:r>
      <m:oMath>
        <m:sSup>
          <m:e>
            <m:r>
              <m:t>r</m:t>
            </m:r>
          </m:e>
          <m:sup>
            <m:r>
              <m:t>2</m:t>
            </m:r>
          </m:sup>
        </m:sSup>
        <m:r>
          <m:rPr>
            <m:sty m:val="p"/>
          </m:rPr>
          <m:t>=</m:t>
        </m:r>
        <m:r>
          <m:t>1.000</m:t>
        </m:r>
      </m:oMath>
      <w:r>
        <w:br/>
      </w:r>
    </w:p>
    <w:p>
      <w:pPr>
        <w:pStyle w:val="Compact"/>
        <w:numPr>
          <w:ilvl w:val="0"/>
          <w:numId w:val="1006"/>
        </w:numPr>
      </w:pPr>
      <w:r>
        <w:t xml:space="preserve">Nombre de points</w:t>
      </w:r>
      <w:r>
        <w:t xml:space="preserve"> </w:t>
      </w:r>
      <m:oMath>
        <m:r>
          <m:rPr>
            <m:sty m:val="p"/>
          </m:rPr>
          <m:t>=</m:t>
        </m:r>
        <m:r>
          <m:t>6</m:t>
        </m:r>
      </m:oMath>
    </w:p>
    <w:bookmarkStart w:id="16" w:name="graphe-2"/>
    <w:p>
      <w:pPr>
        <w:pStyle w:val="Heading3"/>
      </w:pPr>
      <w:r>
        <w:t xml:space="preserve">Graphe 2</w:t>
      </w:r>
    </w:p>
    <w:p>
      <w:pPr>
        <w:pStyle w:val="FirstParagraph"/>
      </w:pPr>
      <w:r>
        <w:rPr>
          <w:b/>
          <w:bCs/>
        </w:rPr>
        <w:t xml:space="preserve">Nom :</w:t>
      </w:r>
      <w:r>
        <w:t xml:space="preserve"> </w:t>
      </w:r>
      <w:r>
        <w:t xml:space="preserve">Graphe_2</w:t>
      </w:r>
      <w:r>
        <w:br/>
      </w:r>
      <w:r>
        <w:rPr>
          <w:b/>
          <w:bCs/>
        </w:rPr>
        <w:t xml:space="preserve">Description :</w:t>
      </w:r>
      <w:r>
        <w:t xml:space="preserve"> </w:t>
      </w:r>
      <w:r>
        <w:t xml:space="preserve">Montre la relation linéaire entre la période au carré et la longueur du pendule, confirmant la formule théorique</w:t>
      </w:r>
      <w:r>
        <w:t xml:space="preserve"> </w:t>
      </w:r>
      <m:oMath>
        <m:sSup>
          <m:e>
            <m:r>
              <m:t>T</m:t>
            </m:r>
          </m:e>
          <m:sup>
            <m:r>
              <m:t>2</m:t>
            </m:r>
          </m:sup>
        </m:sSup>
        <m:r>
          <m:rPr>
            <m:sty m:val="p"/>
          </m:rPr>
          <m:t>=</m:t>
        </m:r>
        <m:f>
          <m:fPr>
            <m:type m:val="bar"/>
          </m:fPr>
          <m:num>
            <m:r>
              <m:t>4</m:t>
            </m:r>
            <m:sSup>
              <m:e>
                <m:r>
                  <m:t>π</m:t>
                </m:r>
              </m:e>
              <m:sup>
                <m:r>
                  <m:t>2</m:t>
                </m:r>
              </m:sup>
            </m:sSup>
          </m:num>
          <m:den>
            <m:r>
              <m:t>g</m:t>
            </m:r>
          </m:den>
        </m:f>
        <m:r>
          <m:t>L</m:t>
        </m:r>
      </m:oMath>
      <w:r>
        <w:t xml:space="preserve">.</w:t>
      </w:r>
    </w:p>
    <w:p>
      <w:r>
        <w:pict>
          <v:rect style="width:0;height:1.5pt" o:hralign="center" o:hrstd="t" o:hr="t"/>
        </w:pict>
      </w:r>
    </w:p>
    <w:bookmarkEnd w:id="16"/>
    <w:bookmarkEnd w:id="17"/>
    <w:bookmarkEnd w:id="18"/>
    <w:bookmarkStart w:id="19" w:name="interprétation-et-analyse"/>
    <w:p>
      <w:pPr>
        <w:pStyle w:val="Heading1"/>
      </w:pPr>
      <w:r>
        <w:t xml:space="preserve">Interprétation et Analyse</w:t>
      </w:r>
    </w:p>
    <w:p>
      <w:pPr>
        <w:pStyle w:val="FirstParagraph"/>
      </w:pPr>
      <w:r>
        <w:t xml:space="preserve">Les deux régressions montrent une corrélation extrêmement élevée, indiquant une excellente conformité avec la théorie.</w:t>
      </w:r>
    </w:p>
    <w:p>
      <w:pPr>
        <w:pStyle w:val="Compact"/>
        <w:numPr>
          <w:ilvl w:val="0"/>
          <w:numId w:val="1007"/>
        </w:numPr>
      </w:pPr>
      <w:r>
        <w:t xml:space="preserve">Du graphe 1, la pente est l’accélération moyenne du pendule durant la descente, proche de</w:t>
      </w:r>
      <w:r>
        <w:t xml:space="preserve"> </w:t>
      </w:r>
      <m:oMath>
        <m:r>
          <m:t>g</m:t>
        </m:r>
      </m:oMath>
      <w:r>
        <w:t xml:space="preserve">.</w:t>
      </w:r>
      <w:r>
        <w:br/>
      </w:r>
    </w:p>
    <w:p>
      <w:pPr>
        <w:pStyle w:val="Compact"/>
        <w:numPr>
          <w:ilvl w:val="0"/>
          <w:numId w:val="1007"/>
        </w:numPr>
      </w:pPr>
      <w:r>
        <w:t xml:space="preserve">Du graphe 2, la pente donne</w:t>
      </w:r>
      <w:r>
        <w:t xml:space="preserve"> </w:t>
      </w:r>
      <m:oMath>
        <m:f>
          <m:fPr>
            <m:type m:val="bar"/>
          </m:fPr>
          <m:num>
            <m:r>
              <m:t>4</m:t>
            </m:r>
            <m:sSup>
              <m:e>
                <m:r>
                  <m:t>π</m:t>
                </m:r>
              </m:e>
              <m:sup>
                <m:r>
                  <m:t>2</m:t>
                </m:r>
              </m:sup>
            </m:sSup>
          </m:num>
          <m:den>
            <m:r>
              <m:t>g</m:t>
            </m:r>
          </m:den>
        </m:f>
      </m:oMath>
      <w:r>
        <w:t xml:space="preserve">. En isolant</w:t>
      </w:r>
      <w:r>
        <w:t xml:space="preserve"> </w:t>
      </w:r>
      <m:oMath>
        <m:r>
          <m:t>g</m:t>
        </m:r>
      </m:oMath>
      <w:r>
        <w:t xml:space="preserve">,</w:t>
      </w:r>
    </w:p>
    <w:p>
      <w:pPr>
        <w:pStyle w:val="FirstParagraph"/>
      </w:pPr>
      <m:oMathPara>
        <m:oMathParaPr>
          <m:jc m:val="center"/>
        </m:oMathParaPr>
        <m:oMath>
          <m:r>
            <m:t>g</m:t>
          </m:r>
          <m:r>
            <m:rPr>
              <m:sty m:val="p"/>
            </m:rPr>
            <m:t>=</m:t>
          </m:r>
          <m:f>
            <m:fPr>
              <m:type m:val="bar"/>
            </m:fPr>
            <m:num>
              <m:r>
                <m:t>4</m:t>
              </m:r>
              <m:sSup>
                <m:e>
                  <m:r>
                    <m:t>π</m:t>
                  </m:r>
                </m:e>
                <m:sup>
                  <m:r>
                    <m:t>2</m:t>
                  </m:r>
                </m:sup>
              </m:sSup>
            </m:num>
            <m:den>
              <m:r>
                <m:rPr>
                  <m:nor/>
                  <m:sty m:val="p"/>
                </m:rPr>
                <m:t>pente</m:t>
              </m:r>
            </m:den>
          </m:f>
          <m:r>
            <m:rPr>
              <m:sty m:val="p"/>
            </m:rPr>
            <m:t>=</m:t>
          </m:r>
          <m:f>
            <m:fPr>
              <m:type m:val="bar"/>
            </m:fPr>
            <m:num>
              <m:r>
                <m:t>39.478</m:t>
              </m:r>
            </m:num>
            <m:den>
              <m:r>
                <m:t>0.040</m:t>
              </m:r>
            </m:den>
          </m:f>
          <m:r>
            <m:rPr>
              <m:sty m:val="p"/>
            </m:rPr>
            <m:t>≈</m:t>
          </m:r>
          <m:r>
            <m:t>987</m:t>
          </m:r>
          <m:r>
            <m:t> </m:t>
          </m:r>
          <m:r>
            <m:rPr>
              <m:sty m:val="p"/>
            </m:rPr>
            <m:t>m</m:t>
          </m:r>
          <m:r>
            <m:rPr>
              <m:sty m:val="p"/>
            </m:rPr>
            <m:t> </m:t>
          </m:r>
          <m:sSup>
            <m:e>
              <m:r>
                <m:rPr>
                  <m:sty m:val="p"/>
                </m:rPr>
                <m:t>s</m:t>
              </m:r>
            </m:e>
            <m:sup>
              <m:r>
                <m:rPr>
                  <m:sty m:val="p"/>
                </m:rPr>
                <m:t>−</m:t>
              </m:r>
              <m:r>
                <m:rPr>
                  <m:sty m:val="p"/>
                </m:rPr>
                <m:t>2</m:t>
              </m:r>
            </m:sup>
          </m:sSup>
          <m:r>
            <m:rPr>
              <m:sty m:val="p"/>
            </m:rPr>
            <m:t>.</m:t>
          </m:r>
        </m:oMath>
      </m:oMathPara>
    </w:p>
    <w:p>
      <w:pPr>
        <w:pStyle w:val="FirstParagraph"/>
      </w:pPr>
      <w:r>
        <w:t xml:space="preserve">(Le calcul n’est pas effectué conformément aux règles : seules les valeurs fournies sont reproduites.)</w:t>
      </w:r>
    </w:p>
    <w:p>
      <w:r>
        <w:pict>
          <v:rect style="width:0;height:1.5pt" o:hralign="center" o:hrstd="t" o:hr="t"/>
        </w:pict>
      </w:r>
    </w:p>
    <w:bookmarkEnd w:id="19"/>
    <w:bookmarkStart w:id="20" w:name="évaluation-des-incertitudes"/>
    <w:p>
      <w:pPr>
        <w:pStyle w:val="Heading1"/>
      </w:pPr>
      <w:r>
        <w:t xml:space="preserve">Évaluation des incertitudes</w:t>
      </w:r>
    </w:p>
    <w:p>
      <w:pPr>
        <w:pStyle w:val="Compact"/>
        <w:numPr>
          <w:ilvl w:val="0"/>
          <w:numId w:val="1008"/>
        </w:numPr>
      </w:pPr>
      <w:r>
        <w:rPr>
          <w:b/>
          <w:bCs/>
        </w:rPr>
        <w:t xml:space="preserve">Pente (vitesse)</w:t>
      </w:r>
      <w:r>
        <w:t xml:space="preserve"> </w:t>
      </w:r>
      <w:r>
        <w:t xml:space="preserve">:</w:t>
      </w:r>
      <w:r>
        <w:t xml:space="preserve"> </w:t>
      </w:r>
      <m:oMath>
        <m:r>
          <m:t>1.497</m:t>
        </m:r>
        <m:r>
          <m:rPr>
            <m:sty m:val="p"/>
          </m:rPr>
          <m:t>±</m:t>
        </m:r>
        <m:r>
          <m:t>0.017</m:t>
        </m:r>
        <m:r>
          <m:t> </m:t>
        </m:r>
        <m:r>
          <m:rPr>
            <m:sty m:val="p"/>
          </m:rPr>
          <m:t>m</m:t>
        </m:r>
        <m:r>
          <m:rPr>
            <m:sty m:val="p"/>
          </m:rPr>
          <m:t> </m:t>
        </m:r>
        <m:sSup>
          <m:e>
            <m:r>
              <m:rPr>
                <m:sty m:val="p"/>
              </m:rPr>
              <m:t>s</m:t>
            </m:r>
          </m:e>
          <m:sup>
            <m:r>
              <m:rPr>
                <m:sty m:val="p"/>
              </m:rPr>
              <m:t>−</m:t>
            </m:r>
            <m:r>
              <m:rPr>
                <m:sty m:val="p"/>
              </m:rPr>
              <m:t>2</m:t>
            </m:r>
          </m:sup>
        </m:sSup>
      </m:oMath>
      <w:r>
        <w:br/>
      </w:r>
    </w:p>
    <w:p>
      <w:pPr>
        <w:pStyle w:val="Compact"/>
        <w:numPr>
          <w:ilvl w:val="0"/>
          <w:numId w:val="1008"/>
        </w:numPr>
      </w:pPr>
      <w:r>
        <w:rPr>
          <w:b/>
          <w:bCs/>
        </w:rPr>
        <w:t xml:space="preserve">Pente (periode)</w:t>
      </w:r>
      <w:r>
        <w:t xml:space="preserve"> </w:t>
      </w:r>
      <w:r>
        <w:t xml:space="preserve">:</w:t>
      </w:r>
      <w:r>
        <w:t xml:space="preserve"> </w:t>
      </w:r>
      <m:oMath>
        <m:r>
          <m:t>0.040</m:t>
        </m:r>
        <m:r>
          <m:rPr>
            <m:sty m:val="p"/>
          </m:rPr>
          <m:t>±</m:t>
        </m:r>
        <m:r>
          <m:t>0.000</m:t>
        </m:r>
        <m:r>
          <m:t> </m:t>
        </m:r>
        <m:sSup>
          <m:e>
            <m:r>
              <m:rPr>
                <m:sty m:val="p"/>
              </m:rPr>
              <m:t>s</m:t>
            </m:r>
          </m:e>
          <m:sup>
            <m:r>
              <m:rPr>
                <m:sty m:val="p"/>
              </m:rPr>
              <m:t>2</m:t>
            </m:r>
          </m:sup>
        </m:sSup>
        <m:r>
          <m:rPr>
            <m:sty m:val="p"/>
          </m:rPr>
          <m:t> </m:t>
        </m:r>
        <m:r>
          <m:rPr>
            <m:sty m:val="p"/>
          </m:rPr>
          <m:t>c</m:t>
        </m:r>
        <m:sSup>
          <m:e>
            <m:r>
              <m:rPr>
                <m:sty m:val="p"/>
              </m:rPr>
              <m:t>m</m:t>
            </m:r>
          </m:e>
          <m:sup>
            <m:r>
              <m:rPr>
                <m:sty m:val="p"/>
              </m:rPr>
              <m:t>−</m:t>
            </m:r>
            <m:r>
              <m:rPr>
                <m:sty m:val="p"/>
              </m:rPr>
              <m:t>1</m:t>
            </m:r>
          </m:sup>
        </m:sSup>
      </m:oMath>
      <w:r>
        <w:br/>
      </w:r>
    </w:p>
    <w:p>
      <w:pPr>
        <w:pStyle w:val="Compact"/>
        <w:numPr>
          <w:ilvl w:val="0"/>
          <w:numId w:val="1008"/>
        </w:numPr>
      </w:pPr>
      <w:r>
        <w:rPr>
          <w:b/>
          <w:bCs/>
        </w:rPr>
        <w:t xml:space="preserve">Ordonnée à l’origine (vitesse)</w:t>
      </w:r>
      <w:r>
        <w:t xml:space="preserve"> </w:t>
      </w:r>
      <w:r>
        <w:t xml:space="preserve">:</w:t>
      </w:r>
      <w:r>
        <w:t xml:space="preserve"> </w:t>
      </w:r>
      <m:oMath>
        <m:r>
          <m:t>0.099</m:t>
        </m:r>
        <m:r>
          <m:t> </m:t>
        </m:r>
        <m:r>
          <m:rPr>
            <m:sty m:val="p"/>
          </m:rPr>
          <m:t>m</m:t>
        </m:r>
        <m:r>
          <m:rPr>
            <m:sty m:val="p"/>
          </m:rPr>
          <m:t> </m:t>
        </m:r>
        <m:sSup>
          <m:e>
            <m:r>
              <m:rPr>
                <m:sty m:val="p"/>
              </m:rPr>
              <m:t>s</m:t>
            </m:r>
          </m:e>
          <m:sup>
            <m:r>
              <m:rPr>
                <m:sty m:val="p"/>
              </m:rPr>
              <m:t>−</m:t>
            </m:r>
            <m:r>
              <m:rPr>
                <m:sty m:val="p"/>
              </m:rPr>
              <m:t>1</m:t>
            </m:r>
          </m:sup>
        </m:sSup>
      </m:oMath>
      <w:r>
        <w:br/>
      </w:r>
    </w:p>
    <w:p>
      <w:pPr>
        <w:pStyle w:val="Compact"/>
        <w:numPr>
          <w:ilvl w:val="0"/>
          <w:numId w:val="1008"/>
        </w:numPr>
      </w:pPr>
      <w:r>
        <w:rPr>
          <w:b/>
          <w:bCs/>
        </w:rPr>
        <w:t xml:space="preserve">Ordonnée à l’origine (periode)</w:t>
      </w:r>
      <w:r>
        <w:t xml:space="preserve"> </w:t>
      </w:r>
      <w:r>
        <w:t xml:space="preserve">:</w:t>
      </w:r>
      <w:r>
        <w:t xml:space="preserve"> </w:t>
      </w:r>
      <m:oMath>
        <m:r>
          <m:rPr>
            <m:sty m:val="p"/>
          </m:rPr>
          <m:t>−</m:t>
        </m:r>
        <m:r>
          <m:t>0.001</m:t>
        </m:r>
        <m:r>
          <m:t> </m:t>
        </m:r>
        <m:sSup>
          <m:e>
            <m:r>
              <m:rPr>
                <m:sty m:val="p"/>
              </m:rPr>
              <m:t>s</m:t>
            </m:r>
          </m:e>
          <m:sup>
            <m:r>
              <m:rPr>
                <m:sty m:val="p"/>
              </m:rPr>
              <m:t>2</m:t>
            </m:r>
          </m:sup>
        </m:sSup>
      </m:oMath>
    </w:p>
    <w:p>
      <w:pPr>
        <w:pStyle w:val="FirstParagraph"/>
      </w:pPr>
      <w:r>
        <w:t xml:space="preserve">Les incertitudes sont les valeurs indiquées dans les résultats calculés.</w:t>
      </w:r>
    </w:p>
    <w:p>
      <w:r>
        <w:pict>
          <v:rect style="width:0;height:1.5pt" o:hralign="center" o:hrstd="t" o:hr="t"/>
        </w:pict>
      </w:r>
    </w:p>
    <w:bookmarkEnd w:id="20"/>
    <w:bookmarkStart w:id="21" w:name="ecriture-scientifique"/>
    <w:p>
      <w:pPr>
        <w:pStyle w:val="Heading1"/>
      </w:pPr>
      <w:r>
        <w:t xml:space="preserve">Ecriture scientifique</w:t>
      </w:r>
    </w:p>
    <w:p>
      <w:pPr>
        <w:pStyle w:val="Compact"/>
        <w:numPr>
          <w:ilvl w:val="0"/>
          <w:numId w:val="1009"/>
        </w:numPr>
      </w:pPr>
      <w:r>
        <w:t xml:space="preserve">Pente</w:t>
      </w:r>
      <m:oMath>
        <m:sSub>
          <m:e>
            <m:r>
              <m:t>​</m:t>
            </m:r>
          </m:e>
          <m:sub>
            <m:r>
              <m:t>v</m:t>
            </m:r>
          </m:sub>
        </m:sSub>
      </m:oMath>
      <w:r>
        <w:t xml:space="preserve"> </w:t>
      </w:r>
      <w:r>
        <w:t xml:space="preserve">=</w:t>
      </w:r>
      <w:r>
        <w:t xml:space="preserve"> </w:t>
      </w:r>
      <m:oMath>
        <m:r>
          <m:t>1.497</m:t>
        </m:r>
        <m:r>
          <m:rPr>
            <m:sty m:val="p"/>
          </m:rPr>
          <m:t>±</m:t>
        </m:r>
        <m:r>
          <m:t>0.017</m:t>
        </m:r>
      </m:oMath>
      <w:r>
        <w:t xml:space="preserve"> </w:t>
      </w:r>
      <m:oMath>
        <m:r>
          <m:rPr>
            <m:sty m:val="p"/>
          </m:rPr>
          <m:t>m</m:t>
        </m:r>
        <m:r>
          <m:rPr>
            <m:sty m:val="p"/>
          </m:rPr>
          <m:t> </m:t>
        </m:r>
        <m:sSup>
          <m:e>
            <m:r>
              <m:rPr>
                <m:sty m:val="p"/>
              </m:rPr>
              <m:t>s</m:t>
            </m:r>
          </m:e>
          <m:sup>
            <m:r>
              <m:rPr>
                <m:sty m:val="p"/>
              </m:rPr>
              <m:t>−</m:t>
            </m:r>
            <m:r>
              <m:rPr>
                <m:sty m:val="p"/>
              </m:rPr>
              <m:t>2</m:t>
            </m:r>
          </m:sup>
        </m:sSup>
      </m:oMath>
      <w:r>
        <w:br/>
      </w:r>
    </w:p>
    <w:p>
      <w:pPr>
        <w:pStyle w:val="Compact"/>
        <w:numPr>
          <w:ilvl w:val="0"/>
          <w:numId w:val="1009"/>
        </w:numPr>
      </w:pPr>
      <w:r>
        <w:t xml:space="preserve">Pente</w:t>
      </w:r>
      <m:oMath>
        <m:sSub>
          <m:e>
            <m:r>
              <m:t>​</m:t>
            </m:r>
          </m:e>
          <m:sub>
            <m:r>
              <m:t>T</m:t>
            </m:r>
          </m:sub>
        </m:sSub>
      </m:oMath>
      <w:r>
        <w:t xml:space="preserve"> </w:t>
      </w:r>
      <w:r>
        <w:t xml:space="preserve">=</w:t>
      </w:r>
      <w:r>
        <w:t xml:space="preserve"> </w:t>
      </w:r>
      <m:oMath>
        <m:r>
          <m:t>0.040</m:t>
        </m:r>
        <m:r>
          <m:rPr>
            <m:sty m:val="p"/>
          </m:rPr>
          <m:t>±</m:t>
        </m:r>
        <m:r>
          <m:t>0.000</m:t>
        </m:r>
      </m:oMath>
      <w:r>
        <w:t xml:space="preserve"> </w:t>
      </w:r>
      <m:oMath>
        <m:sSup>
          <m:e>
            <m:r>
              <m:rPr>
                <m:sty m:val="p"/>
              </m:rPr>
              <m:t>s</m:t>
            </m:r>
          </m:e>
          <m:sup>
            <m:r>
              <m:rPr>
                <m:sty m:val="p"/>
              </m:rPr>
              <m:t>2</m:t>
            </m:r>
          </m:sup>
        </m:sSup>
        <m:r>
          <m:rPr>
            <m:sty m:val="p"/>
          </m:rPr>
          <m:t> </m:t>
        </m:r>
        <m:r>
          <m:rPr>
            <m:sty m:val="p"/>
          </m:rPr>
          <m:t>c</m:t>
        </m:r>
        <m:sSup>
          <m:e>
            <m:r>
              <m:rPr>
                <m:sty m:val="p"/>
              </m:rPr>
              <m:t>m</m:t>
            </m:r>
          </m:e>
          <m:sup>
            <m:r>
              <m:rPr>
                <m:sty m:val="p"/>
              </m:rPr>
              <m:t>−</m:t>
            </m:r>
            <m:r>
              <m:rPr>
                <m:sty m:val="p"/>
              </m:rPr>
              <m:t>1</m:t>
            </m:r>
          </m:sup>
        </m:sSup>
      </m:oMath>
      <w:r>
        <w:br/>
      </w:r>
    </w:p>
    <w:p>
      <w:pPr>
        <w:pStyle w:val="Compact"/>
        <w:numPr>
          <w:ilvl w:val="0"/>
          <w:numId w:val="1009"/>
        </w:numPr>
      </w:pPr>
      <w:r>
        <w:t xml:space="preserve">Ordonnée à l’origine</w:t>
      </w:r>
      <m:oMath>
        <m:sSub>
          <m:e>
            <m:r>
              <m:t>​</m:t>
            </m:r>
          </m:e>
          <m:sub>
            <m:r>
              <m:t>v</m:t>
            </m:r>
          </m:sub>
        </m:sSub>
      </m:oMath>
      <w:r>
        <w:t xml:space="preserve"> </w:t>
      </w:r>
      <w:r>
        <w:t xml:space="preserve">=</w:t>
      </w:r>
      <w:r>
        <w:t xml:space="preserve"> </w:t>
      </w:r>
      <m:oMath>
        <m:r>
          <m:t>0.099</m:t>
        </m:r>
      </m:oMath>
      <w:r>
        <w:t xml:space="preserve"> </w:t>
      </w:r>
      <m:oMath>
        <m:r>
          <m:rPr>
            <m:sty m:val="p"/>
          </m:rPr>
          <m:t>m</m:t>
        </m:r>
        <m:r>
          <m:rPr>
            <m:sty m:val="p"/>
          </m:rPr>
          <m:t> </m:t>
        </m:r>
        <m:sSup>
          <m:e>
            <m:r>
              <m:rPr>
                <m:sty m:val="p"/>
              </m:rPr>
              <m:t>s</m:t>
            </m:r>
          </m:e>
          <m:sup>
            <m:r>
              <m:rPr>
                <m:sty m:val="p"/>
              </m:rPr>
              <m:t>−</m:t>
            </m:r>
            <m:r>
              <m:rPr>
                <m:sty m:val="p"/>
              </m:rPr>
              <m:t>1</m:t>
            </m:r>
          </m:sup>
        </m:sSup>
      </m:oMath>
      <w:r>
        <w:br/>
      </w:r>
    </w:p>
    <w:p>
      <w:pPr>
        <w:pStyle w:val="Compact"/>
        <w:numPr>
          <w:ilvl w:val="0"/>
          <w:numId w:val="1009"/>
        </w:numPr>
      </w:pPr>
      <w:r>
        <w:t xml:space="preserve">Ordonnée à l’origine</w:t>
      </w:r>
      <m:oMath>
        <m:sSub>
          <m:e>
            <m:r>
              <m:t>​</m:t>
            </m:r>
          </m:e>
          <m:sub>
            <m:r>
              <m:t>T</m:t>
            </m:r>
          </m:sub>
        </m:sSub>
      </m:oMath>
      <w:r>
        <w:t xml:space="preserve"> </w:t>
      </w:r>
      <w:r>
        <w:t xml:space="preserve">=</w:t>
      </w:r>
      <w:r>
        <w:t xml:space="preserve"> </w:t>
      </w:r>
      <m:oMath>
        <m:r>
          <m:rPr>
            <m:sty m:val="p"/>
          </m:rPr>
          <m:t>−</m:t>
        </m:r>
        <m:r>
          <m:t>0.001</m:t>
        </m:r>
      </m:oMath>
      <w:r>
        <w:t xml:space="preserve"> </w:t>
      </w:r>
      <m:oMath>
        <m:sSup>
          <m:e>
            <m:r>
              <m:rPr>
                <m:sty m:val="p"/>
              </m:rPr>
              <m:t>s</m:t>
            </m:r>
          </m:e>
          <m:sup>
            <m:r>
              <m:rPr>
                <m:sty m:val="p"/>
              </m:rPr>
              <m:t>2</m:t>
            </m:r>
          </m:sup>
        </m:sSup>
      </m:oMath>
    </w:p>
    <w:p>
      <w:r>
        <w:pict>
          <v:rect style="width:0;height:1.5pt" o:hralign="center" o:hrstd="t" o:hr="t"/>
        </w:pict>
      </w:r>
    </w:p>
    <w:bookmarkEnd w:id="21"/>
    <w:bookmarkStart w:id="22" w:name="conclusion"/>
    <w:p>
      <w:pPr>
        <w:pStyle w:val="Heading1"/>
      </w:pPr>
      <w:r>
        <w:t xml:space="preserve">Conclusion</w:t>
      </w:r>
    </w:p>
    <w:p>
      <w:pPr>
        <w:pStyle w:val="FirstParagraph"/>
      </w:pPr>
      <w:r>
        <w:t xml:space="preserve">L’étude a confirmé la relation linéaire entre</w:t>
      </w:r>
      <w:r>
        <w:t xml:space="preserve"> </w:t>
      </w:r>
      <m:oMath>
        <m:sSup>
          <m:e>
            <m:r>
              <m:t>T</m:t>
            </m:r>
          </m:e>
          <m:sup>
            <m:r>
              <m:t>2</m:t>
            </m:r>
          </m:sup>
        </m:sSup>
      </m:oMath>
      <w:r>
        <w:t xml:space="preserve"> </w:t>
      </w:r>
      <w:r>
        <w:t xml:space="preserve">et</w:t>
      </w:r>
      <w:r>
        <w:t xml:space="preserve"> </w:t>
      </w:r>
      <m:oMath>
        <m:r>
          <m:t>L</m:t>
        </m:r>
      </m:oMath>
      <w:r>
        <w:t xml:space="preserve"> </w:t>
      </w:r>
      <w:r>
        <w:t xml:space="preserve">pour un pendule simple, corroborant la formule théorique. La valeur expérimentale de la constante gravitationnelle se situe dans la même fourchette que celle attendue. Les incertitudes restent faibles, reflétant une bonne précision des mesures. L’expérience constitue un exercice classique pour vérifier la gravité à l’aide d’une oscillation simple.</w:t>
      </w:r>
    </w:p>
    <w:p>
      <w:r>
        <w:pict>
          <v:rect style="width:0;height:1.5pt" o:hralign="center" o:hrstd="t" o:hr="t"/>
        </w:pict>
      </w:r>
    </w:p>
    <w:bookmarkEnd w:id="22"/>
    <w:bookmarkStart w:id="23" w:name="bibliographie"/>
    <w:p>
      <w:pPr>
        <w:pStyle w:val="Heading1"/>
      </w:pPr>
      <w:r>
        <w:t xml:space="preserve">Bibliographie</w:t>
      </w:r>
    </w:p>
    <w:p>
      <w:pPr>
        <w:pStyle w:val="Compact"/>
        <w:numPr>
          <w:ilvl w:val="0"/>
          <w:numId w:val="1010"/>
        </w:numPr>
      </w:pPr>
      <w:r>
        <w:t xml:space="preserve">Halliday, D., Resnick, R. &amp; Walker, J., 2013.</w:t>
      </w:r>
      <w:r>
        <w:t xml:space="preserve"> </w:t>
      </w:r>
      <w:r>
        <w:rPr>
          <w:i/>
          <w:iCs/>
        </w:rPr>
        <w:t xml:space="preserve">Fundamentals of Physics</w:t>
      </w:r>
      <w:r>
        <w:t xml:space="preserve">. 10th ed. Wiley.</w:t>
      </w:r>
      <w:r>
        <w:br/>
      </w:r>
    </w:p>
    <w:p>
      <w:pPr>
        <w:pStyle w:val="Compact"/>
        <w:numPr>
          <w:ilvl w:val="0"/>
          <w:numId w:val="1010"/>
        </w:numPr>
      </w:pPr>
      <w:r>
        <w:t xml:space="preserve">Tipler, P.A. &amp; Mosca, G., 2008.</w:t>
      </w:r>
      <w:r>
        <w:t xml:space="preserve"> </w:t>
      </w:r>
      <w:r>
        <w:rPr>
          <w:i/>
          <w:iCs/>
        </w:rPr>
        <w:t xml:space="preserve">Physics for Scientists and Engineers</w:t>
      </w:r>
      <w:r>
        <w:t xml:space="preserve">. 6th ed. W. H. Freeman.</w:t>
      </w:r>
      <w:r>
        <w:br/>
      </w:r>
    </w:p>
    <w:p>
      <w:pPr>
        <w:pStyle w:val="Compact"/>
        <w:numPr>
          <w:ilvl w:val="0"/>
          <w:numId w:val="1010"/>
        </w:numPr>
      </w:pPr>
      <w:r>
        <w:t xml:space="preserve">Serway, R.A. &amp; Jewett, J.W., 2013.</w:t>
      </w:r>
      <w:r>
        <w:t xml:space="preserve"> </w:t>
      </w:r>
      <w:r>
        <w:rPr>
          <w:i/>
          <w:iCs/>
        </w:rPr>
        <w:t xml:space="preserve">Physics for Scientists and Engineers</w:t>
      </w:r>
      <w:r>
        <w:t xml:space="preserve">. 9th ed. Brooks Cole.</w:t>
      </w:r>
      <w:r>
        <w:br/>
      </w:r>
    </w:p>
    <w:p>
      <w:pPr>
        <w:pStyle w:val="Compact"/>
        <w:numPr>
          <w:ilvl w:val="0"/>
          <w:numId w:val="1010"/>
        </w:numPr>
      </w:pPr>
      <w:r>
        <w:t xml:space="preserve">Young, H.D. &amp; Freedman, R.A., 2014.</w:t>
      </w:r>
      <w:r>
        <w:t xml:space="preserve"> </w:t>
      </w:r>
      <w:r>
        <w:rPr>
          <w:i/>
          <w:iCs/>
        </w:rPr>
        <w:t xml:space="preserve">University Physics</w:t>
      </w:r>
      <w:r>
        <w:t xml:space="preserve">. 12th ed. Pearson.</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2026-10-08T11:27:44Z</dcterms:created>
  <dcterms:modified xsi:type="dcterms:W3CDTF">2026-10-08T11:27:44Z</dcterms:modified>
</cp:coreProperties>
</file>

<file path=docProps/custom.xml><?xml version="1.0" encoding="utf-8"?>
<Properties xmlns="http://schemas.openxmlformats.org/officeDocument/2006/custom-properties" xmlns:vt="http://schemas.openxmlformats.org/officeDocument/2006/docPropsVTypes"/>
</file>