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Agenda/Outline for DEI Meeting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Working with students, faculty, and postdocs in DEES and at Lamont, we have compiled a list of demands to address diversity, equity, and inclusion on our campus. 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Briefly summarize past/ongoing DEI actions/initiatives at LDEO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Outline immediate, short, and long term goals for DEI action at Lamont and DEES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Offer a broad outline/direction for the DEI Task Force, GSC, and other groups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Discuss timelines and budgets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Determine where the DEI goals of DEES and LDEO intersect and how to support both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How do you feel about all of the points above and are there any other DEI goals that have not been addressed?</w:t>
      </w:r>
    </w:p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Below are immediate, short term, and long term recommendations to address these concerns: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0.0" w:type="dxa"/>
        <w:jc w:val="left"/>
        <w:tblInd w:w="-370.0" w:type="dxa"/>
        <w:tblLayout w:type="fixed"/>
        <w:tblLook w:val="0400"/>
      </w:tblPr>
      <w:tblGrid>
        <w:gridCol w:w="1879"/>
        <w:gridCol w:w="1056"/>
        <w:gridCol w:w="1435"/>
        <w:gridCol w:w="1390"/>
        <w:gridCol w:w="1558"/>
        <w:gridCol w:w="2392"/>
        <w:tblGridChange w:id="0">
          <w:tblGrid>
            <w:gridCol w:w="1879"/>
            <w:gridCol w:w="1056"/>
            <w:gridCol w:w="1435"/>
            <w:gridCol w:w="1390"/>
            <w:gridCol w:w="1558"/>
            <w:gridCol w:w="2392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Program or Initiative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 and/or DEES?)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 place now?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When to implement?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Personnel to move item forward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Next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Creating an Inclusive Culture at Lamont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Immediately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$50 - 1,000 /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GSC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(Social, Professional Development, and Diversity Chairs) &amp; Kuheli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Create fund(s) for workshops, coffee hours, DEI events,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DEI Compensation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(LDEO/DEES)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Short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(weeks - month)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$18,000 </w:t>
              <w:br w:type="textWrapping"/>
              <w:t xml:space="preserve">(three $6,000/yr Fellows)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Task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Create fellowship program; Hourly pay for leading DEI volunteers; Actively incentivize LRP faculty via promotion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$20/hr for volunteers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Expanding DEI capacity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Long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Full-time or part-time salary for someone to work with Kuheli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Kuheli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Determine budget for a future hire when hiring freeze is 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Reporting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(LDEO/DEES)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Long term (months)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If need to hire EOAA/Title IX advisor to craft the reporting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Kuheli, GSC, Task Force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rtl w:val="0"/>
                </w:rPr>
                <w:t xml:space="preserve">Restart discussion between GSC and Directorate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Advertisement, Active Recruitment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(LDEO/DEES)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Long term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$15,000/yr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Task Force, HR, Kuheli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Give actionable list to HR &amp; Kuheli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DEES Program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(DEES)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Short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(weeks - month)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If external seminar instructors must be hired through 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Task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Remove GRE and GSAS application fee; Creation of new race/environmental justice seminar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Mandatory Trainings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Immediately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Only if need to hire an external training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Task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Talking to University Life about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currently available trainings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and customizing to Lamont community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Lamont Hiring Committee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LDEO)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Long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Task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Create an LRP Hiring Committee focused on URM candidates and inclusion; Include student on committee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Seminar Diversity Initiative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Long 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(months)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$10,000/yr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Kailani, Task Force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Remove non-budgetary speaker justification requirement;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Get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seminar diversity website 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hosted under LDEO, broader impacts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Website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(LDEO)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This might fall under (expanding DEI funds of a new position)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Directorate, Kuheli, Task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Finalize public anti-racism statement; Talk to IT about creating separate page for Task Force; indigenous land statement - increase accessibility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ilaniacosta.wixsite.com/ldeoseminar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2-hhLgtpw2JMCH2crePpO0pQxg5v1CS/view" TargetMode="External"/><Relationship Id="rId7" Type="http://schemas.openxmlformats.org/officeDocument/2006/relationships/hyperlink" Target="https://docs.google.com/spreadsheets/d/1AOUvcrltJMBtqOxntkudhV1XBLZ31lwIrHMdwSF-NPo/edit?usp=sharing" TargetMode="External"/><Relationship Id="rId8" Type="http://schemas.openxmlformats.org/officeDocument/2006/relationships/hyperlink" Target="https://www.cc-seas.columbia.edu/OMA/diversityed/s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