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Arial" w:cs="Arial" w:eastAsia="Arial" w:hAnsi="Arial"/>
          <w:b/>
          <w:bCs/>
          <w:color w:val="1B3A5C"/>
          <w:sz w:val="56"/>
          <w:szCs w:val="56"/>
        </w:rPr>
        <w:t xml:space="preserve">UK GDPR</w:t>
      </w:r>
    </w:p>
    <w:p>
      <w:pPr>
        <w:spacing w:before="0" w:after="120"/>
        <w:jc w:val="center"/>
      </w:pPr>
      <w:r>
        <w:rPr>
          <w:rFonts w:ascii="Arial" w:cs="Arial" w:eastAsia="Arial" w:hAnsi="Arial"/>
          <w:color w:val="006B6B"/>
          <w:sz w:val="38"/>
          <w:szCs w:val="38"/>
        </w:rPr>
        <w:t xml:space="preserve">Data Protection Audit &amp;</w:t>
      </w:r>
    </w:p>
    <w:p>
      <w:pPr>
        <w:spacing w:before="0" w:after="500"/>
        <w:jc w:val="center"/>
      </w:pPr>
      <w:r>
        <w:rPr>
          <w:rFonts w:ascii="Arial" w:cs="Arial" w:eastAsia="Arial" w:hAnsi="Arial"/>
          <w:color w:val="006B6B"/>
          <w:sz w:val="38"/>
          <w:szCs w:val="38"/>
        </w:rPr>
        <w:t xml:space="preserve">Data Protection Impact Assessment (DPIA)</w:t>
      </w:r>
    </w:p>
    <w:p>
      <w:pPr>
        <w:spacing w:before="0" w:after="100"/>
        <w:jc w:val="center"/>
      </w:pPr>
      <w:r>
        <w:rPr>
          <w:rFonts w:ascii="Arial" w:cs="Arial" w:eastAsia="Arial" w:hAnsi="Arial"/>
          <w:b/>
          <w:bCs/>
          <w:color w:val="1A1A1A"/>
          <w:sz w:val="30"/>
          <w:szCs w:val="30"/>
        </w:rPr>
        <w:t xml:space="preserve">Acme Professional Services Ltd</w:t>
      </w:r>
    </w:p>
    <w:p>
      <w:pPr>
        <w:spacing w:before="0" w:after="400"/>
        <w:jc w:val="center"/>
      </w:pPr>
      <w:r>
        <w:rPr>
          <w:rFonts w:ascii="Arial" w:cs="Arial" w:eastAsia="Arial" w:hAnsi="Arial"/>
          <w:i/>
          <w:iCs/>
          <w:color w:val="777777"/>
          <w:sz w:val="20"/>
          <w:szCs w:val="20"/>
        </w:rPr>
        <w:t xml:space="preserve">A fictional 80-person UK professional services firm (Portfolio Scenario)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1800"/>
        <w:gridCol w:w="270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Organisation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Acme Professional Services Ltd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Document Ref</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APS-GDPR-001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Prepared By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Gareth Sutton</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Version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March 2026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Status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Final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Standard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UK GDPR / Data Protection Act 2018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Classification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Confidential</w:t>
            </w:r>
          </w:p>
        </w:tc>
      </w:tr>
    </w:tbl>
    <w:p>
      <w:pPr>
        <w:spacing w:before="400" w:after="80"/>
        <w:jc w:val="center"/>
      </w:pPr>
      <w:r>
        <w:rPr>
          <w:rFonts w:ascii="Arial" w:cs="Arial" w:eastAsia="Arial" w:hAnsi="Arial"/>
          <w:b/>
          <w:bCs/>
          <w:color w:val="1B3A5C"/>
          <w:sz w:val="24"/>
          <w:szCs w:val="24"/>
        </w:rPr>
        <w:t xml:space="preserve">Prepared by: Gareth Sutton</w:t>
      </w:r>
    </w:p>
    <w:p>
      <w:pPr>
        <w:spacing w:before="0" w:after="60"/>
        <w:jc w:val="center"/>
      </w:pPr>
      <w:r>
        <w:rPr>
          <w:rFonts w:ascii="Arial" w:cs="Arial" w:eastAsia="Arial" w:hAnsi="Arial"/>
          <w:color w:val="555555"/>
          <w:sz w:val="20"/>
          <w:szCs w:val="20"/>
        </w:rPr>
        <w:t xml:space="preserve">Cyber Security Professional | CompTIA Security+ (SY0-701) | ISO 27001 Lead Implementer (Candidate)</w:t>
      </w:r>
    </w:p>
    <w:p>
      <w:pPr>
        <w:spacing w:before="0" w:after="60"/>
        <w:jc w:val="center"/>
      </w:pPr>
      <w:r>
        <w:rPr>
          <w:rFonts w:ascii="Arial" w:cs="Arial" w:eastAsia="Arial" w:hAnsi="Arial"/>
          <w:color w:val="006B6B"/>
          <w:sz w:val="20"/>
          <w:szCs w:val="20"/>
        </w:rPr>
        <w:t xml:space="preserve">cysecsutton@gmail.com | linkedin.com/in/gareth-sutton999</w:t>
      </w:r>
    </w:p>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1. Introduction &amp; Purpose</w:t>
      </w:r>
    </w:p>
    <w:p>
      <w:pPr>
        <w:spacing w:before="60" w:after="60"/>
      </w:pPr>
      <w:r>
        <w:rPr>
          <w:rFonts w:ascii="Arial" w:cs="Arial" w:eastAsia="Arial" w:hAnsi="Arial"/>
          <w:b w:val="false"/>
          <w:bCs w:val="false"/>
          <w:color w:val="1A1A1A"/>
          <w:sz w:val="20"/>
          <w:szCs w:val="20"/>
        </w:rPr>
        <w:t xml:space="preserve">This document serves two related but distinct purposes for Acme Professional Services Ltd:</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Part</w:t>
            </w:r>
          </w:p>
        </w:tc>
        <w:tc>
          <w:tcPr>
            <w:tcW w:type="dxa" w:w="79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Part A</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Data Mapping Audit — A comprehensive record of all personal data processed by the organisation, the lawful basis for each processing activity, retention periods, and data flows to third parties.</w:t>
            </w:r>
          </w:p>
        </w:tc>
      </w:tr>
      <w:tr>
        <w:tc>
          <w:tcPr>
            <w:tcW w:type="dxa" w:w="14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Part B</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Data Protection Impact Assessment (DPIA) — A structured risk assessment for high-risk processing activities, specifically CCTV surveillance. Used as a worked example demonstrating the DPIA methodology.</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Part C</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Supporting Templates — Data Subject Rights Response procedure, Retention Schedule, and Personal Data Breach Assessment checklist for use by the organisation's Data Protection Officer or nominated privacy lead.</w:t>
            </w:r>
          </w:p>
        </w:tc>
      </w:tr>
    </w:tbl>
    <w:p>
      <w:pPr>
        <w:spacing w:before="100" w:after="100"/>
      </w:pPr>
      <w:r>
        <w:t xml:space="preserve"/>
      </w:r>
    </w:p>
    <w:p>
      <w:pPr>
        <w:spacing w:before="60" w:after="60"/>
      </w:pPr>
      <w:r>
        <w:rPr>
          <w:rFonts w:ascii="Arial" w:cs="Arial" w:eastAsia="Arial" w:hAnsi="Arial"/>
          <w:b w:val="false"/>
          <w:bCs w:val="false"/>
          <w:color w:val="1A1A1A"/>
          <w:sz w:val="20"/>
          <w:szCs w:val="20"/>
        </w:rPr>
        <w:t xml:space="preserve">This document is designed to be a living record. It must be reviewed and updated whenever new processing activities are introduced, existing activities change, or at a minimum annually as part of the organisation's data protection review cycle.</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1.1 Legal Framework</w:t>
      </w:r>
    </w:p>
    <w:p>
      <w:pPr>
        <w:spacing w:before="60" w:after="60"/>
      </w:pPr>
      <w:r>
        <w:rPr>
          <w:rFonts w:ascii="Arial" w:cs="Arial" w:eastAsia="Arial" w:hAnsi="Arial"/>
          <w:b w:val="false"/>
          <w:bCs w:val="false"/>
          <w:color w:val="1A1A1A"/>
          <w:sz w:val="20"/>
          <w:szCs w:val="20"/>
        </w:rPr>
        <w:t xml:space="preserve">This document is prepared under the following legislative and regulatory framework:</w:t>
      </w:r>
    </w:p>
    <w:p>
      <w:pPr>
        <w:pStyle w:val="ListParagraph"/>
        <w:numPr>
          <w:ilvl w:val="0"/>
          <w:numId w:val="2"/>
        </w:numPr>
        <w:spacing w:before="40" w:after="40"/>
      </w:pPr>
      <w:r>
        <w:rPr>
          <w:rFonts w:ascii="Arial" w:cs="Arial" w:eastAsia="Arial" w:hAnsi="Arial"/>
          <w:color w:val="1A1A1A"/>
          <w:sz w:val="20"/>
          <w:szCs w:val="20"/>
        </w:rPr>
        <w:t xml:space="preserve">UK General Data Protection Regulation (UK GDPR) — retained EU law under the Data Protection, Privacy and Electronic Communications (Amendments etc) (EU Exit) Regulations 2019</w:t>
      </w:r>
    </w:p>
    <w:p>
      <w:pPr>
        <w:pStyle w:val="ListParagraph"/>
        <w:numPr>
          <w:ilvl w:val="0"/>
          <w:numId w:val="2"/>
        </w:numPr>
        <w:spacing w:before="40" w:after="40"/>
      </w:pPr>
      <w:r>
        <w:rPr>
          <w:rFonts w:ascii="Arial" w:cs="Arial" w:eastAsia="Arial" w:hAnsi="Arial"/>
          <w:color w:val="1A1A1A"/>
          <w:sz w:val="20"/>
          <w:szCs w:val="20"/>
        </w:rPr>
        <w:t xml:space="preserve">Data Protection Act 2018 (DPA 2018)</w:t>
      </w:r>
    </w:p>
    <w:p>
      <w:pPr>
        <w:pStyle w:val="ListParagraph"/>
        <w:numPr>
          <w:ilvl w:val="0"/>
          <w:numId w:val="2"/>
        </w:numPr>
        <w:spacing w:before="40" w:after="40"/>
      </w:pPr>
      <w:r>
        <w:rPr>
          <w:rFonts w:ascii="Arial" w:cs="Arial" w:eastAsia="Arial" w:hAnsi="Arial"/>
          <w:color w:val="1A1A1A"/>
          <w:sz w:val="20"/>
          <w:szCs w:val="20"/>
        </w:rPr>
        <w:t xml:space="preserve">Privacy and Electronic Communications Regulations 2003 (PECR) — governing electronic marketing and cookies</w:t>
      </w:r>
    </w:p>
    <w:p>
      <w:pPr>
        <w:pStyle w:val="ListParagraph"/>
        <w:numPr>
          <w:ilvl w:val="0"/>
          <w:numId w:val="2"/>
        </w:numPr>
        <w:spacing w:before="40" w:after="40"/>
      </w:pPr>
      <w:r>
        <w:rPr>
          <w:rFonts w:ascii="Arial" w:cs="Arial" w:eastAsia="Arial" w:hAnsi="Arial"/>
          <w:color w:val="1A1A1A"/>
          <w:sz w:val="20"/>
          <w:szCs w:val="20"/>
        </w:rPr>
        <w:t xml:space="preserve">ICO Accountability Framework and DPIA guidance</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1.2 Key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Postholder</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Data Controller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Acme Professional Services Ltd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entity responsible for determining purposes and means of processing. Accountable to 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Senior Information Risk Owner (SIRO)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[Managing Director / CEO]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Senior accountability for information risk. Signs off DPIA outcomes and breach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Data Protection Officer (DPO) / Privacy Lead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[Name — if appointed]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Advises on GDPR compliance. Monitors compliance. Acts as ICO contact point. Manages DPIAs and SARs.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System Owners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[Named per system]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Responsible for data held in specific systems. Responsible for implementing retention schedules.</w:t>
            </w:r>
          </w:p>
        </w:tc>
      </w:tr>
    </w:tbl>
    <w:p>
      <w:r>
        <w:br w:type="page"/>
      </w:r>
    </w:p>
    <w:p>
      <w:pPr>
        <w:pBdr>
          <w:left w:val="single" w:color="006B6B" w:sz="20" w:space="8"/>
        </w:pBdr>
        <w:shd w:fill="EAF2FF" w:val="clear"/>
        <w:spacing w:before="200" w:after="160"/>
      </w:pPr>
      <w:r>
        <w:rPr>
          <w:rFonts w:ascii="Arial" w:cs="Arial" w:eastAsia="Arial" w:hAnsi="Arial"/>
          <w:b/>
          <w:bCs/>
          <w:color w:val="1B3A5C"/>
          <w:sz w:val="28"/>
          <w:szCs w:val="28"/>
        </w:rPr>
        <w:t xml:space="preserve">  PART A — DATA MAPPING AUDIT</w:t>
      </w:r>
    </w:p>
    <w:p>
      <w:pPr>
        <w:pStyle w:val="Heading1"/>
        <w:pBdr>
          <w:bottom w:val="single" w:color="006B6B" w:sz="4" w:space="4"/>
        </w:pBdr>
        <w:spacing w:before="320" w:after="160"/>
      </w:pPr>
      <w:r>
        <w:rPr>
          <w:rFonts w:ascii="Arial" w:cs="Arial" w:eastAsia="Arial" w:hAnsi="Arial"/>
          <w:b/>
          <w:bCs/>
          <w:color w:val="1B3A5C"/>
          <w:sz w:val="32"/>
          <w:szCs w:val="32"/>
        </w:rPr>
        <w:t xml:space="preserve">2. Data Mapping — Processing Activities Register</w:t>
      </w:r>
    </w:p>
    <w:p>
      <w:pPr>
        <w:spacing w:before="60" w:after="60"/>
      </w:pPr>
      <w:r>
        <w:rPr>
          <w:rFonts w:ascii="Arial" w:cs="Arial" w:eastAsia="Arial" w:hAnsi="Arial"/>
          <w:b w:val="false"/>
          <w:bCs w:val="false"/>
          <w:color w:val="1A1A1A"/>
          <w:sz w:val="20"/>
          <w:szCs w:val="20"/>
        </w:rPr>
        <w:t xml:space="preserve">The following table records all personal data processing activities conducted by Acme Professional Services Ltd. This register fulfils the Article 30 UK GDPR obligation to maintain records of processing activities (ROPA). It must be kept up to date and made available to the ICO on request.</w:t>
      </w:r>
    </w:p>
    <w:p>
      <w:pPr>
        <w:spacing w:before="100" w:after="100"/>
      </w:pPr>
      <w:r>
        <w:t xml:space="preserve"/>
      </w:r>
    </w:p>
    <w:p>
      <w:pPr>
        <w:spacing w:before="60" w:after="60"/>
      </w:pPr>
      <w:r>
        <w:rPr>
          <w:rFonts w:ascii="Arial" w:cs="Arial" w:eastAsia="Arial" w:hAnsi="Arial"/>
          <w:b w:val="false"/>
          <w:bCs w:val="false"/>
          <w:color w:val="777777"/>
          <w:sz w:val="20"/>
          <w:szCs w:val="20"/>
        </w:rPr>
        <w:t xml:space="preserve">Note: This register is presented in landscape orientation to accommodate all required fields. In a live implementation, this would typically be maintained in a dedicated ROPA tool or spreadsheet with change history.</w:t>
      </w:r>
    </w:p>
    <w:p>
      <w:pPr>
        <w:spacing w:before="100" w:after="100"/>
      </w:pPr>
      <w:r>
        <w:t xml:space="preserve"/>
      </w:r>
    </w:p>
    <w:tbl>
      <w:tblPr>
        <w:tblW w:type="dxa" w:w="124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1400"/>
        <w:gridCol w:w="1200"/>
        <w:gridCol w:w="900"/>
        <w:gridCol w:w="1400"/>
        <w:gridCol w:w="7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Data Category</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Data Elements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Purpose of Processing</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Lawful Basis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Systems Used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Retention Period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Special Category?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Processors/Recipients</w:t>
            </w:r>
          </w:p>
        </w:tc>
        <w:tc>
          <w:tcPr>
            <w:tcW w:type="dxa" w:w="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Transfer Location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Client Personal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Client name, address, email, phone, company, contract 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Professional services delivery, billing, communications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Contractual necessity (Art.6(1)(b)) / Legitimate interests (Art.6(1)(f))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CRM system, email, contract management 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Retained for duration of contract + 7 years (legal obligation)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CRM vendor (data processor)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Employee HR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Name, address, NI number, salary, bank details, performance records, disciplinary records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Employment management, payroll, legal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Contractual necessity (Art.6(1)(b)) / Legal obligation (Art.6(1)(c))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HR system, payroll software, 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Duration of employment + 6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Payroll processor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Employee Health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Sickness records, occupational health assessments, reasonable adjustments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HR management, health &amp; safety 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Explicit consent (Art.9(2)(a)) / Employment law (Art.9(2)(b))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HR system, secure paper 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Duration of employment + 6 years</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Yes — Special 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Occupational health provider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Prospect/Marketing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Name, email, job title, company, marketing preferences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Business development, newsletter, event invitations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Consent (Art.6(1)(a)) / Legitimate interests (Art.6(1)(f))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CRM / marketing platform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Until consent withdrawn or 2 years inactivity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Marketing platform vendor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UK / EU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Website Analytics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IP address, browser type, pages visited, session 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Website performance, user experience improvement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Legitimate interests (Art.6(1)(f)) / Consent for non-essential cookies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Google Analytics / web server 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26 months (analytics) / 12 months (logs)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Google (data processor)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USA — SCCs in place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Supplier/Contractor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Name, contact details, bank details, contract terms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Supplier management, procurement, payments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Contractual necessity (Art.6(1)(b)) / Legal obligation (Art.6(1)(c))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Finance system, email, contract files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Duration of relationship + 7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Accounting software vendor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Footage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Images of individuals in/around office premises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Physical security, crime prevention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Legitimate interests (Art.6(1)(f))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system / cloud 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31 days (overwritten)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system provider</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UK</w:t>
            </w:r>
          </w:p>
        </w:tc>
      </w:tr>
    </w:tbl>
    <w:p>
      <w:pPr>
        <w:spacing w:before="100" w:after="100"/>
      </w:pPr>
      <w:r>
        <w:t xml:space="preserve"/>
      </w:r>
    </w:p>
    <w:p>
      <w:pPr>
        <w:spacing w:before="60" w:after="60"/>
      </w:pPr>
      <w:r>
        <w:rPr>
          <w:rFonts w:ascii="Arial" w:cs="Arial" w:eastAsia="Arial" w:hAnsi="Arial"/>
          <w:b w:val="false"/>
          <w:bCs w:val="false"/>
          <w:color w:val="777777"/>
          <w:sz w:val="20"/>
          <w:szCs w:val="20"/>
        </w:rPr>
        <w:t xml:space="preserve">Key: SCC = Standard Contractual Clauses (mechanism for lawful international data transfers post-Brexit)</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2.1 Lawful Basis Summary</w:t>
      </w:r>
    </w:p>
    <w:p>
      <w:pPr>
        <w:spacing w:before="60" w:after="60"/>
      </w:pPr>
      <w:r>
        <w:rPr>
          <w:rFonts w:ascii="Arial" w:cs="Arial" w:eastAsia="Arial" w:hAnsi="Arial"/>
          <w:b w:val="false"/>
          <w:bCs w:val="false"/>
          <w:color w:val="1A1A1A"/>
          <w:sz w:val="20"/>
          <w:szCs w:val="20"/>
        </w:rPr>
        <w:t xml:space="preserve">The organisation relies on the following lawful bases under Article 6 UK GDPR: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Lawful Basis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Article Reference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Processing Activities Relying on This Basis</w:t>
            </w:r>
          </w:p>
        </w:tc>
      </w:tr>
      <w:tr>
        <w:tc>
          <w:tcPr>
            <w:tcW w:type="dxa" w:w="2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Contractual Necessity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Art.6(1)(b) — necessary for performance of a contract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Client service delivery, employee HR and payroll, supplier management</w:t>
            </w:r>
          </w:p>
        </w:tc>
      </w:tr>
      <w:tr>
        <w:tc>
          <w:tcPr>
            <w:tcW w:type="dxa" w:w="2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Legal Obligation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Art.6(1)(c) — necessary for compliance with a legal obligation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HMRC record-keeping, employment law obligations, health &amp; safety records</w:t>
            </w:r>
          </w:p>
        </w:tc>
      </w:tr>
      <w:tr>
        <w:tc>
          <w:tcPr>
            <w:tcW w:type="dxa" w:w="2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Legitimate Interests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Art.6(1)(f) — necessary for legitimate interests pursued by the controller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security, website analytics (where consent not required), retention of client data post-contract</w:t>
            </w:r>
          </w:p>
        </w:tc>
      </w:tr>
      <w:tr>
        <w:tc>
          <w:tcPr>
            <w:tcW w:type="dxa" w:w="2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Consent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Art.6(1)(a) — the individual has given clear consent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Marketing communications, non-essential cookies, certain employee health data</w:t>
            </w:r>
          </w:p>
        </w:tc>
      </w:tr>
      <w:tr>
        <w:tc>
          <w:tcPr>
            <w:tcW w:type="dxa" w:w="2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Explicit Consent (Special Category)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Art.9(2)(a) — explicit consent for special category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Employee health data where not covered by employment law exemption</w:t>
            </w:r>
          </w:p>
        </w:tc>
      </w:tr>
      <w:tr>
        <w:tc>
          <w:tcPr>
            <w:tcW w:type="dxa" w:w="2600"/>
            <w:tcBorders>
              <w:top w:val="single" w:color="CCCCCC" w:sz="1"/>
              <w:left w:val="single" w:color="CCCCCC" w:sz="1"/>
              <w:bottom w:val="single" w:color="CCCCCC" w:sz="1"/>
              <w:right w:val="single" w:color="CCCCCC" w:sz="1"/>
            </w:tcBorders>
            <w:shd w:fill="EAF2FF"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8"/>
                <w:szCs w:val="18"/>
              </w:rPr>
              <w:t xml:space="preserve">Employment Law Exemption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Art.9(2)(b) — necessary for employment obligations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Occupational health assessments, statutory sick pay processing</w:t>
            </w:r>
          </w:p>
        </w:tc>
      </w:tr>
    </w:tbl>
    <w:p>
      <w:r>
        <w:br w:type="page"/>
      </w:r>
    </w:p>
    <w:p>
      <w:pPr>
        <w:pBdr>
          <w:left w:val="single" w:color="4A235A" w:sz="20" w:space="8"/>
        </w:pBdr>
        <w:shd w:fill="EAE0F0" w:val="clear"/>
        <w:spacing w:before="200" w:after="160"/>
      </w:pPr>
      <w:r>
        <w:rPr>
          <w:rFonts w:ascii="Arial" w:cs="Arial" w:eastAsia="Arial" w:hAnsi="Arial"/>
          <w:b/>
          <w:bCs/>
          <w:color w:val="4A235A"/>
          <w:sz w:val="28"/>
          <w:szCs w:val="28"/>
        </w:rPr>
        <w:t xml:space="preserve">  PART B — DATA PROTECTION IMPACT ASSESSMENT (DPIA)</w:t>
      </w:r>
    </w:p>
    <w:p>
      <w:pPr>
        <w:pStyle w:val="Heading1"/>
        <w:pBdr>
          <w:bottom w:val="single" w:color="006B6B" w:sz="4" w:space="4"/>
        </w:pBdr>
        <w:spacing w:before="320" w:after="160"/>
      </w:pPr>
      <w:r>
        <w:rPr>
          <w:rFonts w:ascii="Arial" w:cs="Arial" w:eastAsia="Arial" w:hAnsi="Arial"/>
          <w:b/>
          <w:bCs/>
          <w:color w:val="1B3A5C"/>
          <w:sz w:val="32"/>
          <w:szCs w:val="32"/>
        </w:rPr>
        <w:t xml:space="preserve">3. DPIA — CCTV Surveillance (Worked Example)</w:t>
      </w:r>
    </w:p>
    <w:p>
      <w:pPr>
        <w:spacing w:before="60" w:after="60"/>
      </w:pPr>
      <w:r>
        <w:rPr>
          <w:rFonts w:ascii="Arial" w:cs="Arial" w:eastAsia="Arial" w:hAnsi="Arial"/>
          <w:b w:val="false"/>
          <w:bCs w:val="false"/>
          <w:color w:val="1A1A1A"/>
          <w:sz w:val="20"/>
          <w:szCs w:val="20"/>
        </w:rPr>
        <w:t xml:space="preserve">A Data Protection Impact Assessment (DPIA) is required under Article 35 UK GDPR where processing is likely to result in a high risk to individuals. This section presents a worked DPIA for the organisation's CCTV surveillance activity, which constitutes systematic monitoring of a publicly accessible area.</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3.1 Step 1 — Screening: Is a DPIA Required?</w:t>
      </w:r>
    </w:p>
    <w:p>
      <w:pPr>
        <w:spacing w:before="60" w:after="60"/>
      </w:pPr>
      <w:r>
        <w:rPr>
          <w:rFonts w:ascii="Arial" w:cs="Arial" w:eastAsia="Arial" w:hAnsi="Arial"/>
          <w:b w:val="false"/>
          <w:bCs w:val="false"/>
          <w:color w:val="1A1A1A"/>
          <w:sz w:val="20"/>
          <w:szCs w:val="20"/>
        </w:rPr>
        <w:t xml:space="preserve">The ICO identifies nine types of processing that are likely to require a DPIA. The table below assesses each criterion against the organisation's processing activities: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ICO High-Risk Processing Criterion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Applies to Organisation?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Systematic and extensive profiling or automated decision-making with significant effects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7AE6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Large-scale processing of special category data (health, biometric, criminal)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C0392B"/>
                <w:sz w:val="18"/>
                <w:szCs w:val="18"/>
              </w:rPr>
              <w:t xml:space="preserve">Potentially — employee health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Assess volume and scale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Systematic monitoring of publicly accessible areas (CCTV)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Yes — office CCTV</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DPIA recommended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Processing of children's data on a large scale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7AE6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New technologies with high privacy risk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7AE6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Processing that prevents individuals from exercising rights or using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7AE6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Large-scale processing of criminal conviction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7AE6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Matching or combining datasets in unexpected ways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7AE6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Processing in context where individuals cannot reasonably expect further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27AE60"/>
                <w:sz w:val="18"/>
                <w:szCs w:val="18"/>
              </w:rPr>
              <w:t xml:space="preserve">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w:t>
            </w:r>
          </w:p>
        </w:tc>
      </w:tr>
    </w:tbl>
    <w:p>
      <w:pPr>
        <w:spacing w:before="100" w:after="100"/>
      </w:pPr>
      <w:r>
        <w:t xml:space="preserve"/>
      </w:r>
    </w:p>
    <w:p>
      <w:pPr>
        <w:spacing w:before="60" w:after="60"/>
      </w:pPr>
      <w:r>
        <w:rPr>
          <w:rFonts w:ascii="Arial" w:cs="Arial" w:eastAsia="Arial" w:hAnsi="Arial"/>
          <w:b/>
          <w:bCs/>
          <w:color w:val="1A1A1A"/>
          <w:sz w:val="20"/>
          <w:szCs w:val="20"/>
        </w:rPr>
        <w:t xml:space="preserve">Conclusion: A DPIA is recommended for CCTV processing due to the systematic monitoring of individuals in and around the organisation's premises. A DPIA is also advisable for employee health data processing given its special category status.</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3.2 Step 2 — Description of Processing (CCTV)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Processing Activity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surveillance of office premises, car park, and building entrances</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Acme Professional Services Ltd</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Data Subjects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Employees, visitors, contractors, and members of the public passing premises</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Personal Data Processed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Visual images (identifiable individuals), potentially vehicle registration plates</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Special Category 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Potentially — CCTV may capture health information (visible disabilities, medical equipment) or racial/ethnic origin</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Purposes of 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Physical security, crime prevention and detection, protection of staff and assets, evidence in case of incident</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Lawful Basis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Legitimate Interests (Art.6(1)(f)) — protecting staff and assets from crime and unauthorised access</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Legitimate Interests Assessment (LIA) Conducted?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Required — see Section 3.3</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Number of Cameras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[X cameras — to be completed]</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Coverage Areas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[List specific areas covered — to be completed]</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Footage Retention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31 days — automatic overwrite</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Access to Footage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Restricted to: [Named individuals] — logged access only</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Third Party Disclosures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Law enforcement (on lawful request only), insurance (incident-specific), maintenance contractor (limited access)</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International Transfers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None — footage stored on local/UK-based systems</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System 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vendor name] — Data Processing Agreement in place</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3.3 Step 3 — Necessity &amp; Proportionality Assessment</w:t>
      </w:r>
    </w:p>
    <w:p>
      <w:pPr>
        <w:spacing w:before="60" w:after="60"/>
      </w:pPr>
      <w:r>
        <w:rPr>
          <w:rFonts w:ascii="Arial" w:cs="Arial" w:eastAsia="Arial" w:hAnsi="Arial"/>
          <w:b w:val="false"/>
          <w:bCs w:val="false"/>
          <w:color w:val="1A1A1A"/>
          <w:sz w:val="20"/>
          <w:szCs w:val="20"/>
        </w:rPr>
        <w:t xml:space="preserve">Before proceeding to risk assessment, the organisation must be satisfied that the processing is necessary and proportionate. A Legitimate Interests Assessment (LIA) is required where processing relies on Art.6(1)(f).</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LIA Test</w:t>
            </w:r>
          </w:p>
        </w:tc>
        <w:tc>
          <w:tcPr>
            <w:tcW w:type="dxa" w:w="6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Assessment</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Purpose Test: Is the legitimate interest real and specific?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Yes — protecting staff and physical assets from theft, vandalism, and trespass is a genuine and specific business interest.</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Necessity Test: Is CCTV necessary, or could a less privacy-intrusive method achieve the same aim?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is the proportionate and established method for physical premises security. Alternatives (security guards, access control alone) would not achieve equivalent deterrence and evidence-gathering capability at proportionate cost.</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Balancing Test: Do the individual's interests override the legitimate interest?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Individuals using or passing the premises have a reduced expectation of privacy in commercial/semi-public areas. The processing is proportionate to the security risk, particularly where privacy notices are displayed. Footage is retained only 31 days and accessed only on a need-to-know basis. Balancing test concluded in favour of controller's legitimate interest.</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Conclusion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Legitimate interests basis is justified. DPA/ICO guidance on CCTV confirms this is an established lawful basis for workplace surveillance where privacy notices are clearly displayed.</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3.4 Step 4 — Risk Identification &amp; Assessment</w:t>
      </w:r>
    </w:p>
    <w:p>
      <w:pPr>
        <w:spacing w:before="60" w:after="60"/>
      </w:pPr>
      <w:r>
        <w:rPr>
          <w:rFonts w:ascii="Arial" w:cs="Arial" w:eastAsia="Arial" w:hAnsi="Arial"/>
          <w:b w:val="false"/>
          <w:bCs w:val="false"/>
          <w:color w:val="1A1A1A"/>
          <w:sz w:val="20"/>
          <w:szCs w:val="20"/>
        </w:rPr>
        <w:t xml:space="preserve">The following risks have been identified through the DPIA process. Each risk is assessed for its inherent likelihood and impact before mitigation, and residual risk following the implementation of mitigating measures.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900"/>
        <w:gridCol w:w="2400"/>
        <w:gridCol w:w="900"/>
        <w:gridCol w:w="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Risk Description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Potential Harm</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Inherent Risk</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Mitigation Measures</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Residual Risk</w:t>
            </w:r>
          </w:p>
        </w:tc>
        <w:tc>
          <w:tcPr>
            <w:tcW w:type="dxa" w:w="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CCTV-001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footage captures individuals who have not been informed of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Breach of transparency principle (Art.5(1)(a)). Individual privacy rights infringed.</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Ensure compliant privacy notices are displayed at all camera locations. Publish CCTV policy on website/staff handbook.</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i w:val="false"/>
                <w:iCs w:val="false"/>
                <w:color w:val="1E8449"/>
                <w:sz w:val="18"/>
                <w:szCs w:val="18"/>
              </w:rPr>
              <w:t xml:space="preserve">Low</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27AE60"/>
                <w:sz w:val="18"/>
                <w:szCs w:val="18"/>
              </w:rPr>
              <w:t xml:space="preserve">Closed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CCTV-002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footage retained beyond 31-day policy period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Data retained longer than necessary. Breach of storage limitation principle (Art.5(1)(e)).</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vAlign w:val="top"/>
          </w:tcPr>
          <w:p>
            <w:pPr>
              <w:jc w:val="left"/>
            </w:pPr>
            <w:r>
              <w:rPr>
                <w:rFonts w:ascii="Arial" w:cs="Arial" w:eastAsia="Arial" w:hAnsi="Arial"/>
                <w:b/>
                <w:bCs/>
                <w:i w:val="false"/>
                <w:iCs w:val="false"/>
                <w:color w:val="935116"/>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Configure system to auto-overwrite after 31 days. Audit retention settings quarterly.</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i w:val="false"/>
                <w:iCs w:val="false"/>
                <w:color w:val="1E8449"/>
                <w:sz w:val="18"/>
                <w:szCs w:val="18"/>
              </w:rPr>
              <w:t xml:space="preserve">Low</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E67E22"/>
                <w:sz w:val="18"/>
                <w:szCs w:val="18"/>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CCTV-003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Unauthorised access to CCTV footage by staff or third parties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Privacy violation. Potential misuse of surveillance footage.</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Restrict access to named individuals. Maintain access log. Review access rights quarterly.</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i w:val="false"/>
                <w:iCs w:val="false"/>
                <w:color w:val="1E8449"/>
                <w:sz w:val="18"/>
                <w:szCs w:val="18"/>
              </w:rPr>
              <w:t xml:space="preserve">Low</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E67E22"/>
                <w:sz w:val="18"/>
                <w:szCs w:val="18"/>
              </w:rPr>
              <w:t xml:space="preserve">Open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CCTV-004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CCTV footage shared with third parties (police, insurers) without lawful basis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Unlawful disclosure. Potential regulatory action.</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i w:val="false"/>
                <w:iCs w:val="false"/>
                <w:color w:val="C0392B"/>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Establish documented procedure for responding to law enforcement requests. Log all disclosures. Seek legal advice for non-urgent requests.</w:t>
            </w:r>
          </w:p>
        </w:tc>
        <w:tc>
          <w:tcPr>
            <w:tcW w:type="dxa" w:w="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i w:val="false"/>
                <w:iCs w:val="false"/>
                <w:color w:val="1E8449"/>
                <w:sz w:val="18"/>
                <w:szCs w:val="18"/>
              </w:rPr>
              <w:t xml:space="preserve">Low</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E67E22"/>
                <w:sz w:val="18"/>
                <w:szCs w:val="18"/>
              </w:rPr>
              <w:t xml:space="preserve">Open</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3.5 Step 5 — DPIA Outcome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Outcome Field</w:t>
            </w:r>
          </w:p>
        </w:tc>
        <w:tc>
          <w:tcPr>
            <w:tcW w:type="dxa" w:w="6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Overall Residual Risk 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Low — following implementation of recommended mitigations</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ICO Prior Consultation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No — residual risk is not high after mitigation. Consultation required only where residual risk remains high (Art.36).</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Recommended for Approval?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Yes — subject to implementation of mitigating actions identified in Section 3.4</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Conditions for Approval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All Open actions in the risk register must be completed within 30 days of approval. DPIA to be reviewed in 12 months or upon any material change to CCTV coverage or system.</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DPO Recommendation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[Signature and date — to be completed]</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SIRO/MD Approval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[Signature and date — to be completed]</w:t>
            </w:r>
          </w:p>
        </w:tc>
      </w:tr>
      <w:tr>
        <w:tc>
          <w:tcPr>
            <w:tcW w:type="dxa" w:w="3000"/>
            <w:tcBorders>
              <w:top w:val="single" w:color="CCCCCC" w:sz="1"/>
              <w:left w:val="single" w:color="CCCCCC" w:sz="1"/>
              <w:bottom w:val="single" w:color="CCCCCC" w:sz="1"/>
              <w:right w:val="single" w:color="CCCCCC" w:sz="1"/>
            </w:tcBorders>
            <w:shd w:fill="EAE0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Date of Next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March 2027 (or earlier if processing changes)</w:t>
            </w:r>
          </w:p>
        </w:tc>
      </w:tr>
    </w:tbl>
    <w:p>
      <w:r>
        <w:br w:type="page"/>
      </w:r>
    </w:p>
    <w:p>
      <w:pPr>
        <w:pBdr>
          <w:left w:val="single" w:color="1B3A5C" w:sz="20" w:space="8"/>
        </w:pBdr>
        <w:shd w:fill="D6E4F0" w:val="clear"/>
        <w:spacing w:before="200" w:after="160"/>
      </w:pPr>
      <w:r>
        <w:rPr>
          <w:rFonts w:ascii="Arial" w:cs="Arial" w:eastAsia="Arial" w:hAnsi="Arial"/>
          <w:b/>
          <w:bCs/>
          <w:color w:val="1B3A5C"/>
          <w:sz w:val="28"/>
          <w:szCs w:val="28"/>
        </w:rPr>
        <w:t xml:space="preserve">  PART C — SUPPORTING TEMPLATES</w:t>
      </w:r>
    </w:p>
    <w:p>
      <w:pPr>
        <w:pStyle w:val="Heading1"/>
        <w:pBdr>
          <w:bottom w:val="single" w:color="006B6B" w:sz="4" w:space="4"/>
        </w:pBdr>
        <w:spacing w:before="320" w:after="160"/>
      </w:pPr>
      <w:r>
        <w:rPr>
          <w:rFonts w:ascii="Arial" w:cs="Arial" w:eastAsia="Arial" w:hAnsi="Arial"/>
          <w:b/>
          <w:bCs/>
          <w:color w:val="1B3A5C"/>
          <w:sz w:val="32"/>
          <w:szCs w:val="32"/>
        </w:rPr>
        <w:t xml:space="preserve">4. Data Subject Rights Response Procedure</w:t>
      </w:r>
    </w:p>
    <w:p>
      <w:pPr>
        <w:spacing w:before="60" w:after="60"/>
      </w:pPr>
      <w:r>
        <w:rPr>
          <w:rFonts w:ascii="Arial" w:cs="Arial" w:eastAsia="Arial" w:hAnsi="Arial"/>
          <w:b w:val="false"/>
          <w:bCs w:val="false"/>
          <w:color w:val="1A1A1A"/>
          <w:sz w:val="20"/>
          <w:szCs w:val="20"/>
        </w:rPr>
        <w:t xml:space="preserve">Any request received from an individual exercising their UK GDPR rights must be handled in accordance with the following procedure. All requests must be logged in the Data Subject Rights Register regardless of whether they are upheld.</w:t>
      </w:r>
    </w:p>
    <w:p>
      <w:pPr>
        <w:spacing w:before="100" w:after="100"/>
      </w:pPr>
      <w:r>
        <w:t xml:space="preserve"/>
      </w:r>
    </w:p>
    <w:p>
      <w:pPr>
        <w:pStyle w:val="Heading2"/>
        <w:spacing w:before="240" w:after="120"/>
      </w:pPr>
      <w:r>
        <w:rPr>
          <w:rFonts w:ascii="Arial" w:cs="Arial" w:eastAsia="Arial" w:hAnsi="Arial"/>
          <w:b/>
          <w:bCs/>
          <w:color w:val="006B6B"/>
          <w:sz w:val="24"/>
          <w:szCs w:val="24"/>
        </w:rPr>
        <w:t xml:space="preserve">4.1 Rights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1360"/>
        <w:gridCol w:w="24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Right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Common Request Type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Obligation</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Response Deadline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Process Steps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Right of Access (Art.15)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Subject Access Request (SAR)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Provide copy of personal data held, purposes, recipients, retention period, and rights information.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month (extendable to 3 months for complex/numerous requests)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Verify identity. Search all systems. Redact third-party data. Log and respond in writing.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Right to Rectification (Art.16)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Request to correct inaccurate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Correct inaccurate or incomplete personal data without undue delay.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Update all systems holding the data. Notify processors. Log the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Right to Erasure (Art.17)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Right to be forgotten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Delete personal data where no lawful basis for continued processing exists.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Check for retention obligations (legal, contractual). Erase from all systems and backups where feasible. Log decision.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Right to Restriction (Art.18)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Request to restrict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Mark data as restricted and stop processing (but not delete) pending resolution of dispute.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Flag records in all systems. Notify processors. Lift restriction only with individual's consent or legal basis.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Right to Portability (Art.20)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Request for data in machine-readable format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Provide personal data in structured, commonly used format (e.g. CSV) where processing is automated and based on consent or contract.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Extract data in portable format. Transmit securely. Applicable only to automated processing.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Right to Object (Art.21)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Objection to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Stop processing for direct marketing immediately. For other purposes, assess whether compelling legitimate grounds override the individual's interests.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Immediately for marketing; 1 month for other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Stop marketing immediately. For other cases, conduct balancing test. Document decision.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Rights re: Automated Decision-Making (Art.22)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Objection to automated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 not make solely automated decisions with significant effects without human review, unless explicit consent or legal basis.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 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Ensure human review is available. Document any automated decision-making processes.</w:t>
            </w:r>
          </w:p>
        </w:tc>
      </w:tr>
    </w:tbl>
    <w:p>
      <w:pPr>
        <w:spacing w:before="100" w:after="100"/>
      </w:pPr>
      <w:r>
        <w:t xml:space="preserve"/>
      </w:r>
    </w:p>
    <w:p>
      <w:pPr>
        <w:pStyle w:val="Heading2"/>
        <w:spacing w:before="240" w:after="120"/>
      </w:pPr>
      <w:r>
        <w:rPr>
          <w:rFonts w:ascii="Arial" w:cs="Arial" w:eastAsia="Arial" w:hAnsi="Arial"/>
          <w:b/>
          <w:bCs/>
          <w:color w:val="006B6B"/>
          <w:sz w:val="24"/>
          <w:szCs w:val="24"/>
        </w:rPr>
        <w:t xml:space="preserve">4.2 SAR Response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Completed By / Date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Receive SAR. Log in Data Subject Rights Register. Record date received — response deadline is 1 calendar month from this date.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Verify the identity of the requestor. Request reasonable proof of identity where there is doubt. Do not process until identity confirmed.</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Assess whether the request is manifestly unfounded or excessive. If so, document reasoning and seek legal advice before refusing or charging a fee.</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Search all systems holding personal data: CRM, email, HR system, finance system, paper files, archived data. Document all searches conducted.</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Collate all personal data held about the individual. Redact any third-party data that would identify other individuals.</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Prepare SAR response letter including: all personal data held, purposes of processing, lawful basis, retention period, recipients, and rights information.</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Obtain DPO / Senior Manager review and approval of response before sending.</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Send response securely (encrypted email or tracked post) within 1 month of receipt.</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bCs/>
                <w:i w:val="false"/>
                <w:iCs w:val="false"/>
                <w:color w:val="1A1A1A"/>
                <w:sz w:val="18"/>
                <w:szCs w:val="18"/>
              </w:rPr>
              <w:t xml:space="preserve">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File the complete SAR response and all supporting records in the Data Subject Rights Register. Retain for 3 years.</w:t>
            </w:r>
          </w:p>
        </w:tc>
        <w:tc>
          <w:tcPr>
            <w:tcW w:type="dxa" w:w="180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bl>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5. Retention Schedule</w:t>
      </w:r>
    </w:p>
    <w:p>
      <w:pPr>
        <w:spacing w:before="60" w:after="60"/>
      </w:pPr>
      <w:r>
        <w:rPr>
          <w:rFonts w:ascii="Arial" w:cs="Arial" w:eastAsia="Arial" w:hAnsi="Arial"/>
          <w:b w:val="false"/>
          <w:bCs w:val="false"/>
          <w:color w:val="1A1A1A"/>
          <w:sz w:val="20"/>
          <w:szCs w:val="20"/>
        </w:rPr>
        <w:t xml:space="preserve">The following retention schedule defines the required retention period for each category of records held by the organisation. All records must be securely deleted or anonymised at the end of their retention period unless a specific legal hold is in place.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Record 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Retention Period</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Basis /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Employment contracts and HR 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6 years post-employment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obligation — Employment Rights Act 1996, Limitation Act 1980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Payroll and tax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7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obligation — HMRC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Sickness/absence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 years post-employment (or 6 if potential litigation)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Legitimate interests, legal defence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Accident/injury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 years (adults); until age 21 for minors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Limitation Act 1980, RIDDOR 2013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Client contracts and correspondence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7 years post-contract 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obligation — Limitation Act 1980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Client personal data (non-contractual)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Duration of relationship + 2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Legitimate interests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Marketing consent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Until consent withdrawn + 2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Evidence of lawful basis (consent)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Supplier contracts and invoices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7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Legal obligation — HMRC, Companies 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CCTV footage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31 days (overwrite)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Legitimate interests — proportionate surveillance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Website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26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Industry standard — GA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Security incident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5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Legitimate interests, legal defence, regulatory audit trail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SAR responses and correspondence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3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Demonstrating compliance with data subject rights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DPIA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Life of processing activity + 3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Demonstrating compliance — ICO accountability obligation</w:t>
            </w:r>
          </w:p>
        </w:tc>
      </w:tr>
    </w:tbl>
    <w:p>
      <w:pPr>
        <w:spacing w:before="100" w:after="100"/>
      </w:pPr>
      <w:r>
        <w:t xml:space="preserve"/>
      </w:r>
    </w:p>
    <w:p>
      <w:pPr>
        <w:spacing w:before="60" w:after="60"/>
      </w:pPr>
      <w:r>
        <w:rPr>
          <w:rFonts w:ascii="Arial" w:cs="Arial" w:eastAsia="Arial" w:hAnsi="Arial"/>
          <w:b w:val="false"/>
          <w:bCs w:val="false"/>
          <w:color w:val="777777"/>
          <w:sz w:val="20"/>
          <w:szCs w:val="20"/>
        </w:rPr>
        <w:t xml:space="preserve">Secure deletion means deletion from all live systems, backups, and paper files. Where complete deletion from backup systems is not technically feasible within the retention period, document this limitation and ensure the data cannot be accessed or used after the retention period expires.</w:t>
      </w:r>
    </w:p>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6. Personal Data Breach Assessment Checklist</w:t>
      </w:r>
    </w:p>
    <w:p>
      <w:pPr>
        <w:spacing w:before="60" w:after="60"/>
      </w:pPr>
      <w:r>
        <w:rPr>
          <w:rFonts w:ascii="Arial" w:cs="Arial" w:eastAsia="Arial" w:hAnsi="Arial"/>
          <w:b w:val="false"/>
          <w:bCs w:val="false"/>
          <w:color w:val="1A1A1A"/>
          <w:sz w:val="20"/>
          <w:szCs w:val="20"/>
        </w:rPr>
        <w:t xml:space="preserve">This checklist must be used immediately upon discovery of a suspected personal data breach. It guides the assessment of whether notification to the ICO and/or affected individuals is required under UK GDPR Articles 33 and 34.</w:t>
      </w:r>
    </w:p>
    <w:p>
      <w:pPr>
        <w:spacing w:before="100" w:after="100"/>
      </w:pPr>
      <w:r>
        <w:t xml:space="preserve"/>
      </w:r>
    </w:p>
    <w:p>
      <w:pPr>
        <w:spacing w:before="60" w:after="60"/>
      </w:pPr>
      <w:r>
        <w:rPr>
          <w:rFonts w:ascii="Arial" w:cs="Arial" w:eastAsia="Arial" w:hAnsi="Arial"/>
          <w:b/>
          <w:bCs/>
          <w:color w:val="1A1A1A"/>
          <w:sz w:val="20"/>
          <w:szCs w:val="20"/>
        </w:rPr>
        <w:t xml:space="preserve">Definition: A personal data breach is a breach of security leading to the accidental or unlawful destruction, loss, alteration, unauthorised disclosure of, or access to, personal data.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Assessment Question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Answer</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Guidance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Is personal data involved?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Yes /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If No — not a personal data breach under UK GDPR. Treat as security incident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Has data been lost, destroyed, altered, disclosed, or accessed without authorisation?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Yes /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If Yes — this is a personal data breach. Continue assessment.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What categories of personal data are affected?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[List categories]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Special category data (health, race, religion, etc.) increases severity significantly.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How many individuals are potentially affected?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[Number / Estimate]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Volume affects severity and notification obligations.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Is there a risk of harm to affected individuals?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Yes / No / Unknown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Consider: financial loss, discrimination, reputational damage, physical harm, loss of control over personal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Is the risk of harm likely to be HIGH?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Yes /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If Yes — must notify affected individuals directly (Art.34). If No — assess whether ICO notification required.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Is the risk of harm likely?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Yes / 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If Yes — must notify ICO within 72 hours of becoming aware (Art.33). If No — document decision and rationale; no notification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When did the breach occur / when was it discovered?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[Date/Time]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72-hour ICO notification clock starts from point of becoming aware, not from when breach occurred.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Has the breach been contained?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Yes / No / In Progress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Document containment actions taken.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i w:val="false"/>
                <w:iCs w:val="false"/>
                <w:color w:val="1A1A1A"/>
                <w:sz w:val="18"/>
                <w:szCs w:val="18"/>
              </w:rPr>
              <w:t xml:space="preserve">Has the ICO been notified (if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iCs/>
                <w:color w:val="555555"/>
                <w:sz w:val="18"/>
                <w:szCs w:val="18"/>
              </w:rPr>
              <w:t xml:space="preserve">Yes / No / N/A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Log notification reference number. Supplement with further info as available.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160"/>
              <w:bottom w:type="dxa" w:w="120"/>
              <w:right w:type="dxa" w:w="160"/>
            </w:tcMar>
          </w:tcPr>
          <w:p>
            <w:r>
              <w:rPr>
                <w:rFonts w:ascii="Arial" w:cs="Arial" w:eastAsia="Arial" w:hAnsi="Arial"/>
                <w:b/>
                <w:bCs/>
                <w:color w:val="C0392B"/>
                <w:sz w:val="20"/>
                <w:szCs w:val="20"/>
              </w:rPr>
              <w:t xml:space="preserve">UK GDPR 72-Hour Rule — Key Points</w:t>
            </w:r>
          </w:p>
          <w:p>
            <w:pPr>
              <w:spacing w:before="80"/>
            </w:pPr>
            <w:r>
              <w:rPr>
                <w:rFonts w:ascii="Arial" w:cs="Arial" w:eastAsia="Arial" w:hAnsi="Arial"/>
                <w:color w:val="5D0000"/>
                <w:sz w:val="18"/>
                <w:szCs w:val="18"/>
              </w:rPr>
              <w:t xml:space="preserve">The 72-hour clock starts when you BECOME AWARE of the breach — not when the breach occurred. Notify the ICO at ico.org.uk even if you do not have all the facts — partial notification is acceptable and can be supplemented. Document all breach decisions, including decisions NOT to notify, with clear rationale. Failure to notify when required can result in significant ICO enforcement action.</w:t>
            </w:r>
          </w:p>
        </w:tc>
      </w:tr>
    </w:tbl>
    <w:p>
      <w:r>
        <w:br w:type="page"/>
      </w:r>
    </w:p>
    <w:p>
      <w:pPr>
        <w:pStyle w:val="Heading1"/>
        <w:pBdr>
          <w:bottom w:val="single" w:color="006B6B" w:sz="4" w:space="4"/>
        </w:pBdr>
        <w:spacing w:before="320" w:after="160"/>
      </w:pPr>
      <w:r>
        <w:rPr>
          <w:rFonts w:ascii="Arial" w:cs="Arial" w:eastAsia="Arial" w:hAnsi="Arial"/>
          <w:b/>
          <w:bCs/>
          <w:color w:val="1B3A5C"/>
          <w:sz w:val="32"/>
          <w:szCs w:val="32"/>
        </w:rPr>
        <w:t xml:space="preserve">7. Document Control &amp;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March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Gareth Sutton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Initial version</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8"/>
                <w:szCs w:val="18"/>
              </w:rPr>
              <w:t xml:space="preserve"/>
            </w:r>
          </w:p>
        </w:tc>
      </w:tr>
    </w:tbl>
    <w:p>
      <w:pPr>
        <w:spacing w:before="100" w:after="100"/>
      </w:pPr>
      <w:r>
        <w:t xml:space="preserve"/>
      </w:r>
    </w:p>
    <w:p>
      <w:pPr>
        <w:spacing w:before="60" w:after="60"/>
      </w:pPr>
      <w:r>
        <w:rPr>
          <w:rFonts w:ascii="Arial" w:cs="Arial" w:eastAsia="Arial" w:hAnsi="Arial"/>
          <w:b w:val="false"/>
          <w:bCs w:val="false"/>
          <w:color w:val="1A1A1A"/>
          <w:sz w:val="20"/>
          <w:szCs w:val="20"/>
        </w:rPr>
        <w:t xml:space="preserve">This document must be reviewed annually, or following any material change to the organisation's processing activities, applicable legislation, or ICO guidance.</w:t>
      </w:r>
    </w:p>
    <w:p>
      <w:pPr>
        <w:spacing w:before="100" w:after="100"/>
      </w:pPr>
      <w:r>
        <w:t xml:space="preserve"/>
      </w:r>
    </w:p>
    <w:p>
      <w:pPr>
        <w:spacing w:before="100" w:after="100"/>
      </w:pPr>
      <w:r>
        <w:t xml:space="preserve"/>
      </w:r>
    </w:p>
    <w:p>
      <w:pPr>
        <w:pBdr>
          <w:top w:val="single" w:color="006B6B" w:sz="4" w:space="6"/>
        </w:pBdr>
        <w:spacing w:before="240" w:after="80"/>
      </w:pPr>
      <w:r>
        <w:rPr>
          <w:rFonts w:ascii="Arial" w:cs="Arial" w:eastAsia="Arial" w:hAnsi="Arial"/>
          <w:b/>
          <w:bCs/>
          <w:color w:val="1B3A5C"/>
          <w:sz w:val="22"/>
          <w:szCs w:val="22"/>
        </w:rPr>
        <w:t xml:space="preserve">Gareth Sutton</w:t>
      </w:r>
    </w:p>
    <w:p>
      <w:pPr>
        <w:spacing w:before="60" w:after="60"/>
      </w:pPr>
      <w:r>
        <w:rPr>
          <w:rFonts w:ascii="Arial" w:cs="Arial" w:eastAsia="Arial" w:hAnsi="Arial"/>
          <w:b w:val="false"/>
          <w:bCs w:val="false"/>
          <w:color w:val="1A1A1A"/>
          <w:sz w:val="20"/>
          <w:szCs w:val="20"/>
        </w:rPr>
        <w:t xml:space="preserve">Cyber Security Professional | CompTIA Security+ (SY0-701)</w:t>
      </w:r>
    </w:p>
    <w:p>
      <w:pPr>
        <w:spacing w:before="60" w:after="60"/>
      </w:pPr>
      <w:r>
        <w:rPr>
          <w:rFonts w:ascii="Arial" w:cs="Arial" w:eastAsia="Arial" w:hAnsi="Arial"/>
          <w:b w:val="false"/>
          <w:bCs w:val="false"/>
          <w:color w:val="1A1A1A"/>
          <w:sz w:val="20"/>
          <w:szCs w:val="20"/>
        </w:rPr>
        <w:t xml:space="preserve">ISO 27001 Lead Implementer (Candidate)</w:t>
      </w:r>
    </w:p>
    <w:p>
      <w:pPr>
        <w:spacing w:before="60" w:after="60"/>
      </w:pPr>
      <w:r>
        <w:rPr>
          <w:rFonts w:ascii="Arial" w:cs="Arial" w:eastAsia="Arial" w:hAnsi="Arial"/>
          <w:b w:val="false"/>
          <w:bCs w:val="false"/>
          <w:color w:val="1A1A1A"/>
          <w:sz w:val="20"/>
          <w:szCs w:val="20"/>
        </w:rPr>
        <w:t xml:space="preserve">cysecsutton@gmail.com | linkedin.com/in/gareth-sutton999</w:t>
      </w:r>
    </w:p>
    <w:p>
      <w:pPr>
        <w:spacing w:before="60" w:after="60"/>
      </w:pPr>
      <w:r>
        <w:rPr>
          <w:rFonts w:ascii="Arial" w:cs="Arial" w:eastAsia="Arial" w:hAnsi="Arial"/>
          <w:b w:val="false"/>
          <w:bCs w:val="false"/>
          <w:color w:val="1A1A1A"/>
          <w:sz w:val="20"/>
          <w:szCs w:val="20"/>
        </w:rPr>
        <w:t xml:space="preserve">March 2026</w:t>
      </w:r>
    </w:p>
    <w:sectPr>
      <w:headerReference w:type="default" r:id="rId6"/>
      <w:footerReference w:type="default" r:id="rId7"/>
      <w:pgSz w:w="16838" w:h="11906"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4"/>
      </w:pBdr>
      <w:tabs>
        <w:tab w:val="right" w:pos="9026"/>
      </w:tabs>
      <w:spacing w:before="120"/>
    </w:pPr>
    <w:r>
      <w:rPr>
        <w:rFonts w:ascii="Arial" w:cs="Arial" w:eastAsia="Arial" w:hAnsi="Arial"/>
        <w:color w:val="777777"/>
        <w:sz w:val="16"/>
        <w:szCs w:val="16"/>
      </w:rPr>
      <w:t xml:space="preserve">Prepared by Gareth Sutton | APS-GDPR-001 | March 2026</w:t>
    </w:r>
    <w:r>
      <w:rPr>
        <w:rFonts w:ascii="Arial" w:cs="Arial" w:eastAsia="Arial" w:hAnsi="Arial"/>
        <w:color w:val="777777"/>
        <w:sz w:val="16"/>
        <w:szCs w:val="16"/>
      </w:rPr>
      <w:t xml:space="preserve">	Page </w:t>
    </w:r>
    <w:fldSimple w:instr="PAGE">
      <w:r>
        <w:rPr>
          <w:rFonts w:ascii="Arial" w:cs="Arial" w:eastAsia="Arial" w:hAnsi="Arial"/>
          <w:color w:val="777777"/>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4"/>
      </w:pBdr>
      <w:tabs>
        <w:tab w:val="right" w:pos="9026"/>
      </w:tabs>
      <w:spacing w:after="120"/>
    </w:pPr>
    <w:r>
      <w:rPr>
        <w:rFonts w:ascii="Arial" w:cs="Arial" w:eastAsia="Arial" w:hAnsi="Arial"/>
        <w:b/>
        <w:bCs/>
        <w:color w:val="1B3A5C"/>
        <w:sz w:val="18"/>
        <w:szCs w:val="18"/>
      </w:rPr>
      <w:t xml:space="preserve">UK GDPR Data Audit &amp; DPIA Template — Acme Professional Services Ltd</w:t>
    </w:r>
    <w:r>
      <w:rPr>
        <w:rFonts w:ascii="Arial" w:cs="Arial" w:eastAsia="Arial" w:hAnsi="Arial"/>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6B6B"/>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A23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2026-03-26T15:02:37.288Z</dcterms:created>
  <dcterms:modified xsi:type="dcterms:W3CDTF">2026-03-26T15:02:37.288Z</dcterms:modified>
</cp:coreProperties>
</file>

<file path=docProps/custom.xml><?xml version="1.0" encoding="utf-8"?>
<Properties xmlns="http://schemas.openxmlformats.org/officeDocument/2006/custom-properties" xmlns:vt="http://schemas.openxmlformats.org/officeDocument/2006/docPropsVTypes"/>
</file>