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B3A5C"/>
          <w:sz w:val="52"/>
          <w:szCs w:val="52"/>
        </w:rPr>
        <w:t xml:space="preserve">ISO/IEC 27001:2022</w:t>
      </w:r>
    </w:p>
    <w:p>
      <w:pPr>
        <w:spacing w:before="0" w:after="160"/>
        <w:jc w:val="center"/>
      </w:pPr>
      <w:r>
        <w:rPr>
          <w:rFonts w:ascii="Arial" w:cs="Arial" w:eastAsia="Arial" w:hAnsi="Arial"/>
          <w:color w:val="006B6B"/>
          <w:sz w:val="32"/>
          <w:szCs w:val="32"/>
        </w:rPr>
        <w:t xml:space="preserve">Information Security Management System</w:t>
      </w:r>
    </w:p>
    <w:p>
      <w:pPr>
        <w:spacing w:before="0" w:after="600"/>
        <w:jc w:val="center"/>
      </w:pPr>
      <w:r>
        <w:rPr>
          <w:rFonts w:ascii="Arial" w:cs="Arial" w:eastAsia="Arial" w:hAnsi="Arial"/>
          <w:b/>
          <w:bCs/>
          <w:color w:val="1B3A5C"/>
          <w:sz w:val="44"/>
          <w:szCs w:val="44"/>
        </w:rPr>
        <w:t xml:space="preserve">GAP ANALYSIS REPORT</w:t>
      </w:r>
    </w:p>
    <w:p>
      <w:pPr>
        <w:spacing w:before="0" w:after="200"/>
        <w:jc w:val="center"/>
      </w:pPr>
      <w:r>
        <w:rPr>
          <w:rFonts w:ascii="Arial" w:cs="Arial" w:eastAsia="Arial" w:hAnsi="Arial"/>
          <w:b/>
          <w:bCs/>
          <w:color w:val="1A1A1A"/>
          <w:sz w:val="32"/>
          <w:szCs w:val="32"/>
        </w:rPr>
        <w:t xml:space="preserve">The Langdale Estate</w:t>
      </w:r>
    </w:p>
    <w:p>
      <w:pPr>
        <w:spacing w:before="0" w:after="80"/>
        <w:jc w:val="center"/>
      </w:pPr>
      <w:r>
        <w:rPr>
          <w:rFonts w:ascii="Arial" w:cs="Arial" w:eastAsia="Arial" w:hAnsi="Arial"/>
          <w:color w:val="555555"/>
          <w:sz w:val="22"/>
          <w:szCs w:val="22"/>
        </w:rPr>
        <w:t xml:space="preserve">Great Langdale, Ambleside, Cumbria, LA22 9JD</w:t>
      </w:r>
    </w:p>
    <w:p>
      <w:pPr>
        <w:spacing w:before="0" w:after="600"/>
        <w:jc w:val="center"/>
      </w:pPr>
      <w:r>
        <w:rPr>
          <w:rFonts w:ascii="Arial" w:cs="Arial" w:eastAsia="Arial" w:hAnsi="Arial"/>
          <w:i/>
          <w:iCs/>
          <w:color w:val="555555"/>
          <w:sz w:val="22"/>
          <w:szCs w:val="22"/>
        </w:rPr>
        <w:t xml:space="preserve">4-Star Luxury Hotel, Spa &amp; Self-Catering Resort</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800"/>
        <w:gridCol w:w="2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Organisation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The Langdale Estate (Langdale Hotel &amp; Spa)</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Document Ref</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LDE-ISMS-GAP-001</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Assessment 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March 2026</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Version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1.0</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Prepared By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Gareth Sutton</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Status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Final</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Standard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ISO/IEC 27001:2022</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Classification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Confidential</w:t>
            </w:r>
          </w:p>
        </w:tc>
      </w:tr>
    </w:tbl>
    <w:p>
      <w:pPr>
        <w:spacing w:before="600" w:after="120"/>
        <w:jc w:val="center"/>
      </w:pPr>
      <w:r>
        <w:rPr>
          <w:rFonts w:ascii="Arial" w:cs="Arial" w:eastAsia="Arial" w:hAnsi="Arial"/>
          <w:color w:val="555555"/>
          <w:sz w:val="20"/>
          <w:szCs w:val="20"/>
        </w:rPr>
        <w:t xml:space="preserve">Prepared by:</w:t>
      </w:r>
    </w:p>
    <w:p>
      <w:pPr>
        <w:spacing w:before="0" w:after="80"/>
        <w:jc w:val="center"/>
      </w:pPr>
      <w:r>
        <w:rPr>
          <w:rFonts w:ascii="Arial" w:cs="Arial" w:eastAsia="Arial" w:hAnsi="Arial"/>
          <w:b/>
          <w:bCs/>
          <w:color w:val="1B3A5C"/>
          <w:sz w:val="26"/>
          <w:szCs w:val="26"/>
        </w:rPr>
        <w:t xml:space="preserve">Gareth Sutton</w:t>
      </w:r>
    </w:p>
    <w:p>
      <w:pPr>
        <w:spacing w:before="0" w:after="80"/>
        <w:jc w:val="center"/>
      </w:pPr>
      <w:r>
        <w:rPr>
          <w:rFonts w:ascii="Arial" w:cs="Arial" w:eastAsia="Arial" w:hAnsi="Arial"/>
          <w:color w:val="555555"/>
          <w:sz w:val="20"/>
          <w:szCs w:val="20"/>
        </w:rPr>
        <w:t xml:space="preserve">Cyber Security Professional | CompTIA Security+ (SY0-701)</w:t>
      </w:r>
    </w:p>
    <w:p>
      <w:pPr>
        <w:spacing w:before="0" w:after="80"/>
        <w:jc w:val="center"/>
      </w:pPr>
      <w:r>
        <w:rPr>
          <w:rFonts w:ascii="Arial" w:cs="Arial" w:eastAsia="Arial" w:hAnsi="Arial"/>
          <w:color w:val="555555"/>
          <w:sz w:val="20"/>
          <w:szCs w:val="20"/>
        </w:rPr>
        <w:t xml:space="preserve">ISO 27001 Lead Implementer (Candidate) | GRC Specialist</w:t>
      </w:r>
    </w:p>
    <w:p>
      <w:pPr>
        <w:spacing w:before="0" w:after="80"/>
        <w:jc w:val="center"/>
      </w:pPr>
      <w:r>
        <w:rPr>
          <w:rFonts w:ascii="Arial" w:cs="Arial" w:eastAsia="Arial" w:hAnsi="Arial"/>
          <w:color w:val="006B6B"/>
          <w:sz w:val="20"/>
          <w:szCs w:val="20"/>
        </w:rPr>
        <w:t xml:space="preserve">cysecsutton@gmail.com</w:t>
      </w:r>
    </w:p>
    <w:p>
      <w:r>
        <w:br w:type="page"/>
      </w:r>
    </w:p>
    <w:p>
      <w:pPr>
        <w:pStyle w:val="Heading1"/>
        <w:pBdr>
          <w:bottom w:val="single" w:color="006B6B" w:sz="4" w:space="4"/>
        </w:pBdr>
        <w:spacing w:before="320" w:after="160"/>
      </w:pPr>
      <w:r>
        <w:rPr>
          <w:rFonts w:ascii="Arial" w:cs="Arial" w:eastAsia="Arial" w:hAnsi="Arial"/>
          <w:b/>
          <w:bCs/>
          <w:color w:val="1B3A5C"/>
          <w:sz w:val="32"/>
          <w:szCs w:val="32"/>
        </w:rPr>
        <w:t xml:space="preserve">1. Executive Summary</w:t>
      </w:r>
    </w:p>
    <w:p>
      <w:pPr>
        <w:spacing w:before="60" w:after="60"/>
      </w:pPr>
      <w:r>
        <w:rPr>
          <w:rFonts w:ascii="Arial" w:cs="Arial" w:eastAsia="Arial" w:hAnsi="Arial"/>
          <w:b w:val="false"/>
          <w:bCs w:val="false"/>
          <w:color w:val="1A1A1A"/>
          <w:sz w:val="20"/>
          <w:szCs w:val="20"/>
        </w:rPr>
        <w:t xml:space="preserve">This report presents the findings of an ISO/IEC 27001:2022 gap analysis conducted against The Langdale Estate — a 4-star luxury hospitality business operating from a 35-acre estate in Great Langdale, Cumbria. The estate encompasses a hotel, spa, self-catering lodges, two restaurants, and a traditional Lakeland pub across multiple buildings and a dispersed physical footprint.</w:t>
      </w:r>
    </w:p>
    <w:p>
      <w:pPr>
        <w:spacing w:before="120" w:after="120"/>
      </w:pPr>
      <w:r>
        <w:t xml:space="preserve"/>
      </w:r>
    </w:p>
    <w:p>
      <w:pPr>
        <w:spacing w:before="60" w:after="60"/>
      </w:pPr>
      <w:r>
        <w:rPr>
          <w:rFonts w:ascii="Arial" w:cs="Arial" w:eastAsia="Arial" w:hAnsi="Arial"/>
          <w:b w:val="false"/>
          <w:bCs w:val="false"/>
          <w:color w:val="1A1A1A"/>
          <w:sz w:val="20"/>
          <w:szCs w:val="20"/>
        </w:rPr>
        <w:t xml:space="preserve">The assessment evaluated the organisation's current information security posture against all clauses of ISO 27001:2022 (Clauses 4–10) and Annex A controls. The analysis is based on publicly available operational information, known hospitality sector data processing activities, and standard infrastructure assumptions for an estate of this scale and complexity.</w:t>
      </w:r>
    </w:p>
    <w:p>
      <w:pPr>
        <w:spacing w:before="120" w:after="120"/>
      </w:pPr>
      <w:r>
        <w:t xml:space="preserve"/>
      </w:r>
    </w:p>
    <w:p>
      <w:pPr>
        <w:spacing w:before="60" w:after="60"/>
      </w:pPr>
      <w:r>
        <w:rPr>
          <w:rFonts w:ascii="Arial" w:cs="Arial" w:eastAsia="Arial" w:hAnsi="Arial"/>
          <w:b/>
          <w:bCs/>
          <w:color w:val="1A1A1A"/>
          <w:sz w:val="20"/>
          <w:szCs w:val="20"/>
        </w:rPr>
        <w:t xml:space="preserve">Key findings are as follows: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Conformance Status</w:t>
            </w:r>
          </w:p>
        </w:tc>
        <w:tc>
          <w:tcPr>
            <w:tcW w:type="dxa" w:w="21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Count</w:t>
            </w:r>
          </w:p>
        </w:tc>
        <w:tc>
          <w:tcPr>
            <w:tcW w:type="dxa" w:w="21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 of Clauses</w:t>
            </w:r>
          </w:p>
        </w:tc>
      </w:tr>
      <w:tr>
        <w:tc>
          <w:tcPr>
            <w:tcW w:type="dxa" w:w="5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Non-Conformity</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6</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55%</w:t>
            </w:r>
          </w:p>
        </w:tc>
      </w:tr>
      <w:tr>
        <w:tc>
          <w:tcPr>
            <w:tcW w:type="dxa" w:w="5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jc w:val="left"/>
            </w:pPr>
            <w:r>
              <w:rPr>
                <w:rFonts w:ascii="Arial" w:cs="Arial" w:eastAsia="Arial" w:hAnsi="Arial"/>
                <w:b/>
                <w:bCs/>
                <w:i w:val="false"/>
                <w:iCs w:val="false"/>
                <w:color w:val="935116"/>
                <w:sz w:val="18"/>
                <w:szCs w:val="18"/>
              </w:rPr>
              <w:t xml:space="preserve">Partial</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4</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36%</w:t>
            </w:r>
          </w:p>
        </w:tc>
      </w:tr>
      <w:tr>
        <w:tc>
          <w:tcPr>
            <w:tcW w:type="dxa" w:w="5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bCs/>
                <w:i w:val="false"/>
                <w:iCs w:val="false"/>
                <w:color w:val="1E8449"/>
                <w:sz w:val="18"/>
                <w:szCs w:val="18"/>
              </w:rPr>
              <w:t xml:space="preserve">Conforming</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1</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9%</w:t>
            </w:r>
          </w:p>
        </w:tc>
      </w:tr>
    </w:tbl>
    <w:p>
      <w:pPr>
        <w:spacing w:before="120" w:after="120"/>
      </w:pPr>
      <w:r>
        <w:t xml:space="preserve"/>
      </w:r>
    </w:p>
    <w:p>
      <w:pPr>
        <w:spacing w:before="60" w:after="60"/>
      </w:pPr>
      <w:r>
        <w:rPr>
          <w:rFonts w:ascii="Arial" w:cs="Arial" w:eastAsia="Arial" w:hAnsi="Arial"/>
          <w:b w:val="false"/>
          <w:bCs w:val="false"/>
          <w:color w:val="1A1A1A"/>
          <w:sz w:val="20"/>
          <w:szCs w:val="20"/>
        </w:rPr>
        <w:t xml:space="preserve">The Langdale Estate demonstrates a baseline level of physical security awareness, operational resilience (as befits an established hospitality business), and some ad-hoc data handling practices. However, the organisation currently lacks a formally documented Information Security Management System (ISMS), defined security policies, a risk assessment methodology, or formal oversight of information security at leadership level. These represent significant gaps that must be addressed as a priority before ISO 27001 certification can be pursued.</w:t>
      </w:r>
    </w:p>
    <w:p>
      <w:pPr>
        <w:spacing w:before="120" w:after="120"/>
      </w:pPr>
      <w:r>
        <w:t xml:space="preserve"/>
      </w:r>
    </w:p>
    <w:p>
      <w:pPr>
        <w:spacing w:before="60" w:after="60"/>
      </w:pPr>
      <w:r>
        <w:rPr>
          <w:rFonts w:ascii="Arial" w:cs="Arial" w:eastAsia="Arial" w:hAnsi="Arial"/>
          <w:b w:val="false"/>
          <w:bCs w:val="false"/>
          <w:color w:val="1A1A1A"/>
          <w:sz w:val="20"/>
          <w:szCs w:val="20"/>
        </w:rPr>
        <w:t xml:space="preserve">An 18-month phased remediation roadmap is provided in Section 5 of this report.</w:t>
      </w:r>
    </w:p>
    <w:p>
      <w:r>
        <w:br w:type="page"/>
      </w:r>
    </w:p>
    <w:p>
      <w:pPr>
        <w:pStyle w:val="Heading1"/>
        <w:pBdr>
          <w:bottom w:val="single" w:color="006B6B" w:sz="4" w:space="4"/>
        </w:pBdr>
        <w:spacing w:before="320" w:after="160"/>
      </w:pPr>
      <w:r>
        <w:rPr>
          <w:rFonts w:ascii="Arial" w:cs="Arial" w:eastAsia="Arial" w:hAnsi="Arial"/>
          <w:b/>
          <w:bCs/>
          <w:color w:val="1B3A5C"/>
          <w:sz w:val="32"/>
          <w:szCs w:val="32"/>
        </w:rPr>
        <w:t xml:space="preserve">2. Scope &amp; Methodology</w:t>
      </w:r>
    </w:p>
    <w:p>
      <w:pPr>
        <w:pStyle w:val="Heading2"/>
        <w:spacing w:before="240" w:after="120"/>
      </w:pPr>
      <w:r>
        <w:rPr>
          <w:rFonts w:ascii="Arial" w:cs="Arial" w:eastAsia="Arial" w:hAnsi="Arial"/>
          <w:b/>
          <w:bCs/>
          <w:color w:val="006B6B"/>
          <w:sz w:val="24"/>
          <w:szCs w:val="24"/>
        </w:rPr>
        <w:t xml:space="preserve">2.1 Organisation Overview</w:t>
      </w:r>
    </w:p>
    <w:p>
      <w:pPr>
        <w:spacing w:before="60" w:after="60"/>
      </w:pPr>
      <w:r>
        <w:rPr>
          <w:rFonts w:ascii="Arial" w:cs="Arial" w:eastAsia="Arial" w:hAnsi="Arial"/>
          <w:b w:val="false"/>
          <w:bCs w:val="false"/>
          <w:color w:val="1A1A1A"/>
          <w:sz w:val="20"/>
          <w:szCs w:val="20"/>
        </w:rPr>
        <w:t xml:space="preserve">The Langdale Estate is a privately-owned luxury hospitality business located in Great Langdale, Cumbria, within the Lake District National Park. The estate operates the following business units:</w:t>
      </w:r>
    </w:p>
    <w:p>
      <w:pPr>
        <w:spacing w:before="120" w:after="120"/>
      </w:pPr>
      <w:r>
        <w:t xml:space="preserve"/>
      </w:r>
    </w:p>
    <w:p>
      <w:pPr>
        <w:pStyle w:val="ListParagraph"/>
        <w:numPr>
          <w:ilvl w:val="0"/>
          <w:numId w:val="2"/>
        </w:numPr>
        <w:spacing w:before="40" w:after="40"/>
      </w:pPr>
      <w:r>
        <w:rPr>
          <w:rFonts w:ascii="Arial" w:cs="Arial" w:eastAsia="Arial" w:hAnsi="Arial"/>
          <w:color w:val="1A1A1A"/>
          <w:sz w:val="20"/>
          <w:szCs w:val="20"/>
        </w:rPr>
        <w:t xml:space="preserve">Langdale Hotel — 52–56 hotel bedrooms across multiple historic estate buildings</w:t>
      </w:r>
    </w:p>
    <w:p>
      <w:pPr>
        <w:pStyle w:val="ListParagraph"/>
        <w:numPr>
          <w:ilvl w:val="0"/>
          <w:numId w:val="2"/>
        </w:numPr>
        <w:spacing w:before="40" w:after="40"/>
      </w:pPr>
      <w:r>
        <w:rPr>
          <w:rFonts w:ascii="Arial" w:cs="Arial" w:eastAsia="Arial" w:hAnsi="Arial"/>
          <w:color w:val="1A1A1A"/>
          <w:sz w:val="20"/>
          <w:szCs w:val="20"/>
        </w:rPr>
        <w:t xml:space="preserve">Brimstone Spa — adult-exclusive luxury spa with thermal experience rooms and treatment facilities</w:t>
      </w:r>
    </w:p>
    <w:p>
      <w:pPr>
        <w:pStyle w:val="ListParagraph"/>
        <w:numPr>
          <w:ilvl w:val="0"/>
          <w:numId w:val="2"/>
        </w:numPr>
        <w:spacing w:before="40" w:after="40"/>
      </w:pPr>
      <w:r>
        <w:rPr>
          <w:rFonts w:ascii="Arial" w:cs="Arial" w:eastAsia="Arial" w:hAnsi="Arial"/>
          <w:color w:val="1A1A1A"/>
          <w:sz w:val="20"/>
          <w:szCs w:val="20"/>
        </w:rPr>
        <w:t xml:space="preserve">Fitness &amp; Leisure Centre — 20m indoor pool, gym, sauna, hot tub, and health &amp; beauty salon</w:t>
      </w:r>
    </w:p>
    <w:p>
      <w:pPr>
        <w:pStyle w:val="ListParagraph"/>
        <w:numPr>
          <w:ilvl w:val="0"/>
          <w:numId w:val="2"/>
        </w:numPr>
        <w:spacing w:before="40" w:after="40"/>
      </w:pPr>
      <w:r>
        <w:rPr>
          <w:rFonts w:ascii="Arial" w:cs="Arial" w:eastAsia="Arial" w:hAnsi="Arial"/>
          <w:color w:val="1A1A1A"/>
          <w:sz w:val="20"/>
          <w:szCs w:val="20"/>
        </w:rPr>
        <w:t xml:space="preserve">Stove Restaurant &amp; Bar — on-estate modern Cumbrian dining</w:t>
      </w:r>
    </w:p>
    <w:p>
      <w:pPr>
        <w:pStyle w:val="ListParagraph"/>
        <w:numPr>
          <w:ilvl w:val="0"/>
          <w:numId w:val="2"/>
        </w:numPr>
        <w:spacing w:before="40" w:after="40"/>
      </w:pPr>
      <w:r>
        <w:rPr>
          <w:rFonts w:ascii="Arial" w:cs="Arial" w:eastAsia="Arial" w:hAnsi="Arial"/>
          <w:color w:val="1A1A1A"/>
          <w:sz w:val="20"/>
          <w:szCs w:val="20"/>
        </w:rPr>
        <w:t xml:space="preserve">Wainwrights' Inn — traditional Lakeland pub at Chapel Stile</w:t>
      </w:r>
    </w:p>
    <w:p>
      <w:pPr>
        <w:pStyle w:val="ListParagraph"/>
        <w:numPr>
          <w:ilvl w:val="0"/>
          <w:numId w:val="2"/>
        </w:numPr>
        <w:spacing w:before="40" w:after="40"/>
      </w:pPr>
      <w:r>
        <w:rPr>
          <w:rFonts w:ascii="Arial" w:cs="Arial" w:eastAsia="Arial" w:hAnsi="Arial"/>
          <w:color w:val="1A1A1A"/>
          <w:sz w:val="20"/>
          <w:szCs w:val="20"/>
        </w:rPr>
        <w:t xml:space="preserve">Scandinavian Lodges — self-catering accommodation units across the 35-acre estate</w:t>
      </w:r>
    </w:p>
    <w:p>
      <w:pPr>
        <w:pStyle w:val="ListParagraph"/>
        <w:numPr>
          <w:ilvl w:val="0"/>
          <w:numId w:val="2"/>
        </w:numPr>
        <w:spacing w:before="40" w:after="40"/>
      </w:pPr>
      <w:r>
        <w:rPr>
          <w:rFonts w:ascii="Arial" w:cs="Arial" w:eastAsia="Arial" w:hAnsi="Arial"/>
          <w:color w:val="1A1A1A"/>
          <w:sz w:val="20"/>
          <w:szCs w:val="20"/>
        </w:rPr>
        <w:t xml:space="preserve">Meetings &amp; Events — conferencing and wedding venue operations</w:t>
      </w:r>
    </w:p>
    <w:p>
      <w:pPr>
        <w:spacing w:before="120" w:after="120"/>
      </w:pPr>
      <w:r>
        <w:t xml:space="preserve"/>
      </w:r>
    </w:p>
    <w:p>
      <w:pPr>
        <w:spacing w:before="60" w:after="60"/>
      </w:pPr>
      <w:r>
        <w:rPr>
          <w:rFonts w:ascii="Arial" w:cs="Arial" w:eastAsia="Arial" w:hAnsi="Arial"/>
          <w:b w:val="false"/>
          <w:bCs w:val="false"/>
          <w:color w:val="1A1A1A"/>
          <w:sz w:val="20"/>
          <w:szCs w:val="20"/>
        </w:rPr>
        <w:t xml:space="preserve">The estate processes significant volumes of personal and payment data including guest booking information, credit and debit card data, spa membership records, employee HR data, and supplier contracts. It relies on a range of technology systems including Property Management Systems (PMS), online booking platforms, Wi-Fi networks across multiple buildings, payment processing terminals, and CCTV.</w:t>
      </w:r>
    </w:p>
    <w:p>
      <w:pPr>
        <w:spacing w:before="120" w:after="120"/>
      </w:pPr>
      <w:r>
        <w:t xml:space="preserve"/>
      </w:r>
    </w:p>
    <w:p>
      <w:pPr>
        <w:pStyle w:val="Heading2"/>
        <w:spacing w:before="240" w:after="120"/>
      </w:pPr>
      <w:r>
        <w:rPr>
          <w:rFonts w:ascii="Arial" w:cs="Arial" w:eastAsia="Arial" w:hAnsi="Arial"/>
          <w:b/>
          <w:bCs/>
          <w:color w:val="006B6B"/>
          <w:sz w:val="24"/>
          <w:szCs w:val="24"/>
        </w:rPr>
        <w:t xml:space="preserve">2.2 Assessment Scope</w:t>
      </w:r>
    </w:p>
    <w:p>
      <w:pPr>
        <w:spacing w:before="60" w:after="60"/>
      </w:pPr>
      <w:r>
        <w:rPr>
          <w:rFonts w:ascii="Arial" w:cs="Arial" w:eastAsia="Arial" w:hAnsi="Arial"/>
          <w:b w:val="false"/>
          <w:bCs w:val="false"/>
          <w:color w:val="1A1A1A"/>
          <w:sz w:val="20"/>
          <w:szCs w:val="20"/>
        </w:rPr>
        <w:t xml:space="preserve">This gap analysis covers the following in-scope areas:</w:t>
      </w:r>
    </w:p>
    <w:p>
      <w:pPr>
        <w:pStyle w:val="ListParagraph"/>
        <w:numPr>
          <w:ilvl w:val="0"/>
          <w:numId w:val="2"/>
        </w:numPr>
        <w:spacing w:before="40" w:after="40"/>
      </w:pPr>
      <w:r>
        <w:rPr>
          <w:rFonts w:ascii="Arial" w:cs="Arial" w:eastAsia="Arial" w:hAnsi="Arial"/>
          <w:color w:val="1A1A1A"/>
          <w:sz w:val="20"/>
          <w:szCs w:val="20"/>
        </w:rPr>
        <w:t xml:space="preserve">All information assets associated with guest, staff, and operational data</w:t>
      </w:r>
    </w:p>
    <w:p>
      <w:pPr>
        <w:pStyle w:val="ListParagraph"/>
        <w:numPr>
          <w:ilvl w:val="0"/>
          <w:numId w:val="2"/>
        </w:numPr>
        <w:spacing w:before="40" w:after="40"/>
      </w:pPr>
      <w:r>
        <w:rPr>
          <w:rFonts w:ascii="Arial" w:cs="Arial" w:eastAsia="Arial" w:hAnsi="Arial"/>
          <w:color w:val="1A1A1A"/>
          <w:sz w:val="20"/>
          <w:szCs w:val="20"/>
        </w:rPr>
        <w:t xml:space="preserve">Technology infrastructure across the main hotel, spa, restaurant, and lodge operations</w:t>
      </w:r>
    </w:p>
    <w:p>
      <w:pPr>
        <w:pStyle w:val="ListParagraph"/>
        <w:numPr>
          <w:ilvl w:val="0"/>
          <w:numId w:val="2"/>
        </w:numPr>
        <w:spacing w:before="40" w:after="40"/>
      </w:pPr>
      <w:r>
        <w:rPr>
          <w:rFonts w:ascii="Arial" w:cs="Arial" w:eastAsia="Arial" w:hAnsi="Arial"/>
          <w:color w:val="1A1A1A"/>
          <w:sz w:val="20"/>
          <w:szCs w:val="20"/>
        </w:rPr>
        <w:t xml:space="preserve">Third-party relationships including booking platforms, payment processors, and spa management systems</w:t>
      </w:r>
    </w:p>
    <w:p>
      <w:pPr>
        <w:pStyle w:val="ListParagraph"/>
        <w:numPr>
          <w:ilvl w:val="0"/>
          <w:numId w:val="2"/>
        </w:numPr>
        <w:spacing w:before="40" w:after="40"/>
      </w:pPr>
      <w:r>
        <w:rPr>
          <w:rFonts w:ascii="Arial" w:cs="Arial" w:eastAsia="Arial" w:hAnsi="Arial"/>
          <w:color w:val="1A1A1A"/>
          <w:sz w:val="20"/>
          <w:szCs w:val="20"/>
        </w:rPr>
        <w:t xml:space="preserve">Physical security of all estate buildings and access points</w:t>
      </w:r>
    </w:p>
    <w:p>
      <w:pPr>
        <w:pStyle w:val="ListParagraph"/>
        <w:numPr>
          <w:ilvl w:val="0"/>
          <w:numId w:val="2"/>
        </w:numPr>
        <w:spacing w:before="40" w:after="40"/>
      </w:pPr>
      <w:r>
        <w:rPr>
          <w:rFonts w:ascii="Arial" w:cs="Arial" w:eastAsia="Arial" w:hAnsi="Arial"/>
          <w:color w:val="1A1A1A"/>
          <w:sz w:val="20"/>
          <w:szCs w:val="20"/>
        </w:rPr>
        <w:t xml:space="preserve">HR and staff management processes as they relate to information security</w:t>
      </w:r>
    </w:p>
    <w:p>
      <w:pPr>
        <w:spacing w:before="120" w:after="120"/>
      </w:pPr>
      <w:r>
        <w:t xml:space="preserve"/>
      </w:r>
    </w:p>
    <w:p>
      <w:pPr>
        <w:pStyle w:val="Heading2"/>
        <w:spacing w:before="240" w:after="120"/>
      </w:pPr>
      <w:r>
        <w:rPr>
          <w:rFonts w:ascii="Arial" w:cs="Arial" w:eastAsia="Arial" w:hAnsi="Arial"/>
          <w:b/>
          <w:bCs/>
          <w:color w:val="006B6B"/>
          <w:sz w:val="24"/>
          <w:szCs w:val="24"/>
        </w:rPr>
        <w:t xml:space="preserve">2.3 Methodology</w:t>
      </w:r>
    </w:p>
    <w:p>
      <w:pPr>
        <w:spacing w:before="60" w:after="60"/>
      </w:pPr>
      <w:r>
        <w:rPr>
          <w:rFonts w:ascii="Arial" w:cs="Arial" w:eastAsia="Arial" w:hAnsi="Arial"/>
          <w:b w:val="false"/>
          <w:bCs w:val="false"/>
          <w:color w:val="1A1A1A"/>
          <w:sz w:val="20"/>
          <w:szCs w:val="20"/>
        </w:rPr>
        <w:t xml:space="preserve">The assessment was conducted using the following approach:</w:t>
      </w:r>
    </w:p>
    <w:p>
      <w:pPr>
        <w:pStyle w:val="ListParagraph"/>
        <w:numPr>
          <w:ilvl w:val="0"/>
          <w:numId w:val="2"/>
        </w:numPr>
        <w:spacing w:before="40" w:after="40"/>
      </w:pPr>
      <w:r>
        <w:rPr>
          <w:rFonts w:ascii="Arial" w:cs="Arial" w:eastAsia="Arial" w:hAnsi="Arial"/>
          <w:color w:val="1A1A1A"/>
          <w:sz w:val="20"/>
          <w:szCs w:val="20"/>
        </w:rPr>
        <w:t xml:space="preserve">Clause-by-clause evaluation against ISO/IEC 27001:2022 (Clauses 4–10 and Annex A)</w:t>
      </w:r>
    </w:p>
    <w:p>
      <w:pPr>
        <w:pStyle w:val="ListParagraph"/>
        <w:numPr>
          <w:ilvl w:val="0"/>
          <w:numId w:val="2"/>
        </w:numPr>
        <w:spacing w:before="40" w:after="40"/>
      </w:pPr>
      <w:r>
        <w:rPr>
          <w:rFonts w:ascii="Arial" w:cs="Arial" w:eastAsia="Arial" w:hAnsi="Arial"/>
          <w:color w:val="1A1A1A"/>
          <w:sz w:val="20"/>
          <w:szCs w:val="20"/>
        </w:rPr>
        <w:t xml:space="preserve">Assessment of conformance status: Conforming / Partial / Non-Conformity / Not Applicable</w:t>
      </w:r>
    </w:p>
    <w:p>
      <w:pPr>
        <w:pStyle w:val="ListParagraph"/>
        <w:numPr>
          <w:ilvl w:val="0"/>
          <w:numId w:val="2"/>
        </w:numPr>
        <w:spacing w:before="40" w:after="40"/>
      </w:pPr>
      <w:r>
        <w:rPr>
          <w:rFonts w:ascii="Arial" w:cs="Arial" w:eastAsia="Arial" w:hAnsi="Arial"/>
          <w:color w:val="1A1A1A"/>
          <w:sz w:val="20"/>
          <w:szCs w:val="20"/>
        </w:rPr>
        <w:t xml:space="preserve">Identification of specific gaps and non-conformities within each clause</w:t>
      </w:r>
    </w:p>
    <w:p>
      <w:pPr>
        <w:pStyle w:val="ListParagraph"/>
        <w:numPr>
          <w:ilvl w:val="0"/>
          <w:numId w:val="2"/>
        </w:numPr>
        <w:spacing w:before="40" w:after="40"/>
      </w:pPr>
      <w:r>
        <w:rPr>
          <w:rFonts w:ascii="Arial" w:cs="Arial" w:eastAsia="Arial" w:hAnsi="Arial"/>
          <w:color w:val="1A1A1A"/>
          <w:sz w:val="20"/>
          <w:szCs w:val="20"/>
        </w:rPr>
        <w:t xml:space="preserve">Risk-prioritised remediation recommendations</w:t>
      </w:r>
    </w:p>
    <w:p>
      <w:pPr>
        <w:pStyle w:val="ListParagraph"/>
        <w:numPr>
          <w:ilvl w:val="0"/>
          <w:numId w:val="2"/>
        </w:numPr>
        <w:spacing w:before="40" w:after="40"/>
      </w:pPr>
      <w:r>
        <w:rPr>
          <w:rFonts w:ascii="Arial" w:cs="Arial" w:eastAsia="Arial" w:hAnsi="Arial"/>
          <w:color w:val="1A1A1A"/>
          <w:sz w:val="20"/>
          <w:szCs w:val="20"/>
        </w:rPr>
        <w:t xml:space="preserve">Production of a phased implementation roadmap</w:t>
      </w:r>
    </w:p>
    <w:p>
      <w:pPr>
        <w:spacing w:before="120" w:after="120"/>
      </w:pPr>
      <w:r>
        <w:t xml:space="preserve"/>
      </w:r>
    </w:p>
    <w:p>
      <w:pPr>
        <w:spacing w:before="60" w:after="60"/>
      </w:pPr>
      <w:r>
        <w:rPr>
          <w:rFonts w:ascii="Arial" w:cs="Arial" w:eastAsia="Arial" w:hAnsi="Arial"/>
          <w:b/>
          <w:bCs/>
          <w:color w:val="1A1A1A"/>
          <w:sz w:val="20"/>
          <w:szCs w:val="20"/>
        </w:rPr>
        <w:t xml:space="preserve">Conformance ratings are defined as follows: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Status</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Definition</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bCs/>
                <w:i w:val="false"/>
                <w:iCs w:val="false"/>
                <w:color w:val="1E8449"/>
                <w:sz w:val="18"/>
                <w:szCs w:val="18"/>
              </w:rPr>
              <w:t xml:space="preserve">Conforming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Requirements of the clause are fully met with documented evidence.</w:t>
            </w:r>
          </w:p>
        </w:tc>
      </w:tr>
      <w:tr>
        <w:tc>
          <w:tcPr>
            <w:tcW w:type="dxa" w:w="2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jc w:val="left"/>
            </w:pPr>
            <w:r>
              <w:rPr>
                <w:rFonts w:ascii="Arial" w:cs="Arial" w:eastAsia="Arial" w:hAnsi="Arial"/>
                <w:b/>
                <w:bCs/>
                <w:i w:val="false"/>
                <w:iCs w:val="false"/>
                <w:color w:val="935116"/>
                <w:sz w:val="18"/>
                <w:szCs w:val="18"/>
              </w:rPr>
              <w:t xml:space="preserve">Partial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Some elements of the clause are addressed but gaps exist in documentation, implementation, or coverage.</w:t>
            </w:r>
          </w:p>
        </w:tc>
      </w:tr>
      <w:tr>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Non-Conformity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Clause requirements are not met. Significant work required prior to certification.</w:t>
            </w:r>
          </w:p>
        </w:tc>
      </w:tr>
      <w:tr>
        <w:tc>
          <w:tcPr>
            <w:tcW w:type="dxa" w:w="22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vAlign w:val="top"/>
          </w:tcPr>
          <w:p>
            <w:pPr>
              <w:jc w:val="left"/>
            </w:pPr>
            <w:r>
              <w:rPr>
                <w:rFonts w:ascii="Arial" w:cs="Arial" w:eastAsia="Arial" w:hAnsi="Arial"/>
                <w:b/>
                <w:bCs/>
                <w:i w:val="false"/>
                <w:iCs w:val="false"/>
                <w:color w:val="555555"/>
                <w:sz w:val="18"/>
                <w:szCs w:val="18"/>
              </w:rPr>
              <w:t xml:space="preserve">Not Applicable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The clause or control does not apply to the organisation's context or scope.</w:t>
            </w:r>
          </w:p>
        </w:tc>
      </w:tr>
    </w:tbl>
    <w:p>
      <w:r>
        <w:br w:type="page"/>
      </w:r>
    </w:p>
    <w:p>
      <w:pPr>
        <w:pStyle w:val="Heading1"/>
        <w:pBdr>
          <w:bottom w:val="single" w:color="006B6B" w:sz="4" w:space="4"/>
        </w:pBdr>
        <w:spacing w:before="320" w:after="160"/>
      </w:pPr>
      <w:r>
        <w:rPr>
          <w:rFonts w:ascii="Arial" w:cs="Arial" w:eastAsia="Arial" w:hAnsi="Arial"/>
          <w:b/>
          <w:bCs/>
          <w:color w:val="1B3A5C"/>
          <w:sz w:val="32"/>
          <w:szCs w:val="32"/>
        </w:rPr>
        <w:t xml:space="preserve">3. Clause-by-Clause Conformance Summary</w:t>
      </w:r>
    </w:p>
    <w:p>
      <w:pPr>
        <w:spacing w:before="60" w:after="60"/>
      </w:pPr>
      <w:r>
        <w:rPr>
          <w:rFonts w:ascii="Arial" w:cs="Arial" w:eastAsia="Arial" w:hAnsi="Arial"/>
          <w:b w:val="false"/>
          <w:bCs w:val="false"/>
          <w:color w:val="1A1A1A"/>
          <w:sz w:val="20"/>
          <w:szCs w:val="20"/>
        </w:rPr>
        <w:t xml:space="preserve">The table below provides a high-level conformance rating for each ISO 27001:2022 clause. Detailed findings for each clause are provided in Section 4.</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960"/>
        <w:gridCol w:w="2200"/>
        <w:gridCol w:w="1200"/>
        <w:gridCol w:w="140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Clause</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Title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Conformance Status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Priority</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Findings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Context of the Organisation</w:t>
            </w:r>
          </w:p>
        </w:tc>
        <w:tc>
          <w:tcPr>
            <w:tcW w:type="dxa" w:w="2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jc w:val="left"/>
            </w:pPr>
            <w:r>
              <w:rPr>
                <w:rFonts w:ascii="Arial" w:cs="Arial" w:eastAsia="Arial" w:hAnsi="Arial"/>
                <w:b/>
                <w:bCs/>
                <w:i w:val="false"/>
                <w:iCs w:val="false"/>
                <w:color w:val="935116"/>
                <w:sz w:val="18"/>
                <w:szCs w:val="18"/>
              </w:rPr>
              <w:t xml:space="preserve">Partial</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jc w:val="left"/>
            </w:pPr>
            <w:r>
              <w:rPr>
                <w:rFonts w:ascii="Arial" w:cs="Arial" w:eastAsia="Arial" w:hAnsi="Arial"/>
                <w:b/>
                <w:bCs/>
                <w:i w:val="false"/>
                <w:iCs w:val="false"/>
                <w:color w:val="935116"/>
                <w:sz w:val="18"/>
                <w:szCs w:val="18"/>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777777"/>
                <w:sz w:val="18"/>
                <w:szCs w:val="18"/>
              </w:rPr>
              <w:t xml:space="preserve">See Section 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Leadership</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Non-Conformity</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777777"/>
                <w:sz w:val="18"/>
                <w:szCs w:val="18"/>
              </w:rPr>
              <w:t xml:space="preserve">See Section 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Planning</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Non-Conformity</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777777"/>
                <w:sz w:val="18"/>
                <w:szCs w:val="18"/>
              </w:rPr>
              <w:t xml:space="preserve">See Section 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7</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Support</w:t>
            </w:r>
          </w:p>
        </w:tc>
        <w:tc>
          <w:tcPr>
            <w:tcW w:type="dxa" w:w="2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jc w:val="left"/>
            </w:pPr>
            <w:r>
              <w:rPr>
                <w:rFonts w:ascii="Arial" w:cs="Arial" w:eastAsia="Arial" w:hAnsi="Arial"/>
                <w:b/>
                <w:bCs/>
                <w:i w:val="false"/>
                <w:iCs w:val="false"/>
                <w:color w:val="935116"/>
                <w:sz w:val="18"/>
                <w:szCs w:val="18"/>
              </w:rPr>
              <w:t xml:space="preserve">Partial</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jc w:val="left"/>
            </w:pPr>
            <w:r>
              <w:rPr>
                <w:rFonts w:ascii="Arial" w:cs="Arial" w:eastAsia="Arial" w:hAnsi="Arial"/>
                <w:b/>
                <w:bCs/>
                <w:i w:val="false"/>
                <w:iCs w:val="false"/>
                <w:color w:val="935116"/>
                <w:sz w:val="18"/>
                <w:szCs w:val="18"/>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777777"/>
                <w:sz w:val="18"/>
                <w:szCs w:val="18"/>
              </w:rPr>
              <w:t xml:space="preserve">See Section 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Operation</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Non-Conformity</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777777"/>
                <w:sz w:val="18"/>
                <w:szCs w:val="18"/>
              </w:rPr>
              <w:t xml:space="preserve">See Section 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9</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Performance Evaluation</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Non-Conformity</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777777"/>
                <w:sz w:val="18"/>
                <w:szCs w:val="18"/>
              </w:rPr>
              <w:t xml:space="preserve">See Section 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10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Improvement</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Non-Conformity</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777777"/>
                <w:sz w:val="18"/>
                <w:szCs w:val="18"/>
              </w:rPr>
              <w:t xml:space="preserve">See Section 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A.5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Organisational Controls</w:t>
            </w:r>
          </w:p>
        </w:tc>
        <w:tc>
          <w:tcPr>
            <w:tcW w:type="dxa" w:w="2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jc w:val="left"/>
            </w:pPr>
            <w:r>
              <w:rPr>
                <w:rFonts w:ascii="Arial" w:cs="Arial" w:eastAsia="Arial" w:hAnsi="Arial"/>
                <w:b/>
                <w:bCs/>
                <w:i w:val="false"/>
                <w:iCs w:val="false"/>
                <w:color w:val="935116"/>
                <w:sz w:val="18"/>
                <w:szCs w:val="18"/>
              </w:rPr>
              <w:t xml:space="preserve">Partial</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777777"/>
                <w:sz w:val="18"/>
                <w:szCs w:val="18"/>
              </w:rPr>
              <w:t xml:space="preserve">See Section 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A.6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People Controls</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Non-Conformity</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777777"/>
                <w:sz w:val="18"/>
                <w:szCs w:val="18"/>
              </w:rPr>
              <w:t xml:space="preserve">See Section 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A.7</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Physical Controls</w:t>
            </w:r>
          </w:p>
        </w:tc>
        <w:tc>
          <w:tcPr>
            <w:tcW w:type="dxa" w:w="2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jc w:val="left"/>
            </w:pPr>
            <w:r>
              <w:rPr>
                <w:rFonts w:ascii="Arial" w:cs="Arial" w:eastAsia="Arial" w:hAnsi="Arial"/>
                <w:b/>
                <w:bCs/>
                <w:i w:val="false"/>
                <w:iCs w:val="false"/>
                <w:color w:val="935116"/>
                <w:sz w:val="18"/>
                <w:szCs w:val="18"/>
              </w:rPr>
              <w:t xml:space="preserve">Partial</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jc w:val="left"/>
            </w:pPr>
            <w:r>
              <w:rPr>
                <w:rFonts w:ascii="Arial" w:cs="Arial" w:eastAsia="Arial" w:hAnsi="Arial"/>
                <w:b/>
                <w:bCs/>
                <w:i w:val="false"/>
                <w:iCs w:val="false"/>
                <w:color w:val="935116"/>
                <w:sz w:val="18"/>
                <w:szCs w:val="18"/>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777777"/>
                <w:sz w:val="18"/>
                <w:szCs w:val="18"/>
              </w:rPr>
              <w:t xml:space="preserve">See Section 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A.8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Technological Controls</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Non-Conformity</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777777"/>
                <w:sz w:val="18"/>
                <w:szCs w:val="18"/>
              </w:rPr>
              <w:t xml:space="preserve">See Section 4</w:t>
            </w:r>
          </w:p>
        </w:tc>
      </w:tr>
    </w:tbl>
    <w:p>
      <w:r>
        <w:br w:type="page"/>
      </w:r>
    </w:p>
    <w:p>
      <w:pPr>
        <w:pStyle w:val="Heading1"/>
        <w:pBdr>
          <w:bottom w:val="single" w:color="006B6B" w:sz="4" w:space="4"/>
        </w:pBdr>
        <w:spacing w:before="320" w:after="160"/>
      </w:pPr>
      <w:r>
        <w:rPr>
          <w:rFonts w:ascii="Arial" w:cs="Arial" w:eastAsia="Arial" w:hAnsi="Arial"/>
          <w:b/>
          <w:bCs/>
          <w:color w:val="1B3A5C"/>
          <w:sz w:val="32"/>
          <w:szCs w:val="32"/>
        </w:rPr>
        <w:t xml:space="preserve">4. Detailed Findings</w:t>
      </w:r>
    </w:p>
    <w:p>
      <w:pPr>
        <w:pStyle w:val="Heading2"/>
        <w:spacing w:before="240" w:after="120"/>
      </w:pPr>
      <w:r>
        <w:rPr>
          <w:rFonts w:ascii="Arial" w:cs="Arial" w:eastAsia="Arial" w:hAnsi="Arial"/>
          <w:b/>
          <w:bCs/>
          <w:color w:val="006B6B"/>
          <w:sz w:val="24"/>
          <w:szCs w:val="24"/>
        </w:rPr>
        <w:t xml:space="preserve">4.1 Clause 4 — Context of the Organisation</w:t>
      </w:r>
    </w:p>
    <w:p>
      <w:pPr>
        <w:pStyle w:val="Heading3"/>
        <w:spacing w:before="200" w:after="80"/>
      </w:pPr>
      <w:r>
        <w:rPr>
          <w:rFonts w:ascii="Arial" w:cs="Arial" w:eastAsia="Arial" w:hAnsi="Arial"/>
          <w:b/>
          <w:bCs/>
          <w:color w:val="1B3A5C"/>
          <w:sz w:val="21"/>
          <w:szCs w:val="21"/>
        </w:rPr>
        <w:t xml:space="preserve">Conformance Status: Partial</w:t>
      </w:r>
    </w:p>
    <w:p>
      <w:pPr>
        <w:spacing w:before="60" w:after="60"/>
      </w:pPr>
      <w:r>
        <w:rPr>
          <w:rFonts w:ascii="Arial" w:cs="Arial" w:eastAsia="Arial" w:hAnsi="Arial"/>
          <w:b w:val="false"/>
          <w:bCs w:val="false"/>
          <w:color w:val="1A1A1A"/>
          <w:sz w:val="20"/>
          <w:szCs w:val="20"/>
        </w:rPr>
        <w:t xml:space="preserve">ISO 27001:2022 Clause 4 requires the organisation to understand its internal and external context, identify interested parties and their requirements, and define the scope of the ISMS.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000"/>
        <w:gridCol w:w="17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Finding</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Gap / Non-Conformity</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Recommended Action</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No formal ISMS scope document exists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The organisation has not formally defined the boundaries of an ISMS, including which business units, locations, and information assets are in scope.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Define and document a formal ISMS scope statement. Include all estate operations, buildings, systems, and data flows. Obtain sign-off from senior leadership.</w:t>
            </w:r>
          </w:p>
        </w:tc>
        <w:tc>
          <w:tcPr>
            <w:tcW w:type="dxa" w:w="17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Interested parties not formally identified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No documented register of interested parties (guests, staff, regulators, payment card brands, booking platforms, insurers) and their information security requirements.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Conduct an interested parties analysis and document requirements relevant to information security (e.g. PCI-DSS obligations, UK GDPR, employer duties, OTA requirements).</w:t>
            </w:r>
          </w:p>
        </w:tc>
        <w:tc>
          <w:tcPr>
            <w:tcW w:type="dxa" w:w="17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jc w:val="left"/>
            </w:pPr>
            <w:r>
              <w:rPr>
                <w:rFonts w:ascii="Arial" w:cs="Arial" w:eastAsia="Arial" w:hAnsi="Arial"/>
                <w:b/>
                <w:bCs/>
                <w:i w:val="false"/>
                <w:iCs w:val="false"/>
                <w:color w:val="935116"/>
                <w:sz w:val="18"/>
                <w:szCs w:val="18"/>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Internal/external context partially understood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The Langdale Estate operates in a high-profile hospitality environment with clear awareness of reputational risk. However, this is not formalised in an ISMS context document.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Document internal context (business strategy, culture, IT capabilities) and external context (legal/regulatory environment, competitive landscape, supply chain risks).</w:t>
            </w:r>
          </w:p>
        </w:tc>
        <w:tc>
          <w:tcPr>
            <w:tcW w:type="dxa" w:w="17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jc w:val="left"/>
            </w:pPr>
            <w:r>
              <w:rPr>
                <w:rFonts w:ascii="Arial" w:cs="Arial" w:eastAsia="Arial" w:hAnsi="Arial"/>
                <w:b/>
                <w:bCs/>
                <w:i w:val="false"/>
                <w:iCs w:val="false"/>
                <w:color w:val="935116"/>
                <w:sz w:val="18"/>
                <w:szCs w:val="18"/>
              </w:rPr>
              <w:t xml:space="preserve">Medium</w:t>
            </w:r>
          </w:p>
        </w:tc>
      </w:tr>
    </w:tbl>
    <w:p>
      <w:pPr>
        <w:spacing w:before="120" w:after="120"/>
      </w:pPr>
      <w:r>
        <w:t xml:space="preserve"/>
      </w:r>
    </w:p>
    <w:p>
      <w:pPr>
        <w:pStyle w:val="Heading2"/>
        <w:spacing w:before="240" w:after="120"/>
      </w:pPr>
      <w:r>
        <w:rPr>
          <w:rFonts w:ascii="Arial" w:cs="Arial" w:eastAsia="Arial" w:hAnsi="Arial"/>
          <w:b/>
          <w:bCs/>
          <w:color w:val="006B6B"/>
          <w:sz w:val="24"/>
          <w:szCs w:val="24"/>
        </w:rPr>
        <w:t xml:space="preserve">4.2 Clause 5 — Leadership</w:t>
      </w:r>
    </w:p>
    <w:p>
      <w:pPr>
        <w:pStyle w:val="Heading3"/>
        <w:spacing w:before="200" w:after="80"/>
      </w:pPr>
      <w:r>
        <w:rPr>
          <w:rFonts w:ascii="Arial" w:cs="Arial" w:eastAsia="Arial" w:hAnsi="Arial"/>
          <w:b/>
          <w:bCs/>
          <w:color w:val="1B3A5C"/>
          <w:sz w:val="21"/>
          <w:szCs w:val="21"/>
        </w:rPr>
        <w:t xml:space="preserve">Conformance Status: Non-Conformity</w:t>
      </w:r>
    </w:p>
    <w:p>
      <w:pPr>
        <w:spacing w:before="60" w:after="60"/>
      </w:pPr>
      <w:r>
        <w:rPr>
          <w:rFonts w:ascii="Arial" w:cs="Arial" w:eastAsia="Arial" w:hAnsi="Arial"/>
          <w:b w:val="false"/>
          <w:bCs w:val="false"/>
          <w:color w:val="1A1A1A"/>
          <w:sz w:val="20"/>
          <w:szCs w:val="20"/>
        </w:rPr>
        <w:t xml:space="preserve">Clause 5 requires top management to demonstrate commitment to information security through policy endorsement, resource allocation, role assignment, and active promotion of a security culture.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000"/>
        <w:gridCol w:w="17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Finding</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Gap / Non-Conformity</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Recommended Action</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No Information Security Policy exists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There is no documented, management-approved Information Security Policy in place. This is a fundamental requirement of ISO 27001 and a critical non-conformity.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Draft an Information Security Policy signed by the Managing Director. Policy must include objectives, commitment to compliance, and framework for setting security objectives.</w:t>
            </w:r>
          </w:p>
        </w:tc>
        <w:tc>
          <w:tcPr>
            <w:tcW w:type="dxa" w:w="17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No ISMS Owner / Information Security Manager appointed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No individual has formal accountability for information security management across the estate. Responsibility appears fragmented across operational departments.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Appoint a named ISMS Owner at a sufficiently senior level. Define responsibilities formally in a job description or terms of reference.</w:t>
            </w:r>
          </w:p>
        </w:tc>
        <w:tc>
          <w:tcPr>
            <w:tcW w:type="dxa" w:w="17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Leadership engagement with security is ad-hoc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While physical security awareness exists (as expected in hospitality operations), information security is not a standing agenda item at management review or board level.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Include information security as a standing agenda item at management meetings. Define frequency of formal security reviews.</w:t>
            </w:r>
          </w:p>
        </w:tc>
        <w:tc>
          <w:tcPr>
            <w:tcW w:type="dxa" w:w="17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r>
    </w:tbl>
    <w:p>
      <w:pPr>
        <w:spacing w:before="120" w:after="120"/>
      </w:pPr>
      <w:r>
        <w:t xml:space="preserve"/>
      </w:r>
    </w:p>
    <w:p>
      <w:pPr>
        <w:pStyle w:val="Heading2"/>
        <w:spacing w:before="240" w:after="120"/>
      </w:pPr>
      <w:r>
        <w:rPr>
          <w:rFonts w:ascii="Arial" w:cs="Arial" w:eastAsia="Arial" w:hAnsi="Arial"/>
          <w:b/>
          <w:bCs/>
          <w:color w:val="006B6B"/>
          <w:sz w:val="24"/>
          <w:szCs w:val="24"/>
        </w:rPr>
        <w:t xml:space="preserve">4.3 Clause 6 — Planning</w:t>
      </w:r>
    </w:p>
    <w:p>
      <w:pPr>
        <w:pStyle w:val="Heading3"/>
        <w:spacing w:before="200" w:after="80"/>
      </w:pPr>
      <w:r>
        <w:rPr>
          <w:rFonts w:ascii="Arial" w:cs="Arial" w:eastAsia="Arial" w:hAnsi="Arial"/>
          <w:b/>
          <w:bCs/>
          <w:color w:val="1B3A5C"/>
          <w:sz w:val="21"/>
          <w:szCs w:val="21"/>
        </w:rPr>
        <w:t xml:space="preserve">Conformance Status: Non-Conformity</w:t>
      </w:r>
    </w:p>
    <w:p>
      <w:pPr>
        <w:spacing w:before="60" w:after="60"/>
      </w:pPr>
      <w:r>
        <w:rPr>
          <w:rFonts w:ascii="Arial" w:cs="Arial" w:eastAsia="Arial" w:hAnsi="Arial"/>
          <w:b w:val="false"/>
          <w:bCs w:val="false"/>
          <w:color w:val="1A1A1A"/>
          <w:sz w:val="20"/>
          <w:szCs w:val="20"/>
        </w:rPr>
        <w:t xml:space="preserve">Clause 6 requires a formal risk assessment methodology, risk treatment plan, Statement of Applicability (SoA), and defined information security objectives.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000"/>
        <w:gridCol w:w="17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Finding</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Gap / Non-Conformity</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Recommended Action</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No formal risk assessment has been conducted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The organisation has not performed a structured information security risk assessment. Risks are managed reactively rather than through a proactive, documented process.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Establish a risk assessment methodology (aligned to ISO 27005). Conduct a full asset-based risk assessment covering all in-scope systems and data. Document in a Risk Register.</w:t>
            </w:r>
          </w:p>
        </w:tc>
        <w:tc>
          <w:tcPr>
            <w:tcW w:type="dxa" w:w="17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No Risk Treatment Plan (RTP) in place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Without a risk assessment, no risk treatment decisions have been formally made or documented. Risk owners are not assigned.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Following risk assessment, produce a Risk Treatment Plan identifying treatment options (mitigate, accept, transfer, avoid) and assigning risk owners for each identified risk.</w:t>
            </w:r>
          </w:p>
        </w:tc>
        <w:tc>
          <w:tcPr>
            <w:tcW w:type="dxa" w:w="17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No Statement of Applicability (SoA)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No SoA has been produced mapping Annex A controls to the organisation's context. The SoA is a mandatory ISO 27001 deliverable required for certification.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Produce an SoA covering all 93 Annex A controls. For each, document whether it is applicable, the justification, and implementation status.</w:t>
            </w:r>
          </w:p>
        </w:tc>
        <w:tc>
          <w:tcPr>
            <w:tcW w:type="dxa" w:w="17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No information security objectives defined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The organisation has not set measurable information security objectives linked to business goals and the outcomes of risk assessment.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Define at least 3–5 measurable information security objectives. Include metrics, targets, and review frequency.</w:t>
            </w:r>
          </w:p>
        </w:tc>
        <w:tc>
          <w:tcPr>
            <w:tcW w:type="dxa" w:w="17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jc w:val="left"/>
            </w:pPr>
            <w:r>
              <w:rPr>
                <w:rFonts w:ascii="Arial" w:cs="Arial" w:eastAsia="Arial" w:hAnsi="Arial"/>
                <w:b/>
                <w:bCs/>
                <w:i w:val="false"/>
                <w:iCs w:val="false"/>
                <w:color w:val="935116"/>
                <w:sz w:val="18"/>
                <w:szCs w:val="18"/>
              </w:rPr>
              <w:t xml:space="preserve">Medium</w:t>
            </w:r>
          </w:p>
        </w:tc>
      </w:tr>
    </w:tbl>
    <w:p>
      <w:pPr>
        <w:spacing w:before="120" w:after="120"/>
      </w:pPr>
      <w:r>
        <w:t xml:space="preserve"/>
      </w:r>
    </w:p>
    <w:p>
      <w:pPr>
        <w:pStyle w:val="Heading2"/>
        <w:spacing w:before="240" w:after="120"/>
      </w:pPr>
      <w:r>
        <w:rPr>
          <w:rFonts w:ascii="Arial" w:cs="Arial" w:eastAsia="Arial" w:hAnsi="Arial"/>
          <w:b/>
          <w:bCs/>
          <w:color w:val="006B6B"/>
          <w:sz w:val="24"/>
          <w:szCs w:val="24"/>
        </w:rPr>
        <w:t xml:space="preserve">4.4 Clause 7 — Support</w:t>
      </w:r>
    </w:p>
    <w:p>
      <w:pPr>
        <w:pStyle w:val="Heading3"/>
        <w:spacing w:before="200" w:after="80"/>
      </w:pPr>
      <w:r>
        <w:rPr>
          <w:rFonts w:ascii="Arial" w:cs="Arial" w:eastAsia="Arial" w:hAnsi="Arial"/>
          <w:b/>
          <w:bCs/>
          <w:color w:val="1B3A5C"/>
          <w:sz w:val="21"/>
          <w:szCs w:val="21"/>
        </w:rPr>
        <w:t xml:space="preserve">Conformance Status: Partial</w:t>
      </w:r>
    </w:p>
    <w:p>
      <w:pPr>
        <w:spacing w:before="60" w:after="60"/>
      </w:pPr>
      <w:r>
        <w:rPr>
          <w:rFonts w:ascii="Arial" w:cs="Arial" w:eastAsia="Arial" w:hAnsi="Arial"/>
          <w:b w:val="false"/>
          <w:bCs w:val="false"/>
          <w:color w:val="1A1A1A"/>
          <w:sz w:val="20"/>
          <w:szCs w:val="20"/>
        </w:rPr>
        <w:t xml:space="preserve">Clause 7 covers the resources, competence, awareness, communication, and documentation required to support the ISMS.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000"/>
        <w:gridCol w:w="17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Finding</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Gap / Non-Conformity</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Recommended Action</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No formal security awareness training programme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Staff are not formally trained in information security. Given the volume of guest data processed (booking data, payment card data, personal details), this is a significant risk.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Implement a mandatory security awareness programme for all staff on joining and annually thereafter. Cover: phishing, data handling, GDPR obligations, password hygiene, and incident reporting.</w:t>
            </w:r>
          </w:p>
        </w:tc>
        <w:tc>
          <w:tcPr>
            <w:tcW w:type="dxa" w:w="17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ISMS documentation framework absent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No ISMS documentation structure exists. Policies, procedures, and records are either absent or inconsistently maintained.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Establish a documentation management process. Define document ownership, review cycles, version control, and storage locations for all ISMS documents.</w:t>
            </w:r>
          </w:p>
        </w:tc>
        <w:tc>
          <w:tcPr>
            <w:tcW w:type="dxa" w:w="17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Competency requirements for security roles not defined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There are no defined competency requirements for staff handling sensitive information or IT systems.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Define competency requirements for roles with information security responsibilities. Map to training plans and record evidence of competence.</w:t>
            </w:r>
          </w:p>
        </w:tc>
        <w:tc>
          <w:tcPr>
            <w:tcW w:type="dxa" w:w="17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jc w:val="left"/>
            </w:pPr>
            <w:r>
              <w:rPr>
                <w:rFonts w:ascii="Arial" w:cs="Arial" w:eastAsia="Arial" w:hAnsi="Arial"/>
                <w:b/>
                <w:bCs/>
                <w:i w:val="false"/>
                <w:iCs w:val="false"/>
                <w:color w:val="935116"/>
                <w:sz w:val="18"/>
                <w:szCs w:val="18"/>
              </w:rPr>
              <w:t xml:space="preserve">Medium</w:t>
            </w:r>
          </w:p>
        </w:tc>
      </w:tr>
    </w:tbl>
    <w:p>
      <w:pPr>
        <w:spacing w:before="120" w:after="120"/>
      </w:pPr>
      <w:r>
        <w:t xml:space="preserve"/>
      </w:r>
    </w:p>
    <w:p>
      <w:pPr>
        <w:pStyle w:val="Heading2"/>
        <w:spacing w:before="240" w:after="120"/>
      </w:pPr>
      <w:r>
        <w:rPr>
          <w:rFonts w:ascii="Arial" w:cs="Arial" w:eastAsia="Arial" w:hAnsi="Arial"/>
          <w:b/>
          <w:bCs/>
          <w:color w:val="006B6B"/>
          <w:sz w:val="24"/>
          <w:szCs w:val="24"/>
        </w:rPr>
        <w:t xml:space="preserve">4.5 Clause 8 — Operation</w:t>
      </w:r>
    </w:p>
    <w:p>
      <w:pPr>
        <w:pStyle w:val="Heading3"/>
        <w:spacing w:before="200" w:after="80"/>
      </w:pPr>
      <w:r>
        <w:rPr>
          <w:rFonts w:ascii="Arial" w:cs="Arial" w:eastAsia="Arial" w:hAnsi="Arial"/>
          <w:b/>
          <w:bCs/>
          <w:color w:val="1B3A5C"/>
          <w:sz w:val="21"/>
          <w:szCs w:val="21"/>
        </w:rPr>
        <w:t xml:space="preserve">Conformance Status: Non-Conformity</w:t>
      </w:r>
    </w:p>
    <w:p>
      <w:pPr>
        <w:spacing w:before="60" w:after="60"/>
      </w:pPr>
      <w:r>
        <w:rPr>
          <w:rFonts w:ascii="Arial" w:cs="Arial" w:eastAsia="Arial" w:hAnsi="Arial"/>
          <w:b w:val="false"/>
          <w:bCs w:val="false"/>
          <w:color w:val="1A1A1A"/>
          <w:sz w:val="20"/>
          <w:szCs w:val="20"/>
        </w:rPr>
        <w:t xml:space="preserve">Clause 8 requires operational planning and control, risk assessment execution, and risk treatment implementation.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000"/>
        <w:gridCol w:w="17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Finding</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Gap / Non-Conformity</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Recommended Action</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No operational security controls documented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Key operational controls (change management, access provisioning, system configuration standards) are not formally documented.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Document standard operating procedures for key IT processes: user account management, change control, system hardening, and data handling.</w:t>
            </w:r>
          </w:p>
        </w:tc>
        <w:tc>
          <w:tcPr>
            <w:tcW w:type="dxa" w:w="17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Guest Wi-Fi and estate network segmentation unknown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Across a 35-acre estate with multiple buildings, it is unclear whether guest Wi-Fi is segregated from operational and PMS networks. This represents a significant technical risk.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Conduct a network architecture review. Ensure guest Wi-Fi is isolated from back-office and PMS systems. Implement VLAN segmentation. Document the network topology.</w:t>
            </w:r>
          </w:p>
        </w:tc>
        <w:tc>
          <w:tcPr>
            <w:tcW w:type="dxa" w:w="17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Supplier / third-party security controls absent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Key third parties including OTA booking platforms, payment processors, and spa management systems have not been subject to formal security assessments or contractual security obligations.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Implement a supplier management process. Conduct security assessments of critical suppliers. Ensure security requirements are included in all supplier contracts.</w:t>
            </w:r>
          </w:p>
        </w:tc>
        <w:tc>
          <w:tcPr>
            <w:tcW w:type="dxa" w:w="17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PCI-DSS compliance status unknown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The estate processes payment card data across multiple touchpoints (reception, restaurant, spa, pub). PCI-DSS compliance obligations must be formally assessed and documented.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Engage a Qualified Security Assessor (QSA) or complete a Self-Assessment Questionnaire (SAQ). Ensure all card payment environments meet PCI-DSS requirements.</w:t>
            </w:r>
          </w:p>
        </w:tc>
        <w:tc>
          <w:tcPr>
            <w:tcW w:type="dxa" w:w="17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r>
    </w:tbl>
    <w:p>
      <w:pPr>
        <w:spacing w:before="120" w:after="120"/>
      </w:pPr>
      <w:r>
        <w:t xml:space="preserve"/>
      </w:r>
    </w:p>
    <w:p>
      <w:pPr>
        <w:pStyle w:val="Heading2"/>
        <w:spacing w:before="240" w:after="120"/>
      </w:pPr>
      <w:r>
        <w:rPr>
          <w:rFonts w:ascii="Arial" w:cs="Arial" w:eastAsia="Arial" w:hAnsi="Arial"/>
          <w:b/>
          <w:bCs/>
          <w:color w:val="006B6B"/>
          <w:sz w:val="24"/>
          <w:szCs w:val="24"/>
        </w:rPr>
        <w:t xml:space="preserve">4.6 Clause 9 — Performance Evaluation</w:t>
      </w:r>
    </w:p>
    <w:p>
      <w:pPr>
        <w:pStyle w:val="Heading3"/>
        <w:spacing w:before="200" w:after="80"/>
      </w:pPr>
      <w:r>
        <w:rPr>
          <w:rFonts w:ascii="Arial" w:cs="Arial" w:eastAsia="Arial" w:hAnsi="Arial"/>
          <w:b/>
          <w:bCs/>
          <w:color w:val="1B3A5C"/>
          <w:sz w:val="21"/>
          <w:szCs w:val="21"/>
        </w:rPr>
        <w:t xml:space="preserve">Conformance Status: Non-Conformity</w:t>
      </w:r>
    </w:p>
    <w:p>
      <w:pPr>
        <w:spacing w:before="60" w:after="60"/>
      </w:pPr>
      <w:r>
        <w:rPr>
          <w:rFonts w:ascii="Arial" w:cs="Arial" w:eastAsia="Arial" w:hAnsi="Arial"/>
          <w:b w:val="false"/>
          <w:bCs w:val="false"/>
          <w:color w:val="1A1A1A"/>
          <w:sz w:val="20"/>
          <w:szCs w:val="20"/>
        </w:rPr>
        <w:t xml:space="preserve">Clause 9 requires monitoring, measurement, internal audit, and management review of the ISMS.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000"/>
        <w:gridCol w:w="17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Finding</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Gap / Non-Conformity</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Recommended Action</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No ISMS monitoring or measurement framework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There are no defined metrics, KPIs, or monitoring processes for information security performance.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Define and implement an information security measurement framework. Include: incident rates, vulnerability scan results, training completion rates, and policy compliance metrics.</w:t>
            </w:r>
          </w:p>
        </w:tc>
        <w:tc>
          <w:tcPr>
            <w:tcW w:type="dxa" w:w="17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No internal ISMS audit programme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No internal audits of the ISMS have been conducted. This is a mandatory requirement of ISO 27001 and a prerequisite for certification.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Establish an internal audit programme. Conduct at least one full internal ISMS audit per year. Train or appoint competent internal auditors.</w:t>
            </w:r>
          </w:p>
        </w:tc>
        <w:tc>
          <w:tcPr>
            <w:tcW w:type="dxa" w:w="17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No formal management review of ISMS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Management review of the ISMS is not formally conducted or documented. Clause 9.3 is specific about required inputs and outputs of management review.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Schedule and conduct annual management reviews of the ISMS. Document outputs including decisions, actions, and resource requirements.</w:t>
            </w:r>
          </w:p>
        </w:tc>
        <w:tc>
          <w:tcPr>
            <w:tcW w:type="dxa" w:w="17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r>
    </w:tbl>
    <w:p>
      <w:pPr>
        <w:spacing w:before="120" w:after="120"/>
      </w:pPr>
      <w:r>
        <w:t xml:space="preserve"/>
      </w:r>
    </w:p>
    <w:p>
      <w:pPr>
        <w:pStyle w:val="Heading2"/>
        <w:spacing w:before="240" w:after="120"/>
      </w:pPr>
      <w:r>
        <w:rPr>
          <w:rFonts w:ascii="Arial" w:cs="Arial" w:eastAsia="Arial" w:hAnsi="Arial"/>
          <w:b/>
          <w:bCs/>
          <w:color w:val="006B6B"/>
          <w:sz w:val="24"/>
          <w:szCs w:val="24"/>
        </w:rPr>
        <w:t xml:space="preserve">4.7 Clause 10 — Improvement</w:t>
      </w:r>
    </w:p>
    <w:p>
      <w:pPr>
        <w:pStyle w:val="Heading3"/>
        <w:spacing w:before="200" w:after="80"/>
      </w:pPr>
      <w:r>
        <w:rPr>
          <w:rFonts w:ascii="Arial" w:cs="Arial" w:eastAsia="Arial" w:hAnsi="Arial"/>
          <w:b/>
          <w:bCs/>
          <w:color w:val="1B3A5C"/>
          <w:sz w:val="21"/>
          <w:szCs w:val="21"/>
        </w:rPr>
        <w:t xml:space="preserve">Conformance Status: Non-Conformity</w:t>
      </w:r>
    </w:p>
    <w:p>
      <w:pPr>
        <w:spacing w:before="60" w:after="60"/>
      </w:pPr>
      <w:r>
        <w:rPr>
          <w:rFonts w:ascii="Arial" w:cs="Arial" w:eastAsia="Arial" w:hAnsi="Arial"/>
          <w:b w:val="false"/>
          <w:bCs w:val="false"/>
          <w:color w:val="1A1A1A"/>
          <w:sz w:val="20"/>
          <w:szCs w:val="20"/>
        </w:rPr>
        <w:t xml:space="preserve">Clause 10 requires the organisation to address non-conformities, take corrective action, and continually improve the ISMS.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000"/>
        <w:gridCol w:w="17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Finding</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Gap / Non-Conformity</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Recommended Action</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No non-conformity and corrective action process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There is no formal process for identifying, recording, investigating, and resolving non-conformities or security incidents.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Implement a Non-Conformity and Corrective Action procedure. Establish a tracking register. Define root cause analysis and verification of corrective action effectiveness.</w:t>
            </w:r>
          </w:p>
        </w:tc>
        <w:tc>
          <w:tcPr>
            <w:tcW w:type="dxa" w:w="17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No continual improvement mechanism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Without monitoring, audit, or management review, there is no structured basis for continual improvement of the ISMS.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Once monitoring and audit are established, link findings to a formal improvement cycle using the Plan-Do-Check-Act (PDCA) model.</w:t>
            </w:r>
          </w:p>
        </w:tc>
        <w:tc>
          <w:tcPr>
            <w:tcW w:type="dxa" w:w="17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jc w:val="left"/>
            </w:pPr>
            <w:r>
              <w:rPr>
                <w:rFonts w:ascii="Arial" w:cs="Arial" w:eastAsia="Arial" w:hAnsi="Arial"/>
                <w:b/>
                <w:bCs/>
                <w:i w:val="false"/>
                <w:iCs w:val="false"/>
                <w:color w:val="935116"/>
                <w:sz w:val="18"/>
                <w:szCs w:val="18"/>
              </w:rPr>
              <w:t xml:space="preserve">Medium</w:t>
            </w:r>
          </w:p>
        </w:tc>
      </w:tr>
    </w:tbl>
    <w:p>
      <w:pPr>
        <w:spacing w:before="120" w:after="120"/>
      </w:pPr>
      <w:r>
        <w:t xml:space="preserve"/>
      </w:r>
    </w:p>
    <w:p>
      <w:pPr>
        <w:pStyle w:val="Heading2"/>
        <w:spacing w:before="240" w:after="120"/>
      </w:pPr>
      <w:r>
        <w:rPr>
          <w:rFonts w:ascii="Arial" w:cs="Arial" w:eastAsia="Arial" w:hAnsi="Arial"/>
          <w:b/>
          <w:bCs/>
          <w:color w:val="006B6B"/>
          <w:sz w:val="24"/>
          <w:szCs w:val="24"/>
        </w:rPr>
        <w:t xml:space="preserve">4.8 Annex A — Organisational Controls (A.5)</w:t>
      </w:r>
    </w:p>
    <w:p>
      <w:pPr>
        <w:pStyle w:val="Heading3"/>
        <w:spacing w:before="200" w:after="80"/>
      </w:pPr>
      <w:r>
        <w:rPr>
          <w:rFonts w:ascii="Arial" w:cs="Arial" w:eastAsia="Arial" w:hAnsi="Arial"/>
          <w:b/>
          <w:bCs/>
          <w:color w:val="1B3A5C"/>
          <w:sz w:val="21"/>
          <w:szCs w:val="21"/>
        </w:rPr>
        <w:t xml:space="preserve">Conformance Status: Partial</w:t>
      </w:r>
    </w:p>
    <w:p>
      <w:pPr>
        <w:spacing w:before="60" w:after="60"/>
      </w:pPr>
      <w:r>
        <w:rPr>
          <w:rFonts w:ascii="Arial" w:cs="Arial" w:eastAsia="Arial" w:hAnsi="Arial"/>
          <w:b w:val="false"/>
          <w:bCs w:val="false"/>
          <w:color w:val="1A1A1A"/>
          <w:sz w:val="20"/>
          <w:szCs w:val="20"/>
        </w:rPr>
        <w:t xml:space="preserve">Annex A.5 covers 37 organisational controls including policies, roles, responsibilities, threat intelligence, information classification, and supplier relationships.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000"/>
        <w:gridCol w:w="17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Finding</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Gap / Non-Conformity</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Recommended Action</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Information classification policy absent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No information classification scheme is in place. Guest personal data, payment data, employee records, and commercial information are not formally classified or labelled.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Implement an information classification and handling policy with at least three tiers (e.g. Public / Internal / Confidential). Train staff on classification obligations.</w:t>
            </w:r>
          </w:p>
        </w:tc>
        <w:tc>
          <w:tcPr>
            <w:tcW w:type="dxa" w:w="17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No formal asset inventory (information assets)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There is no documented inventory of information assets (databases, systems, paper records, third-party systems). This is required by A.5.9.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Conduct a full information asset inventory. Record asset owner, classification, location, and protective requirements for each asset.</w:t>
            </w:r>
          </w:p>
        </w:tc>
        <w:tc>
          <w:tcPr>
            <w:tcW w:type="dxa" w:w="17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Supplier security requirements not contractualised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Contracts with key suppliers (booking platforms, PMS vendors, payment processors, spa system providers) do not appear to include information security obligations aligned to ISO 27001.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Review and update all supplier contracts to include information security requirements, right to audit clauses, incident notification obligations, and data protection provisions.</w:t>
            </w:r>
          </w:p>
        </w:tc>
        <w:tc>
          <w:tcPr>
            <w:tcW w:type="dxa" w:w="17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r>
    </w:tbl>
    <w:p>
      <w:pPr>
        <w:spacing w:before="120" w:after="120"/>
      </w:pPr>
      <w:r>
        <w:t xml:space="preserve"/>
      </w:r>
    </w:p>
    <w:p>
      <w:pPr>
        <w:pStyle w:val="Heading2"/>
        <w:spacing w:before="240" w:after="120"/>
      </w:pPr>
      <w:r>
        <w:rPr>
          <w:rFonts w:ascii="Arial" w:cs="Arial" w:eastAsia="Arial" w:hAnsi="Arial"/>
          <w:b/>
          <w:bCs/>
          <w:color w:val="006B6B"/>
          <w:sz w:val="24"/>
          <w:szCs w:val="24"/>
        </w:rPr>
        <w:t xml:space="preserve">4.9 Annex A — People Controls (A.6)</w:t>
      </w:r>
    </w:p>
    <w:p>
      <w:pPr>
        <w:pStyle w:val="Heading3"/>
        <w:spacing w:before="200" w:after="80"/>
      </w:pPr>
      <w:r>
        <w:rPr>
          <w:rFonts w:ascii="Arial" w:cs="Arial" w:eastAsia="Arial" w:hAnsi="Arial"/>
          <w:b/>
          <w:bCs/>
          <w:color w:val="1B3A5C"/>
          <w:sz w:val="21"/>
          <w:szCs w:val="21"/>
        </w:rPr>
        <w:t xml:space="preserve">Conformance Status: Non-Conformity</w:t>
      </w:r>
    </w:p>
    <w:p>
      <w:pPr>
        <w:spacing w:before="60" w:after="60"/>
      </w:pPr>
      <w:r>
        <w:rPr>
          <w:rFonts w:ascii="Arial" w:cs="Arial" w:eastAsia="Arial" w:hAnsi="Arial"/>
          <w:b w:val="false"/>
          <w:bCs w:val="false"/>
          <w:color w:val="1A1A1A"/>
          <w:sz w:val="20"/>
          <w:szCs w:val="20"/>
        </w:rPr>
        <w:t xml:space="preserve">Annex A.6 covers pre-employment screening, security terms in contracts, awareness training, disciplinary processes, and remote working.</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000"/>
        <w:gridCol w:w="17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Finding</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Gap / Non-Conformity</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Recommended Action</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Pre-employment screening not formalised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There is no documented pre-employment screening process for roles with access to sensitive guest data, payment systems, or administrative systems.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Implement a formal pre-employment screening policy. Define screening requirements by role sensitivity (DBS checks, reference verification, right to work documentation).</w:t>
            </w:r>
          </w:p>
        </w:tc>
        <w:tc>
          <w:tcPr>
            <w:tcW w:type="dxa" w:w="17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Security obligations not included in employment contracts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Employment contracts and role descriptions do not appear to include explicit information security obligations, confidentiality requirements, or acceptable use conditions.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Review and update employment contracts to include information security obligations, confidentiality clauses, and reference to the Acceptable Use Policy.</w:t>
            </w:r>
          </w:p>
        </w:tc>
        <w:tc>
          <w:tcPr>
            <w:tcW w:type="dxa" w:w="17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No acceptable use policy for IT systems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Staff do not have a formal Acceptable Use Policy governing use of estate IT systems, guest Wi-Fi infrastructure, personal devices, or 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Draft and implement an Acceptable Use Policy. Communicate to all staff and obtain signed acknowledgement.</w:t>
            </w:r>
          </w:p>
        </w:tc>
        <w:tc>
          <w:tcPr>
            <w:tcW w:type="dxa" w:w="17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jc w:val="left"/>
            </w:pPr>
            <w:r>
              <w:rPr>
                <w:rFonts w:ascii="Arial" w:cs="Arial" w:eastAsia="Arial" w:hAnsi="Arial"/>
                <w:b/>
                <w:bCs/>
                <w:i w:val="false"/>
                <w:iCs w:val="false"/>
                <w:color w:val="935116"/>
                <w:sz w:val="18"/>
                <w:szCs w:val="18"/>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Remote working controls absent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With management and administrative functions potentially conducted off-site, there are no documented remote working controls.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Implement a Remote Working Policy covering VPN use, device security, screen locking, and data handling outside the estate.</w:t>
            </w:r>
          </w:p>
        </w:tc>
        <w:tc>
          <w:tcPr>
            <w:tcW w:type="dxa" w:w="17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jc w:val="left"/>
            </w:pPr>
            <w:r>
              <w:rPr>
                <w:rFonts w:ascii="Arial" w:cs="Arial" w:eastAsia="Arial" w:hAnsi="Arial"/>
                <w:b/>
                <w:bCs/>
                <w:i w:val="false"/>
                <w:iCs w:val="false"/>
                <w:color w:val="935116"/>
                <w:sz w:val="18"/>
                <w:szCs w:val="18"/>
              </w:rPr>
              <w:t xml:space="preserve">Medium</w:t>
            </w:r>
          </w:p>
        </w:tc>
      </w:tr>
    </w:tbl>
    <w:p>
      <w:pPr>
        <w:spacing w:before="120" w:after="120"/>
      </w:pPr>
      <w:r>
        <w:t xml:space="preserve"/>
      </w:r>
    </w:p>
    <w:p>
      <w:pPr>
        <w:pStyle w:val="Heading2"/>
        <w:spacing w:before="240" w:after="120"/>
      </w:pPr>
      <w:r>
        <w:rPr>
          <w:rFonts w:ascii="Arial" w:cs="Arial" w:eastAsia="Arial" w:hAnsi="Arial"/>
          <w:b/>
          <w:bCs/>
          <w:color w:val="006B6B"/>
          <w:sz w:val="24"/>
          <w:szCs w:val="24"/>
        </w:rPr>
        <w:t xml:space="preserve">4.10 Annex A — Physical Controls (A.7)</w:t>
      </w:r>
    </w:p>
    <w:p>
      <w:pPr>
        <w:pStyle w:val="Heading3"/>
        <w:spacing w:before="200" w:after="80"/>
      </w:pPr>
      <w:r>
        <w:rPr>
          <w:rFonts w:ascii="Arial" w:cs="Arial" w:eastAsia="Arial" w:hAnsi="Arial"/>
          <w:b/>
          <w:bCs/>
          <w:color w:val="1B3A5C"/>
          <w:sz w:val="21"/>
          <w:szCs w:val="21"/>
        </w:rPr>
        <w:t xml:space="preserve">Conformance Status: Partial</w:t>
      </w:r>
    </w:p>
    <w:p>
      <w:pPr>
        <w:spacing w:before="60" w:after="60"/>
      </w:pPr>
      <w:r>
        <w:rPr>
          <w:rFonts w:ascii="Arial" w:cs="Arial" w:eastAsia="Arial" w:hAnsi="Arial"/>
          <w:b w:val="false"/>
          <w:bCs w:val="false"/>
          <w:color w:val="1A1A1A"/>
          <w:sz w:val="20"/>
          <w:szCs w:val="20"/>
        </w:rPr>
        <w:t xml:space="preserve">Annex A.7 covers physical perimeter security, entry controls, office and server room protection, clear desk policy, and equipment protection.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000"/>
        <w:gridCol w:w="17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Finding</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Gap / Non-Conformity</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Recommended Action</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Server room / network infrastructure controls insufficient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As a dispersed 35-acre estate, it is unclear whether network equipment, servers, and communication infrastructure are located in physically secured, access-controlled areas with appropriate environmental controls.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Identify all locations housing IT infrastructure. Ensure server rooms and comms cabinets are locked, access-controlled, temperature-managed, and monitored.</w:t>
            </w:r>
          </w:p>
        </w:tc>
        <w:tc>
          <w:tcPr>
            <w:tcW w:type="dxa" w:w="17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No formal clear desk / clear screen policy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In a busy hospitality environment with high staff and guest footfall, clear desk and clear screen practices for reception, admin, and back-office areas are not formalised.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Implement a clear desk and clear screen policy. Reinforce through regular staff briefings. Include in induction training.</w:t>
            </w:r>
          </w:p>
        </w:tc>
        <w:tc>
          <w:tcPr>
            <w:tcW w:type="dxa" w:w="17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jc w:val="left"/>
            </w:pPr>
            <w:r>
              <w:rPr>
                <w:rFonts w:ascii="Arial" w:cs="Arial" w:eastAsia="Arial" w:hAnsi="Arial"/>
                <w:b/>
                <w:bCs/>
                <w:i w:val="false"/>
                <w:iCs w:val="false"/>
                <w:color w:val="935116"/>
                <w:sz w:val="18"/>
                <w:szCs w:val="18"/>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CCTV coverage and retention policy not documented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CCTV is assumed to be in operation across the estate for physical security. However, coverage mapping, retention periods, access controls, and Data Protection impact assessments for CCTV are not documented.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Document CCTV coverage, retention policy (typically 31 days in hospitality), access controls, and signage obligations. Conduct a DPIA for CCTV processing under UK GDPR.</w:t>
            </w:r>
          </w:p>
        </w:tc>
        <w:tc>
          <w:tcPr>
            <w:tcW w:type="dxa" w:w="17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jc w:val="left"/>
            </w:pPr>
            <w:r>
              <w:rPr>
                <w:rFonts w:ascii="Arial" w:cs="Arial" w:eastAsia="Arial" w:hAnsi="Arial"/>
                <w:b/>
                <w:bCs/>
                <w:i w:val="false"/>
                <w:iCs w:val="false"/>
                <w:color w:val="935116"/>
                <w:sz w:val="18"/>
                <w:szCs w:val="18"/>
              </w:rPr>
              <w:t xml:space="preserve">Medium</w:t>
            </w:r>
          </w:p>
        </w:tc>
      </w:tr>
    </w:tbl>
    <w:p>
      <w:pPr>
        <w:spacing w:before="120" w:after="120"/>
      </w:pPr>
      <w:r>
        <w:t xml:space="preserve"/>
      </w:r>
    </w:p>
    <w:p>
      <w:pPr>
        <w:pStyle w:val="Heading2"/>
        <w:spacing w:before="240" w:after="120"/>
      </w:pPr>
      <w:r>
        <w:rPr>
          <w:rFonts w:ascii="Arial" w:cs="Arial" w:eastAsia="Arial" w:hAnsi="Arial"/>
          <w:b/>
          <w:bCs/>
          <w:color w:val="006B6B"/>
          <w:sz w:val="24"/>
          <w:szCs w:val="24"/>
        </w:rPr>
        <w:t xml:space="preserve">4.11 Annex A — Technological Controls (A.8)</w:t>
      </w:r>
    </w:p>
    <w:p>
      <w:pPr>
        <w:pStyle w:val="Heading3"/>
        <w:spacing w:before="200" w:after="80"/>
      </w:pPr>
      <w:r>
        <w:rPr>
          <w:rFonts w:ascii="Arial" w:cs="Arial" w:eastAsia="Arial" w:hAnsi="Arial"/>
          <w:b/>
          <w:bCs/>
          <w:color w:val="1B3A5C"/>
          <w:sz w:val="21"/>
          <w:szCs w:val="21"/>
        </w:rPr>
        <w:t xml:space="preserve">Conformance Status: Non-Conformity</w:t>
      </w:r>
    </w:p>
    <w:p>
      <w:pPr>
        <w:spacing w:before="60" w:after="60"/>
      </w:pPr>
      <w:r>
        <w:rPr>
          <w:rFonts w:ascii="Arial" w:cs="Arial" w:eastAsia="Arial" w:hAnsi="Arial"/>
          <w:b w:val="false"/>
          <w:bCs w:val="false"/>
          <w:color w:val="1A1A1A"/>
          <w:sz w:val="20"/>
          <w:szCs w:val="20"/>
        </w:rPr>
        <w:t xml:space="preserve">Annex A.8 covers user endpoint devices, privileged access rights, information access restriction, authentication, cryptography, capacity management, malware protection, vulnerability management, logging, and backup.</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000"/>
        <w:gridCol w:w="17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Finding</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Gap / Non-Conformity</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Recommended Action</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Multi-Factor Authentication (MFA) not confirmed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It is unclear whether MFA is enforced for access to email, administrative systems, Property Management System (PMS), or booking platforms. This is a critical control given the sensitivity of guest and payment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Enforce MFA on all administrative accounts, email systems, PMS access, and any system accessible remotely. Prioritise internet-facing systems.</w:t>
            </w:r>
          </w:p>
        </w:tc>
        <w:tc>
          <w:tcPr>
            <w:tcW w:type="dxa" w:w="17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Vulnerability management programme absent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No formal vulnerability scanning, patch management schedule, or software update policy exists. Unpatched systems across a multi-building estate represent a significant attack surface.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Implement a vulnerability management programme. Conduct quarterly vulnerability scans. Define a patch management SLA (e.g. critical patches within 14 days, high within 30 days).</w:t>
            </w:r>
          </w:p>
        </w:tc>
        <w:tc>
          <w:tcPr>
            <w:tcW w:type="dxa" w:w="17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Data backup and recovery not formally documented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Backup procedures for critical systems (PMS, booking data, guest records, financial systems) are not formally documented or tested.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Document backup procedures for all critical systems. Define RTO and RPO. Test backup restoration at least annually. Store backups securely off-site or in cloud.</w:t>
            </w:r>
          </w:p>
        </w:tc>
        <w:tc>
          <w:tcPr>
            <w:tcW w:type="dxa" w:w="17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No formal incident response procedure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There is no documented security incident response procedure. In the event of a data breach, the estate has no clear process for detection, containment, notification, and recovery.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Implement a Security Incident Response Plan. Define roles, escalation paths, and notification obligations (ICO notification within 72 hours under UK GDPR). Test via tabletop exercise.</w:t>
            </w:r>
          </w:p>
        </w:tc>
        <w:tc>
          <w:tcPr>
            <w:tcW w:type="dxa" w:w="17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Endpoint protection posture unknown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It is unclear whether all estate endpoints (desktops, laptops, tablets used for bookings and operations) have up-to-date antivirus/endpoint detection and response (EDR) protection.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Audit all endpoints. Deploy a managed endpoint protection solution. Ensure automatic update and alerting capabilities.</w:t>
            </w:r>
          </w:p>
        </w:tc>
        <w:tc>
          <w:tcPr>
            <w:tcW w:type="dxa" w:w="17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Password policy not enforced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There is no documented password policy governing minimum length, complexity, reuse restrictions, or maximum age for administrative and operational accounts.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Implement a password policy aligned to NCSC guidance (minimum 12 characters, no mandatory rotation unless compromised, MFA preferred over complexity alone).</w:t>
            </w:r>
          </w:p>
        </w:tc>
        <w:tc>
          <w:tcPr>
            <w:tcW w:type="dxa" w:w="17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jc w:val="left"/>
            </w:pPr>
            <w:r>
              <w:rPr>
                <w:rFonts w:ascii="Arial" w:cs="Arial" w:eastAsia="Arial" w:hAnsi="Arial"/>
                <w:b/>
                <w:bCs/>
                <w:i w:val="false"/>
                <w:iCs w:val="false"/>
                <w:color w:val="935116"/>
                <w:sz w:val="18"/>
                <w:szCs w:val="18"/>
              </w:rPr>
              <w:t xml:space="preserve">Medium</w:t>
            </w:r>
          </w:p>
        </w:tc>
      </w:tr>
    </w:tbl>
    <w:p>
      <w:r>
        <w:br w:type="page"/>
      </w:r>
    </w:p>
    <w:p>
      <w:pPr>
        <w:pStyle w:val="Heading1"/>
        <w:pBdr>
          <w:bottom w:val="single" w:color="006B6B" w:sz="4" w:space="4"/>
        </w:pBdr>
        <w:spacing w:before="320" w:after="160"/>
      </w:pPr>
      <w:r>
        <w:rPr>
          <w:rFonts w:ascii="Arial" w:cs="Arial" w:eastAsia="Arial" w:hAnsi="Arial"/>
          <w:b/>
          <w:bCs/>
          <w:color w:val="1B3A5C"/>
          <w:sz w:val="32"/>
          <w:szCs w:val="32"/>
        </w:rPr>
        <w:t xml:space="preserve">5. Remediation Roadmap</w:t>
      </w:r>
    </w:p>
    <w:p>
      <w:pPr>
        <w:spacing w:before="60" w:after="60"/>
      </w:pPr>
      <w:r>
        <w:rPr>
          <w:rFonts w:ascii="Arial" w:cs="Arial" w:eastAsia="Arial" w:hAnsi="Arial"/>
          <w:b w:val="false"/>
          <w:bCs w:val="false"/>
          <w:color w:val="1A1A1A"/>
          <w:sz w:val="20"/>
          <w:szCs w:val="20"/>
        </w:rPr>
        <w:t xml:space="preserve">The following phased roadmap provides a structured path from the current state to ISO 27001:2022 certification. Phases are prioritised by risk exposure and dependency sequencing — foundational governance and risk assessment activities must precede technical and operational control implementation.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760"/>
        <w:gridCol w:w="14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Phase</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Key Actions</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Priority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Phase 1 (0–3 months)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1. Appoint ISMS Owner / Information Security Manager
2. Conduct formal asset inventory across all systems
3. Define ISMS scope document
4. Establish Information Security Policy signed by MD
5. Conduct formal risk assessment using ISO 27005 methodology</w:t>
            </w:r>
          </w:p>
        </w:tc>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Phase 2 (3–6 months)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1. Draft and implement core security policies (access control, acceptable use, incident response)
2. Deploy staff awareness training programme
3. Establish risk treatment plan with accountability owners
4. Implement basic technical controls (MFA, patching schedule, endpoint protection)
5. Establish CCTV and physical access review</w:t>
            </w:r>
          </w:p>
        </w:tc>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Phase 3 (6–12 months)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1. Implement continuous monitoring (log management, SIEM basics)
2. Conduct first internal ISMS audit
3. Perform management review
4. Establish supplier risk assessments for key vendors (PMS, booking systems, payment processors)
5. Define KPIs and measurement framework</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jc w:val="left"/>
            </w:pPr>
            <w:r>
              <w:rPr>
                <w:rFonts w:ascii="Arial" w:cs="Arial" w:eastAsia="Arial" w:hAnsi="Arial"/>
                <w:b/>
                <w:bCs/>
                <w:i w:val="false"/>
                <w:iCs w:val="false"/>
                <w:color w:val="935116"/>
                <w:sz w:val="18"/>
                <w:szCs w:val="18"/>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Phase 4 (12–18 months)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1. Address non-conformities from internal audit
2. Engage ISO 27001 certification body for pre-assessment
3. Remediate any pre-assessment findings
4. Achieve ISO 27001:2022 Certification</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bCs/>
                <w:i w:val="false"/>
                <w:iCs w:val="false"/>
                <w:color w:val="1E8449"/>
                <w:sz w:val="18"/>
                <w:szCs w:val="18"/>
              </w:rPr>
              <w:t xml:space="preserve">Low</w:t>
            </w:r>
          </w:p>
        </w:tc>
      </w:tr>
    </w:tbl>
    <w:p>
      <w:pPr>
        <w:spacing w:before="120" w:after="120"/>
      </w:pPr>
      <w:r>
        <w:t xml:space="preserve"/>
      </w:r>
    </w:p>
    <w:p>
      <w:pPr>
        <w:spacing w:before="60" w:after="60"/>
      </w:pPr>
      <w:r>
        <w:rPr>
          <w:rFonts w:ascii="Arial" w:cs="Arial" w:eastAsia="Arial" w:hAnsi="Arial"/>
          <w:b w:val="false"/>
          <w:bCs w:val="false"/>
          <w:color w:val="777777"/>
          <w:sz w:val="20"/>
          <w:szCs w:val="20"/>
        </w:rPr>
        <w:t xml:space="preserve">Note: The timeline above assumes dedicated internal resource and/or engagement of an external ISO 27001 consultant. Timelines may extend if this is managed entirely by existing staff alongside operational responsibilities.</w:t>
      </w:r>
    </w:p>
    <w:p>
      <w:r>
        <w:br w:type="page"/>
      </w:r>
    </w:p>
    <w:p>
      <w:pPr>
        <w:pStyle w:val="Heading1"/>
        <w:pBdr>
          <w:bottom w:val="single" w:color="006B6B" w:sz="4" w:space="4"/>
        </w:pBdr>
        <w:spacing w:before="320" w:after="160"/>
      </w:pPr>
      <w:r>
        <w:rPr>
          <w:rFonts w:ascii="Arial" w:cs="Arial" w:eastAsia="Arial" w:hAnsi="Arial"/>
          <w:b/>
          <w:bCs/>
          <w:color w:val="1B3A5C"/>
          <w:sz w:val="32"/>
          <w:szCs w:val="32"/>
        </w:rPr>
        <w:t xml:space="preserve">6. Quick Wins — Immediate Actions</w:t>
      </w:r>
    </w:p>
    <w:p>
      <w:pPr>
        <w:spacing w:before="60" w:after="60"/>
      </w:pPr>
      <w:r>
        <w:rPr>
          <w:rFonts w:ascii="Arial" w:cs="Arial" w:eastAsia="Arial" w:hAnsi="Arial"/>
          <w:b w:val="false"/>
          <w:bCs w:val="false"/>
          <w:color w:val="1A1A1A"/>
          <w:sz w:val="20"/>
          <w:szCs w:val="20"/>
        </w:rPr>
        <w:t xml:space="preserve">The following actions can be initiated immediately (within 30 days) at minimal cost and will materially reduce risk whilst the broader ISMS programme is established:</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2000"/>
        <w:gridCol w:w="1600"/>
      </w:tblGrid>
      <w:t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Action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Effort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Priority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Appoint a named ISMS Owner with documented accountability for information security.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Low — internal decision</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Enable Multi-Factor Authentication on all email accounts and administrative systems.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Low — typically free via Microsoft 365 / Google Workspace</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Ensure all staff passwords on administrative systems are changed to compliant, unique passwords. Use a password 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Low</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Conduct an informal audit of all devices (laptops, tablets, desktops) to confirm antivirus is installed and up to 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Low</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Display UK GDPR-compliant privacy notices at all guest touchpoints (check-in, spa, website).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Low</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Verify that all guest Wi-Fi networks are segregated from operational/PMS networks at the router/switch level.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Low–Medium (may require IT contractor)</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7</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Back up critical systems (PMS, booking records) to a secure cloud location. Verify backup integrity.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Low–Medium</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Brief all staff on their obligation to report suspected security incidents to management immediately.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Low — 30-minute briefing</w:t>
            </w:r>
          </w:p>
        </w:tc>
        <w:tc>
          <w:tcPr>
            <w:tcW w:type="dxa" w:w="1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jc w:val="left"/>
            </w:pPr>
            <w:r>
              <w:rPr>
                <w:rFonts w:ascii="Arial" w:cs="Arial" w:eastAsia="Arial" w:hAnsi="Arial"/>
                <w:b/>
                <w:bCs/>
                <w:i w:val="false"/>
                <w:iCs w:val="false"/>
                <w:color w:val="935116"/>
                <w:sz w:val="18"/>
                <w:szCs w:val="18"/>
              </w:rPr>
              <w:t xml:space="preserve">Medium</w:t>
            </w:r>
          </w:p>
        </w:tc>
      </w:tr>
    </w:tbl>
    <w:p>
      <w:r>
        <w:br w:type="page"/>
      </w:r>
    </w:p>
    <w:p>
      <w:pPr>
        <w:pStyle w:val="Heading1"/>
        <w:pBdr>
          <w:bottom w:val="single" w:color="006B6B" w:sz="4" w:space="4"/>
        </w:pBdr>
        <w:spacing w:before="320" w:after="160"/>
      </w:pPr>
      <w:r>
        <w:rPr>
          <w:rFonts w:ascii="Arial" w:cs="Arial" w:eastAsia="Arial" w:hAnsi="Arial"/>
          <w:b/>
          <w:bCs/>
          <w:color w:val="1B3A5C"/>
          <w:sz w:val="32"/>
          <w:szCs w:val="32"/>
        </w:rPr>
        <w:t xml:space="preserve">7. Conclusion</w:t>
      </w:r>
    </w:p>
    <w:p>
      <w:pPr>
        <w:spacing w:before="60" w:after="60"/>
      </w:pPr>
      <w:r>
        <w:rPr>
          <w:rFonts w:ascii="Arial" w:cs="Arial" w:eastAsia="Arial" w:hAnsi="Arial"/>
          <w:b w:val="false"/>
          <w:bCs w:val="false"/>
          <w:color w:val="1A1A1A"/>
          <w:sz w:val="20"/>
          <w:szCs w:val="20"/>
        </w:rPr>
        <w:t xml:space="preserve">The Langdale Estate is a well-established, award-winning luxury hospitality business with a strong operational reputation. However, from an ISO 27001:2022 perspective, the organisation is at an early stage of information security maturity. The current posture reflects a pattern common to the hospitality sector — strong operational delivery and physical awareness, with information security governance, documentation, and technical controls yet to be formally established.</w:t>
      </w:r>
    </w:p>
    <w:p>
      <w:pPr>
        <w:spacing w:before="120" w:after="120"/>
      </w:pPr>
      <w:r>
        <w:t xml:space="preserve"/>
      </w:r>
    </w:p>
    <w:p>
      <w:pPr>
        <w:spacing w:before="60" w:after="60"/>
      </w:pPr>
      <w:r>
        <w:rPr>
          <w:rFonts w:ascii="Arial" w:cs="Arial" w:eastAsia="Arial" w:hAnsi="Arial"/>
          <w:b w:val="false"/>
          <w:bCs w:val="false"/>
          <w:color w:val="1A1A1A"/>
          <w:sz w:val="20"/>
          <w:szCs w:val="20"/>
        </w:rPr>
        <w:t xml:space="preserve">This is not unusual for an organisation at the start of its ISMS journey, and it should not be viewed as a deterrent. The gap analysis findings presented in this report provide a clear, structured basis for improvement. The recommended 18-month roadmap is designed to be achievable within the resources of an organisation of this size, particularly if supported by an experienced ISMS implementation partner.</w:t>
      </w:r>
    </w:p>
    <w:p>
      <w:pPr>
        <w:spacing w:before="120" w:after="120"/>
      </w:pPr>
      <w:r>
        <w:t xml:space="preserve"/>
      </w:r>
    </w:p>
    <w:p>
      <w:pPr>
        <w:spacing w:before="60" w:after="60"/>
      </w:pPr>
      <w:r>
        <w:rPr>
          <w:rFonts w:ascii="Arial" w:cs="Arial" w:eastAsia="Arial" w:hAnsi="Arial"/>
          <w:b/>
          <w:bCs/>
          <w:color w:val="1A1A1A"/>
          <w:sz w:val="20"/>
          <w:szCs w:val="20"/>
        </w:rPr>
        <w:t xml:space="preserve">Achieving ISO 27001:2022 certification would deliver the following business benefits to The Langdale Estate:</w:t>
      </w:r>
    </w:p>
    <w:p>
      <w:pPr>
        <w:spacing w:before="120" w:after="120"/>
      </w:pPr>
      <w:r>
        <w:t xml:space="preserve"/>
      </w:r>
    </w:p>
    <w:p>
      <w:pPr>
        <w:pStyle w:val="ListParagraph"/>
        <w:numPr>
          <w:ilvl w:val="0"/>
          <w:numId w:val="2"/>
        </w:numPr>
        <w:spacing w:before="40" w:after="40"/>
      </w:pPr>
      <w:r>
        <w:rPr>
          <w:rFonts w:ascii="Arial" w:cs="Arial" w:eastAsia="Arial" w:hAnsi="Arial"/>
          <w:color w:val="1A1A1A"/>
          <w:sz w:val="20"/>
          <w:szCs w:val="20"/>
        </w:rPr>
        <w:t xml:space="preserve">Demonstrable commitment to protecting guest and staff personal data under UK GDPR</w:t>
      </w:r>
    </w:p>
    <w:p>
      <w:pPr>
        <w:pStyle w:val="ListParagraph"/>
        <w:numPr>
          <w:ilvl w:val="0"/>
          <w:numId w:val="2"/>
        </w:numPr>
        <w:spacing w:before="40" w:after="40"/>
      </w:pPr>
      <w:r>
        <w:rPr>
          <w:rFonts w:ascii="Arial" w:cs="Arial" w:eastAsia="Arial" w:hAnsi="Arial"/>
          <w:color w:val="1A1A1A"/>
          <w:sz w:val="20"/>
          <w:szCs w:val="20"/>
        </w:rPr>
        <w:t xml:space="preserve">Competitive differentiation in the premium hospitality market, particularly for corporate guests and events</w:t>
      </w:r>
    </w:p>
    <w:p>
      <w:pPr>
        <w:pStyle w:val="ListParagraph"/>
        <w:numPr>
          <w:ilvl w:val="0"/>
          <w:numId w:val="2"/>
        </w:numPr>
        <w:spacing w:before="40" w:after="40"/>
      </w:pPr>
      <w:r>
        <w:rPr>
          <w:rFonts w:ascii="Arial" w:cs="Arial" w:eastAsia="Arial" w:hAnsi="Arial"/>
          <w:color w:val="1A1A1A"/>
          <w:sz w:val="20"/>
          <w:szCs w:val="20"/>
        </w:rPr>
        <w:t xml:space="preserve">Reduced risk of data breach, associated ICO enforcement action, and reputational damage</w:t>
      </w:r>
    </w:p>
    <w:p>
      <w:pPr>
        <w:pStyle w:val="ListParagraph"/>
        <w:numPr>
          <w:ilvl w:val="0"/>
          <w:numId w:val="2"/>
        </w:numPr>
        <w:spacing w:before="40" w:after="40"/>
      </w:pPr>
      <w:r>
        <w:rPr>
          <w:rFonts w:ascii="Arial" w:cs="Arial" w:eastAsia="Arial" w:hAnsi="Arial"/>
          <w:color w:val="1A1A1A"/>
          <w:sz w:val="20"/>
          <w:szCs w:val="20"/>
        </w:rPr>
        <w:t xml:space="preserve">Improved supply chain and OTA partner confidence</w:t>
      </w:r>
    </w:p>
    <w:p>
      <w:pPr>
        <w:pStyle w:val="ListParagraph"/>
        <w:numPr>
          <w:ilvl w:val="0"/>
          <w:numId w:val="2"/>
        </w:numPr>
        <w:spacing w:before="40" w:after="40"/>
      </w:pPr>
      <w:r>
        <w:rPr>
          <w:rFonts w:ascii="Arial" w:cs="Arial" w:eastAsia="Arial" w:hAnsi="Arial"/>
          <w:color w:val="1A1A1A"/>
          <w:sz w:val="20"/>
          <w:szCs w:val="20"/>
        </w:rPr>
        <w:t xml:space="preserve">A structured, auditable approach to information security that scales with business growth</w:t>
      </w:r>
    </w:p>
    <w:p>
      <w:pPr>
        <w:spacing w:before="120" w:after="120"/>
      </w:pPr>
      <w:r>
        <w:t xml:space="preserve"/>
      </w:r>
    </w:p>
    <w:p>
      <w:pPr>
        <w:spacing w:before="60" w:after="60"/>
      </w:pPr>
      <w:r>
        <w:rPr>
          <w:rFonts w:ascii="Arial" w:cs="Arial" w:eastAsia="Arial" w:hAnsi="Arial"/>
          <w:b w:val="false"/>
          <w:bCs w:val="false"/>
          <w:color w:val="1A1A1A"/>
          <w:sz w:val="20"/>
          <w:szCs w:val="20"/>
        </w:rPr>
        <w:t xml:space="preserve">The author is available to discuss the findings of this report and to support the development of an ISMS implementation plan.</w:t>
      </w:r>
    </w:p>
    <w:p>
      <w:pPr>
        <w:spacing w:before="120" w:after="120"/>
      </w:pPr>
      <w:r>
        <w:t xml:space="preserve"/>
      </w:r>
    </w:p>
    <w:p>
      <w:pPr>
        <w:spacing w:before="120" w:after="120"/>
      </w:pPr>
      <w:r>
        <w:t xml:space="preserve"/>
      </w:r>
    </w:p>
    <w:p>
      <w:pPr>
        <w:pBdr>
          <w:top w:val="single" w:color="006B6B" w:sz="4" w:space="6"/>
        </w:pBdr>
        <w:spacing w:before="240" w:after="80"/>
      </w:pPr>
      <w:r>
        <w:rPr>
          <w:rFonts w:ascii="Arial" w:cs="Arial" w:eastAsia="Arial" w:hAnsi="Arial"/>
          <w:b/>
          <w:bCs/>
          <w:color w:val="1B3A5C"/>
          <w:sz w:val="22"/>
          <w:szCs w:val="22"/>
        </w:rPr>
        <w:t xml:space="preserve">Gareth Sutton</w:t>
      </w:r>
    </w:p>
    <w:p>
      <w:pPr>
        <w:spacing w:before="60" w:after="60"/>
      </w:pPr>
      <w:r>
        <w:rPr>
          <w:rFonts w:ascii="Arial" w:cs="Arial" w:eastAsia="Arial" w:hAnsi="Arial"/>
          <w:b w:val="false"/>
          <w:bCs w:val="false"/>
          <w:color w:val="1A1A1A"/>
          <w:sz w:val="20"/>
          <w:szCs w:val="20"/>
        </w:rPr>
        <w:t xml:space="preserve">Cyber Security Professional | CompTIA Security+ (SY0-701)</w:t>
      </w:r>
    </w:p>
    <w:p>
      <w:pPr>
        <w:spacing w:before="60" w:after="60"/>
      </w:pPr>
      <w:r>
        <w:rPr>
          <w:rFonts w:ascii="Arial" w:cs="Arial" w:eastAsia="Arial" w:hAnsi="Arial"/>
          <w:b w:val="false"/>
          <w:bCs w:val="false"/>
          <w:color w:val="1A1A1A"/>
          <w:sz w:val="20"/>
          <w:szCs w:val="20"/>
        </w:rPr>
        <w:t xml:space="preserve">ISO 27001 Lead Implementer (Candidate)</w:t>
      </w:r>
    </w:p>
    <w:p>
      <w:pPr>
        <w:spacing w:before="60" w:after="60"/>
      </w:pPr>
      <w:r>
        <w:rPr>
          <w:rFonts w:ascii="Arial" w:cs="Arial" w:eastAsia="Arial" w:hAnsi="Arial"/>
          <w:b w:val="false"/>
          <w:bCs w:val="false"/>
          <w:color w:val="1A1A1A"/>
          <w:sz w:val="20"/>
          <w:szCs w:val="20"/>
        </w:rPr>
        <w:t xml:space="preserve">cysecsutton@gmail.com | linkedin.com/in/gareth-sutton999</w:t>
      </w:r>
    </w:p>
    <w:p>
      <w:pPr>
        <w:spacing w:before="60" w:after="60"/>
      </w:pPr>
      <w:r>
        <w:rPr>
          <w:rFonts w:ascii="Arial" w:cs="Arial" w:eastAsia="Arial" w:hAnsi="Arial"/>
          <w:b w:val="false"/>
          <w:bCs w:val="false"/>
          <w:color w:val="1A1A1A"/>
          <w:sz w:val="20"/>
          <w:szCs w:val="20"/>
        </w:rPr>
        <w:t xml:space="preserve">March 2026</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B6B" w:sz="4" w:space="4"/>
      </w:pBdr>
      <w:tabs>
        <w:tab w:val="right" w:pos="9026"/>
      </w:tabs>
      <w:spacing w:before="120"/>
    </w:pPr>
    <w:r>
      <w:rPr>
        <w:rFonts w:ascii="Arial" w:cs="Arial" w:eastAsia="Arial" w:hAnsi="Arial"/>
        <w:color w:val="777777"/>
        <w:sz w:val="16"/>
        <w:szCs w:val="16"/>
      </w:rPr>
      <w:t xml:space="preserve">Prepared by Gareth Sutton | LDE-ISMS-GAP-001 | March 2026</w:t>
    </w:r>
    <w:r>
      <w:rPr>
        <w:rFonts w:ascii="Arial" w:cs="Arial" w:eastAsia="Arial" w:hAnsi="Arial"/>
        <w:color w:val="777777"/>
        <w:sz w:val="16"/>
        <w:szCs w:val="16"/>
      </w:rPr>
      <w:t xml:space="preserve">	Page </w:t>
    </w:r>
    <w:fldSimple w:instr="PAGE">
      <w:r>
        <w:rPr>
          <w:rFonts w:ascii="Arial" w:cs="Arial" w:eastAsia="Arial" w:hAnsi="Arial"/>
          <w:color w:val="777777"/>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B6B" w:sz="4" w:space="4"/>
      </w:pBdr>
      <w:tabs>
        <w:tab w:val="right" w:pos="9026"/>
      </w:tabs>
      <w:spacing w:after="120"/>
    </w:pPr>
    <w:r>
      <w:rPr>
        <w:rFonts w:ascii="Arial" w:cs="Arial" w:eastAsia="Arial" w:hAnsi="Arial"/>
        <w:b/>
        <w:bCs/>
        <w:color w:val="1B3A5C"/>
        <w:sz w:val="18"/>
        <w:szCs w:val="18"/>
      </w:rPr>
      <w:t xml:space="preserve">ISO 27001:2022 Gap Analysis — The Langdale Estate</w:t>
    </w:r>
    <w:r>
      <w:rPr>
        <w:rFonts w:ascii="Arial" w:cs="Arial" w:eastAsia="Arial" w:hAnsi="Arial"/>
        <w:sz w:val="18"/>
        <w:szCs w:val="18"/>
      </w:rPr>
      <w:t xml:space="preserve">	</w:t>
    </w:r>
    <w:r>
      <w:rPr>
        <w:rFonts w:ascii="Arial" w:cs="Arial" w:eastAsia="Arial" w:hAnsi="Arial"/>
        <w:b/>
        <w:bCs/>
        <w:color w:val="C0392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06B6B"/>
      <w:sz w:val="24"/>
      <w:szCs w:val="24"/>
    </w:rPr>
  </w:style>
  <w:style w:type="paragraph" w:styleId="Heading3">
    <w:name w:val="Heading 3"/>
    <w:basedOn w:val="Normal"/>
    <w:next w:val="Normal"/>
    <w:qFormat/>
    <w:pPr>
      <w:spacing w:before="200" w:after="80"/>
      <w:outlineLvl w:val="2"/>
    </w:pPr>
    <w:rPr>
      <w:rFonts w:ascii="Arial" w:cs="Arial" w:eastAsia="Arial" w:hAnsi="Arial"/>
      <w:b/>
      <w:bCs/>
      <w:color w:val="1B3A5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2026-03-26T08:05:15.536Z</dcterms:created>
  <dcterms:modified xsi:type="dcterms:W3CDTF">2026-03-26T08:05:15.539Z</dcterms:modified>
</cp:coreProperties>
</file>

<file path=docProps/custom.xml><?xml version="1.0" encoding="utf-8"?>
<Properties xmlns="http://schemas.openxmlformats.org/officeDocument/2006/custom-properties" xmlns:vt="http://schemas.openxmlformats.org/officeDocument/2006/docPropsVTypes"/>
</file>