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B3A5C"/>
          <w:sz w:val="56"/>
          <w:szCs w:val="56"/>
        </w:rPr>
        <w:t xml:space="preserve">SECURITY INCIDENT RESPONSE PLAN</w:t>
      </w:r>
    </w:p>
    <w:p>
      <w:pPr>
        <w:spacing w:before="0" w:after="160"/>
        <w:jc w:val="center"/>
      </w:pPr>
      <w:r>
        <w:rPr>
          <w:rFonts w:ascii="Arial" w:cs="Arial" w:eastAsia="Arial" w:hAnsi="Arial"/>
          <w:i/>
          <w:iCs/>
          <w:color w:val="006B6B"/>
          <w:sz w:val="34"/>
          <w:szCs w:val="34"/>
        </w:rPr>
        <w:t xml:space="preserve">Ransomware Attack Scenario</w:t>
      </w:r>
    </w:p>
    <w:p>
      <w:pPr>
        <w:spacing w:before="0" w:after="500"/>
        <w:jc w:val="center"/>
      </w:pPr>
      <w:r>
        <w:rPr>
          <w:rFonts w:ascii="Arial" w:cs="Arial" w:eastAsia="Arial" w:hAnsi="Arial"/>
          <w:color w:val="666666"/>
          <w:sz w:val="24"/>
          <w:szCs w:val="24"/>
        </w:rPr>
        <w:t xml:space="preserve">NIST CSF 2.0 Aligned</w:t>
      </w:r>
    </w:p>
    <w:p>
      <w:pPr>
        <w:spacing w:before="0" w:after="120"/>
        <w:jc w:val="center"/>
      </w:pPr>
      <w:r>
        <w:rPr>
          <w:rFonts w:ascii="Arial" w:cs="Arial" w:eastAsia="Arial" w:hAnsi="Arial"/>
          <w:b/>
          <w:bCs/>
          <w:color w:val="1A1A1A"/>
          <w:sz w:val="32"/>
          <w:szCs w:val="32"/>
        </w:rPr>
        <w:t xml:space="preserve">Acme Professional Services Ltd</w:t>
      </w:r>
    </w:p>
    <w:p>
      <w:pPr>
        <w:spacing w:before="0" w:after="500"/>
        <w:jc w:val="center"/>
      </w:pPr>
      <w:r>
        <w:rPr>
          <w:rFonts w:ascii="Arial" w:cs="Arial" w:eastAsia="Arial" w:hAnsi="Arial"/>
          <w:i/>
          <w:iCs/>
          <w:color w:val="777777"/>
          <w:sz w:val="20"/>
          <w:szCs w:val="20"/>
        </w:rPr>
        <w:t xml:space="preserve">A fictional 80-person UK professional services firm (Portfolio Scenario)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1800"/>
        <w:gridCol w:w="220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Organisation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Acme Professional Services Ltd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Document Ref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APS-IRP-001</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Scenario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Ransomware Attack</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Version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1.0</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Prepared By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Gareth Sutton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Final</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Classification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Confidential</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March 2026</w:t>
            </w:r>
          </w:p>
        </w:tc>
      </w:tr>
    </w:tbl>
    <w:p>
      <w:pPr>
        <w:spacing w:before="500" w:after="120"/>
        <w:jc w:val="center"/>
      </w:pPr>
      <w:r>
        <w:rPr>
          <w:rFonts w:ascii="Arial" w:cs="Arial" w:eastAsia="Arial" w:hAnsi="Arial"/>
          <w:color w:val="555555"/>
          <w:sz w:val="20"/>
          <w:szCs w:val="20"/>
        </w:rPr>
        <w:t xml:space="preserve">Prepared by:</w:t>
      </w:r>
    </w:p>
    <w:p>
      <w:pPr>
        <w:spacing w:before="0" w:after="80"/>
        <w:jc w:val="center"/>
      </w:pPr>
      <w:r>
        <w:rPr>
          <w:rFonts w:ascii="Arial" w:cs="Arial" w:eastAsia="Arial" w:hAnsi="Arial"/>
          <w:b/>
          <w:bCs/>
          <w:color w:val="1B3A5C"/>
          <w:sz w:val="28"/>
          <w:szCs w:val="28"/>
        </w:rPr>
        <w:t xml:space="preserve">Gareth Sutton</w:t>
      </w:r>
    </w:p>
    <w:p>
      <w:pPr>
        <w:spacing w:before="0" w:after="80"/>
        <w:jc w:val="center"/>
      </w:pPr>
      <w:r>
        <w:rPr>
          <w:rFonts w:ascii="Arial" w:cs="Arial" w:eastAsia="Arial" w:hAnsi="Arial"/>
          <w:color w:val="555555"/>
          <w:sz w:val="20"/>
          <w:szCs w:val="20"/>
        </w:rPr>
        <w:t xml:space="preserve">Cyber Security Professional | CompTIA Security+ (SY0-701)</w:t>
      </w:r>
    </w:p>
    <w:p>
      <w:pPr>
        <w:spacing w:before="0" w:after="80"/>
        <w:jc w:val="center"/>
      </w:pPr>
      <w:r>
        <w:rPr>
          <w:rFonts w:ascii="Arial" w:cs="Arial" w:eastAsia="Arial" w:hAnsi="Arial"/>
          <w:color w:val="555555"/>
          <w:sz w:val="20"/>
          <w:szCs w:val="20"/>
        </w:rPr>
        <w:t xml:space="preserve">ISO 27001 Lead Implementer (Candidate) | NIST CSF Practitioner</w:t>
      </w:r>
    </w:p>
    <w:p>
      <w:pPr>
        <w:spacing w:before="0" w:after="80"/>
        <w:jc w:val="center"/>
      </w:pPr>
      <w:r>
        <w:rPr>
          <w:rFonts w:ascii="Arial" w:cs="Arial" w:eastAsia="Arial" w:hAnsi="Arial"/>
          <w:color w:val="006B6B"/>
          <w:sz w:val="20"/>
          <w:szCs w:val="20"/>
        </w:rPr>
        <w:t xml:space="preserve">cysecsutton@gmail.com | linkedin.com/in/gareth-sutton999</w:t>
      </w:r>
    </w:p>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1. Purpose &amp; Scope</w:t>
      </w:r>
    </w:p>
    <w:p>
      <w:pPr>
        <w:spacing w:before="60" w:after="60"/>
      </w:pPr>
      <w:r>
        <w:rPr>
          <w:rFonts w:ascii="Arial" w:cs="Arial" w:eastAsia="Arial" w:hAnsi="Arial"/>
          <w:b w:val="false"/>
          <w:bCs w:val="false"/>
          <w:color w:val="1A1A1A"/>
          <w:sz w:val="20"/>
          <w:szCs w:val="20"/>
        </w:rPr>
        <w:t xml:space="preserve">This Incident Response Plan (IRP) defines the structured approach to be taken by Acme Professional Services Ltd in the event of a ransomware attack or related cyber security incident. It is designed to minimise business impact, protect client and employee data, meet legal notification obligations, and restore normal operations as rapidly as possible.</w:t>
      </w:r>
    </w:p>
    <w:p>
      <w:pPr>
        <w:spacing w:before="100" w:after="100"/>
      </w:pPr>
      <w:r>
        <w:t xml:space="preserve"/>
      </w:r>
    </w:p>
    <w:p>
      <w:pPr>
        <w:spacing w:before="60" w:after="60"/>
      </w:pPr>
      <w:r>
        <w:rPr>
          <w:rFonts w:ascii="Arial" w:cs="Arial" w:eastAsia="Arial" w:hAnsi="Arial"/>
          <w:b w:val="false"/>
          <w:bCs w:val="false"/>
          <w:color w:val="1A1A1A"/>
          <w:sz w:val="20"/>
          <w:szCs w:val="20"/>
        </w:rPr>
        <w:t xml:space="preserve">This plan is aligned to the NIST Cybersecurity Framework 2.0 (CSF 2.0) five-function model: Identify, Protect, Detect, Respond, and Recover. It incorporates UK GDPR notification requirements, NCSC guidance on ransomware, and ISO/IEC 27035 (Information Security Incident Management) principles.</w:t>
      </w:r>
    </w:p>
    <w:p>
      <w:pPr>
        <w:spacing w:before="100" w:after="100"/>
      </w:pPr>
      <w:r>
        <w:t xml:space="preserve"/>
      </w:r>
    </w:p>
    <w:p>
      <w:pPr>
        <w:pStyle w:val="Heading2"/>
        <w:spacing w:before="240" w:after="120"/>
      </w:pPr>
      <w:r>
        <w:rPr>
          <w:rFonts w:ascii="Arial" w:cs="Arial" w:eastAsia="Arial" w:hAnsi="Arial"/>
          <w:b/>
          <w:bCs/>
          <w:color w:val="006B6B"/>
          <w:sz w:val="24"/>
          <w:szCs w:val="24"/>
        </w:rPr>
        <w:t xml:space="preserve">1.1 Scope</w:t>
      </w:r>
    </w:p>
    <w:p>
      <w:pPr>
        <w:pStyle w:val="ListParagraph"/>
        <w:numPr>
          <w:ilvl w:val="0"/>
          <w:numId w:val="2"/>
        </w:numPr>
        <w:spacing w:before="40" w:after="40"/>
      </w:pPr>
      <w:r>
        <w:rPr>
          <w:rFonts w:ascii="Arial" w:cs="Arial" w:eastAsia="Arial" w:hAnsi="Arial"/>
          <w:color w:val="1A1A1A"/>
          <w:sz w:val="20"/>
          <w:szCs w:val="20"/>
        </w:rPr>
        <w:t xml:space="preserve">All IT systems, endpoints, servers, cloud services, and network infrastructure operated by or on behalf of Acme Professional Services Ltd</w:t>
      </w:r>
    </w:p>
    <w:p>
      <w:pPr>
        <w:pStyle w:val="ListParagraph"/>
        <w:numPr>
          <w:ilvl w:val="0"/>
          <w:numId w:val="2"/>
        </w:numPr>
        <w:spacing w:before="40" w:after="40"/>
      </w:pPr>
      <w:r>
        <w:rPr>
          <w:rFonts w:ascii="Arial" w:cs="Arial" w:eastAsia="Arial" w:hAnsi="Arial"/>
          <w:color w:val="1A1A1A"/>
          <w:sz w:val="20"/>
          <w:szCs w:val="20"/>
        </w:rPr>
        <w:t xml:space="preserve">All staff, contractors, and third-party suppliers with access to Acme systems or data</w:t>
      </w:r>
    </w:p>
    <w:p>
      <w:pPr>
        <w:pStyle w:val="ListParagraph"/>
        <w:numPr>
          <w:ilvl w:val="0"/>
          <w:numId w:val="2"/>
        </w:numPr>
        <w:spacing w:before="40" w:after="40"/>
      </w:pPr>
      <w:r>
        <w:rPr>
          <w:rFonts w:ascii="Arial" w:cs="Arial" w:eastAsia="Arial" w:hAnsi="Arial"/>
          <w:color w:val="1A1A1A"/>
          <w:sz w:val="20"/>
          <w:szCs w:val="20"/>
        </w:rPr>
        <w:t xml:space="preserve">All incidents involving ransomware, malware, data breach, unauthorised access, denial of service, or significant service disruption</w:t>
      </w:r>
    </w:p>
    <w:p>
      <w:pPr>
        <w:spacing w:before="100" w:after="100"/>
      </w:pPr>
      <w:r>
        <w:t xml:space="preserve"/>
      </w:r>
    </w:p>
    <w:p>
      <w:pPr>
        <w:pStyle w:val="Heading2"/>
        <w:spacing w:before="240" w:after="120"/>
      </w:pPr>
      <w:r>
        <w:rPr>
          <w:rFonts w:ascii="Arial" w:cs="Arial" w:eastAsia="Arial" w:hAnsi="Arial"/>
          <w:b/>
          <w:bCs/>
          <w:color w:val="006B6B"/>
          <w:sz w:val="24"/>
          <w:szCs w:val="24"/>
        </w:rPr>
        <w:t xml:space="preserve">1.2 Plan Objectives</w:t>
      </w:r>
    </w:p>
    <w:p>
      <w:pPr>
        <w:pStyle w:val="ListParagraph"/>
        <w:numPr>
          <w:ilvl w:val="0"/>
          <w:numId w:val="3"/>
        </w:numPr>
        <w:spacing w:before="40" w:after="40"/>
      </w:pPr>
      <w:r>
        <w:rPr>
          <w:rFonts w:ascii="Arial" w:cs="Arial" w:eastAsia="Arial" w:hAnsi="Arial"/>
          <w:color w:val="1A1A1A"/>
          <w:sz w:val="20"/>
          <w:szCs w:val="20"/>
        </w:rPr>
        <w:t xml:space="preserve">Provide clear, actionable guidance for responding to a ransomware incident</w:t>
      </w:r>
    </w:p>
    <w:p>
      <w:pPr>
        <w:pStyle w:val="ListParagraph"/>
        <w:numPr>
          <w:ilvl w:val="0"/>
          <w:numId w:val="3"/>
        </w:numPr>
        <w:spacing w:before="40" w:after="40"/>
      </w:pPr>
      <w:r>
        <w:rPr>
          <w:rFonts w:ascii="Arial" w:cs="Arial" w:eastAsia="Arial" w:hAnsi="Arial"/>
          <w:color w:val="1A1A1A"/>
          <w:sz w:val="20"/>
          <w:szCs w:val="20"/>
        </w:rPr>
        <w:t xml:space="preserve">Define roles, responsibilities, and escalation paths for the Incident Response Team (IRT)</w:t>
      </w:r>
    </w:p>
    <w:p>
      <w:pPr>
        <w:pStyle w:val="ListParagraph"/>
        <w:numPr>
          <w:ilvl w:val="0"/>
          <w:numId w:val="3"/>
        </w:numPr>
        <w:spacing w:before="40" w:after="40"/>
      </w:pPr>
      <w:r>
        <w:rPr>
          <w:rFonts w:ascii="Arial" w:cs="Arial" w:eastAsia="Arial" w:hAnsi="Arial"/>
          <w:color w:val="1A1A1A"/>
          <w:sz w:val="20"/>
          <w:szCs w:val="20"/>
        </w:rPr>
        <w:t xml:space="preserve">Minimise the impact on business operations, clients, and staff</w:t>
      </w:r>
    </w:p>
    <w:p>
      <w:pPr>
        <w:pStyle w:val="ListParagraph"/>
        <w:numPr>
          <w:ilvl w:val="0"/>
          <w:numId w:val="3"/>
        </w:numPr>
        <w:spacing w:before="40" w:after="40"/>
      </w:pPr>
      <w:r>
        <w:rPr>
          <w:rFonts w:ascii="Arial" w:cs="Arial" w:eastAsia="Arial" w:hAnsi="Arial"/>
          <w:color w:val="1A1A1A"/>
          <w:sz w:val="20"/>
          <w:szCs w:val="20"/>
        </w:rPr>
        <w:t xml:space="preserve">Ensure compliance with UK GDPR 72-hour breach notification requirements</w:t>
      </w:r>
    </w:p>
    <w:p>
      <w:pPr>
        <w:pStyle w:val="ListParagraph"/>
        <w:numPr>
          <w:ilvl w:val="0"/>
          <w:numId w:val="3"/>
        </w:numPr>
        <w:spacing w:before="40" w:after="40"/>
      </w:pPr>
      <w:r>
        <w:rPr>
          <w:rFonts w:ascii="Arial" w:cs="Arial" w:eastAsia="Arial" w:hAnsi="Arial"/>
          <w:color w:val="1A1A1A"/>
          <w:sz w:val="20"/>
          <w:szCs w:val="20"/>
        </w:rPr>
        <w:t xml:space="preserve">Enable structured evidence collection to support forensic investigation</w:t>
      </w:r>
    </w:p>
    <w:p>
      <w:pPr>
        <w:pStyle w:val="ListParagraph"/>
        <w:numPr>
          <w:ilvl w:val="0"/>
          <w:numId w:val="3"/>
        </w:numPr>
        <w:spacing w:before="40" w:after="40"/>
      </w:pPr>
      <w:r>
        <w:rPr>
          <w:rFonts w:ascii="Arial" w:cs="Arial" w:eastAsia="Arial" w:hAnsi="Arial"/>
          <w:color w:val="1A1A1A"/>
          <w:sz w:val="20"/>
          <w:szCs w:val="20"/>
        </w:rPr>
        <w:t xml:space="preserve">Facilitate a thorough post-incident review and lessons-learned process</w:t>
      </w:r>
    </w:p>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2. Incident Response Team (IRT)</w:t>
      </w:r>
    </w:p>
    <w:p>
      <w:pPr>
        <w:spacing w:before="60" w:after="60"/>
      </w:pPr>
      <w:r>
        <w:rPr>
          <w:rFonts w:ascii="Arial" w:cs="Arial" w:eastAsia="Arial" w:hAnsi="Arial"/>
          <w:b w:val="false"/>
          <w:bCs w:val="false"/>
          <w:color w:val="1A1A1A"/>
          <w:sz w:val="20"/>
          <w:szCs w:val="20"/>
        </w:rPr>
        <w:t xml:space="preserve">The following roles form the Incident Response Team. Named postholders should be identified and documented in the organisation's live version of this plan. All IRT members should receive a copy of this plan and be briefed on their responsibilities annually.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160"/>
        <w:gridCol w:w="12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Role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Typical Postholder</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Responsibilities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Incident Commander (IC)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IT Manager / Senior Leader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Overall coordination of incident response. Single point of command. Approves major decisions including shutdown, recovery, and external notifications.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Technical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IT Administrator / MSP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investigation, containment, eradication, and system recovery. Owns all technical actions.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Communications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HR Manager / Senior Manager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Internal and external communications including staff briefings, customer notifications, and media enquiries. Liaises with legal counsel.</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Legal &amp; Compliance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Legal Counsel / DPO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Assesses legal obligations. Decides on ICO notification. Reviews all external communications. Manages regulatory exposure.</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Business Continuity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Operations Manager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Activates and manages business continuity procedures. Ensures critical business functions continue during incident.</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Documentation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Office Manager / Analyst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Maintains the incident log. Records all actions, decisions, timelines, and evidence throughout the incident lifecycle.</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jc w:val="left"/>
            </w:pPr>
            <w:r>
              <w:rPr>
                <w:rFonts w:ascii="Arial" w:cs="Arial" w:eastAsia="Arial" w:hAnsi="Arial"/>
                <w:b/>
                <w:bCs/>
                <w:i w:val="false"/>
                <w:iCs w:val="false"/>
                <w:color w:val="7D6608"/>
                <w:sz w:val="18"/>
                <w:szCs w:val="18"/>
              </w:rPr>
              <w:t xml:space="preserve">Medium</w:t>
            </w:r>
          </w:p>
        </w:tc>
      </w:tr>
    </w:tbl>
    <w:p>
      <w:pPr>
        <w:spacing w:before="100" w:after="100"/>
      </w:pPr>
      <w:r>
        <w:t xml:space="preserve"/>
      </w:r>
    </w:p>
    <w:p>
      <w:pPr>
        <w:spacing w:before="60" w:after="60"/>
      </w:pPr>
      <w:r>
        <w:rPr>
          <w:rFonts w:ascii="Arial" w:cs="Arial" w:eastAsia="Arial" w:hAnsi="Arial"/>
          <w:b w:val="false"/>
          <w:bCs w:val="false"/>
          <w:color w:val="777777"/>
          <w:sz w:val="20"/>
          <w:szCs w:val="20"/>
        </w:rPr>
        <w:t xml:space="preserve">In the absence of a named individual, the next senior available member of staff assumes the role. The Incident Commander has authority to make binding decisions during the incident without further approval.</w:t>
      </w:r>
    </w:p>
    <w:p>
      <w:pPr>
        <w:spacing w:before="100" w:after="100"/>
      </w:pPr>
      <w:r>
        <w:t xml:space="preserve"/>
      </w:r>
    </w:p>
    <w:p>
      <w:pPr>
        <w:pStyle w:val="Heading2"/>
        <w:spacing w:before="240" w:after="120"/>
      </w:pPr>
      <w:r>
        <w:rPr>
          <w:rFonts w:ascii="Arial" w:cs="Arial" w:eastAsia="Arial" w:hAnsi="Arial"/>
          <w:b/>
          <w:bCs/>
          <w:color w:val="006B6B"/>
          <w:sz w:val="24"/>
          <w:szCs w:val="24"/>
        </w:rPr>
        <w:t xml:space="preserve">2.1 IRT Contact Details</w:t>
      </w:r>
    </w:p>
    <w:p>
      <w:pPr>
        <w:spacing w:before="60" w:after="60"/>
      </w:pPr>
      <w:r>
        <w:rPr>
          <w:rFonts w:ascii="Arial" w:cs="Arial" w:eastAsia="Arial" w:hAnsi="Arial"/>
          <w:b w:val="false"/>
          <w:bCs w:val="false"/>
          <w:color w:val="1A1A1A"/>
          <w:sz w:val="20"/>
          <w:szCs w:val="20"/>
        </w:rPr>
        <w:t xml:space="preserve">The following contacts should be available 24/7 during a declared incident. This page should be stored offline (printed copy) and in a secure location accessible without network access.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gridCol w:w="1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Role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Contact / Organisation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Phone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Email</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Incident Commander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[Email]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Internal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[Email]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Internal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Legal Counsel / DPO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[Email]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Internal/External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IT Managed Service Provider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[MSP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[Email]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External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Cyber Insurance Provider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[Insurer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[Policy Number / 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[Email]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External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ICO Helpline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Information Commissioner's Office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0303 123 1113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casework@ico.org.uk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Regulatory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NCSC Cyber Incident Helpline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National Cyber Security Centre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0300 020 0973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incidents@ncsc.gov.uk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Government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Action Fraud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National Fraud &amp; Cyber Crime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0300 123 2040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actionfraud.police.uk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Law Enforcement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Local Police (non-emergency)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Law Enforcement</w:t>
            </w:r>
          </w:p>
        </w:tc>
      </w:tr>
    </w:tbl>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3. Incident Severity Classification</w:t>
      </w:r>
    </w:p>
    <w:p>
      <w:pPr>
        <w:spacing w:before="60" w:after="60"/>
      </w:pPr>
      <w:r>
        <w:rPr>
          <w:rFonts w:ascii="Arial" w:cs="Arial" w:eastAsia="Arial" w:hAnsi="Arial"/>
          <w:b w:val="false"/>
          <w:bCs w:val="false"/>
          <w:color w:val="1A1A1A"/>
          <w:sz w:val="20"/>
          <w:szCs w:val="20"/>
        </w:rPr>
        <w:t xml:space="preserve">All incidents must be assigned a severity level immediately upon detection. Severity determines the speed of IRT activation, escalation path, and notification obligations. Severity may be upgraded at any point as more information becomes available.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400"/>
        <w:gridCol w:w="1560"/>
        <w:gridCol w:w="20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Severity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Examples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Response Time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IRT Activation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Escalation</w:t>
            </w:r>
          </w:p>
        </w:tc>
      </w:tr>
      <w:t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P1 — 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Ransomware encryption in progress. Mass data exfiltration detected. Full system unavailability. Payment data breach confirmed.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Immediate — within 15 minutes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Incident Commander + Full IRT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CEO, Board, Legal, ICO (if applicable)</w:t>
            </w:r>
          </w:p>
        </w:tc>
      </w:tr>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P2 — 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Single system compromise. Suspected data breach (unconfirmed). Malware detected but not spreading. Significant service disruption.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1 hour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Incident Commander + Technical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Senior Management, Legal</w:t>
            </w:r>
          </w:p>
        </w:tc>
      </w:tr>
      <w:tr>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jc w:val="left"/>
            </w:pPr>
            <w:r>
              <w:rPr>
                <w:rFonts w:ascii="Arial" w:cs="Arial" w:eastAsia="Arial" w:hAnsi="Arial"/>
                <w:b/>
                <w:bCs/>
                <w:i w:val="false"/>
                <w:iCs w:val="false"/>
                <w:color w:val="7D6608"/>
                <w:sz w:val="18"/>
                <w:szCs w:val="18"/>
              </w:rPr>
              <w:t xml:space="preserve">P3 — 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Phishing email opened. Suspicious login activity. Minor malware detected. Policy violation detected.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4 hours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 + Documentation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IT Manager, Line Manager</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i w:val="false"/>
                <w:iCs w:val="false"/>
                <w:color w:val="1E8449"/>
                <w:sz w:val="18"/>
                <w:szCs w:val="18"/>
              </w:rPr>
              <w:t xml:space="preserve">P4 — 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Suspicious email reported (not opened). Minor policy violation. Failed login attempts.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24 hours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IT Manager</w:t>
            </w:r>
          </w:p>
        </w:tc>
      </w:tr>
    </w:tbl>
    <w:p>
      <w:pPr>
        <w:spacing w:before="100" w:after="100"/>
      </w:pPr>
      <w:r>
        <w:t xml:space="preserve"/>
      </w:r>
    </w:p>
    <w:p>
      <w:pPr>
        <w:spacing w:before="60" w:after="60"/>
      </w:pPr>
      <w:r>
        <w:rPr>
          <w:rFonts w:ascii="Arial" w:cs="Arial" w:eastAsia="Arial" w:hAnsi="Arial"/>
          <w:b/>
          <w:bCs/>
          <w:color w:val="1A1A1A"/>
          <w:sz w:val="20"/>
          <w:szCs w:val="20"/>
        </w:rPr>
        <w:t xml:space="preserve">A ransomware attack affecting business systems should be classified as P1 — Critical by default, pending investigation.</w:t>
      </w:r>
    </w:p>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4. Response Phases — Ransomware Scenario</w:t>
      </w:r>
    </w:p>
    <w:p>
      <w:pPr>
        <w:spacing w:before="60" w:after="60"/>
      </w:pPr>
      <w:r>
        <w:rPr>
          <w:rFonts w:ascii="Arial" w:cs="Arial" w:eastAsia="Arial" w:hAnsi="Arial"/>
          <w:b w:val="false"/>
          <w:bCs w:val="false"/>
          <w:color w:val="1A1A1A"/>
          <w:sz w:val="20"/>
          <w:szCs w:val="20"/>
        </w:rPr>
        <w:t xml:space="preserve">The following phases follow the NIST CSF Respond and Recover functions and are designed specifically for a ransomware attack scenario. Each phase must be completed before progressing to the next, unless the Incident Commander formally approves parallel working.</w:t>
      </w:r>
    </w:p>
    <w:p>
      <w:pPr>
        <w:spacing w:before="100" w:after="100"/>
      </w:pPr>
      <w:r>
        <w:t xml:space="preserve"/>
      </w:r>
    </w:p>
    <w:p>
      <w:pPr>
        <w:pStyle w:val="Heading2"/>
        <w:spacing w:before="240" w:after="120"/>
      </w:pPr>
      <w:r>
        <w:rPr>
          <w:rFonts w:ascii="Arial" w:cs="Arial" w:eastAsia="Arial" w:hAnsi="Arial"/>
          <w:b/>
          <w:bCs/>
          <w:color w:val="006B6B"/>
          <w:sz w:val="24"/>
          <w:szCs w:val="24"/>
        </w:rPr>
        <w:t xml:space="preserve">Phase 1 — Detection &amp; Initial Assessment</w:t>
      </w:r>
    </w:p>
    <w:p>
      <w:pPr>
        <w:spacing w:before="60" w:after="60"/>
      </w:pPr>
      <w:r>
        <w:rPr>
          <w:rFonts w:ascii="Arial" w:cs="Arial" w:eastAsia="Arial" w:hAnsi="Arial"/>
          <w:b w:val="false"/>
          <w:bCs w:val="false"/>
          <w:color w:val="1A1A1A"/>
          <w:sz w:val="20"/>
          <w:szCs w:val="20"/>
        </w:rPr>
        <w:t xml:space="preserve">Trigger: Staff member reports encrypted files, ransomware note on screen, inability to access systems, or unusual network activity.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220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Step</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Timeframe</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1.1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Receive and log the initial report. Record: who reported it, when, what they observed, and which systems are affected.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Documentation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Immediate</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 NOT attempt to pay the ransom, click links in the ransom note, or negotiate with attackers at this stage.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All Staff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Immediate</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1.3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Notify the Incident Commander immediately. IC declares the incident and activates the IRT.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Reporting Staff Member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15 mins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1.4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 begins initial scoping: how many systems are affected? Is encryption still in progress? Is data being exfiltrated?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30 mins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Incident Commander assigns severity level (default P1 for ransomware). Activates this plan fully.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Incident Commander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30 mins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1.6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Documentation Lead opens the Incident Log (Appendix A) and begins recording all actions with timestamps.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Documentation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Immediately</w:t>
            </w:r>
          </w:p>
        </w:tc>
      </w:tr>
    </w:tbl>
    <w:p>
      <w:pPr>
        <w:spacing w:before="100" w:after="100"/>
      </w:pPr>
      <w:r>
        <w:t xml:space="preserve"/>
      </w:r>
    </w:p>
    <w:p>
      <w:pPr>
        <w:pStyle w:val="Heading2"/>
        <w:spacing w:before="240" w:after="120"/>
      </w:pPr>
      <w:r>
        <w:rPr>
          <w:rFonts w:ascii="Arial" w:cs="Arial" w:eastAsia="Arial" w:hAnsi="Arial"/>
          <w:b/>
          <w:bCs/>
          <w:color w:val="006B6B"/>
          <w:sz w:val="24"/>
          <w:szCs w:val="24"/>
        </w:rPr>
        <w:t xml:space="preserve">Phase 2 — Containment</w:t>
      </w:r>
    </w:p>
    <w:p>
      <w:pPr>
        <w:spacing w:before="60" w:after="60"/>
      </w:pPr>
      <w:r>
        <w:rPr>
          <w:rFonts w:ascii="Arial" w:cs="Arial" w:eastAsia="Arial" w:hAnsi="Arial"/>
          <w:b w:val="false"/>
          <w:bCs w:val="false"/>
          <w:color w:val="1A1A1A"/>
          <w:sz w:val="20"/>
          <w:szCs w:val="20"/>
        </w:rPr>
        <w:t xml:space="preserve">Objective: Stop the ransomware spreading to unaffected systems. Speed is critical — every minute of delay increases the blast radius.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220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Step</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Timeframe</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Isolate affected systems IMMEDIATELY. Disconnect from the network (unplug ethernet / disable Wi-Fi). Do NOT power off — forensic evidence may be lost.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1 hour</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2.2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Identify the initial infection vector if possible (phishing email, RDP exploit, USB, supply chain). Preserve all evidence — do not delete emails or 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1 hour</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2.3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Identify all potentially affected systems. Check for lateral movement — are any other machines showing signs of compromise?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2 hours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2.4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Disable compromised user accounts. Force password resets on all administrative accounts from a clean, unaffected device.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2 hours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2.5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Block identified malicious IP addresses, domains, or email senders at the firewall/email gateway level.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 / MSP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2 hours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Notify cyber insurance provider. Many policies require immediate notification — check policy terms. Insurer may provide incident response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Incident Commander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2 hours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2.7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Legal Lead begins assessment of UK GDPR notification obligations. Clock starts from point of confirmed personal data breach.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Legal / DPO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2 hours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2.8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Business Continuity Lead activates manual/offline working procedures to keep critical business functions operating.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BC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2 hours</w:t>
            </w:r>
          </w:p>
        </w:tc>
      </w:tr>
    </w:tbl>
    <w:p>
      <w:pPr>
        <w:spacing w:before="100" w:after="100"/>
      </w:pPr>
      <w:r>
        <w:t xml:space="preserve"/>
      </w:r>
    </w:p>
    <w:p>
      <w:pPr>
        <w:pStyle w:val="Heading2"/>
        <w:spacing w:before="240" w:after="120"/>
      </w:pPr>
      <w:r>
        <w:rPr>
          <w:rFonts w:ascii="Arial" w:cs="Arial" w:eastAsia="Arial" w:hAnsi="Arial"/>
          <w:b/>
          <w:bCs/>
          <w:color w:val="006B6B"/>
          <w:sz w:val="24"/>
          <w:szCs w:val="24"/>
        </w:rPr>
        <w:t xml:space="preserve">Phase 3 — Eradication</w:t>
      </w:r>
    </w:p>
    <w:p>
      <w:pPr>
        <w:spacing w:before="60" w:after="60"/>
      </w:pPr>
      <w:r>
        <w:rPr>
          <w:rFonts w:ascii="Arial" w:cs="Arial" w:eastAsia="Arial" w:hAnsi="Arial"/>
          <w:b w:val="false"/>
          <w:bCs w:val="false"/>
          <w:color w:val="1A1A1A"/>
          <w:sz w:val="20"/>
          <w:szCs w:val="20"/>
        </w:rPr>
        <w:t xml:space="preserve">Objective: Remove all traces of the ransomware and malware from the environment before attempting any recovery.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220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Step</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Timeframe</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3.1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Engage specialist forensic support if not already in place (via cyber insurer, NCSC, or specialist IR firm). Do not attempt to decrypt files without expert guidance.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Incident Commander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Day 1–2</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3.2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Identify the specific ransomware variant using available tools (e.g. ID Ransomware at nomoreransom.org). This may identify available decryptors.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 / Forensics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Day 1–2</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3.3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Conduct full malware scan of all systems — including those not visibly affected. Use known-clean scan tools from removable media.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Day 1–3</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3.4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Remove all identified malware, backdoors, persistence mechanisms, and attacker-created accounts from affected systems.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 / Forensics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Day 2–4</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3.5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Patch the identified vulnerability that was exploited (e.g. unpatched RDP, phishing-delivered macro). Ensure patching is applied before reconnection.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Before reconnection</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3.6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Document all systems confirmed clean with evidence. Maintain chain of custody for forensic evidence.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Documentation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Throughout</w:t>
            </w:r>
          </w:p>
        </w:tc>
      </w:tr>
    </w:tbl>
    <w:p>
      <w:pPr>
        <w:spacing w:before="100" w:after="100"/>
      </w:pPr>
      <w:r>
        <w:t xml:space="preserve"/>
      </w:r>
    </w:p>
    <w:p>
      <w:pPr>
        <w:pStyle w:val="Heading2"/>
        <w:spacing w:before="240" w:after="120"/>
      </w:pPr>
      <w:r>
        <w:rPr>
          <w:rFonts w:ascii="Arial" w:cs="Arial" w:eastAsia="Arial" w:hAnsi="Arial"/>
          <w:b/>
          <w:bCs/>
          <w:color w:val="006B6B"/>
          <w:sz w:val="24"/>
          <w:szCs w:val="24"/>
        </w:rPr>
        <w:t xml:space="preserve">Phase 4 — Notification &amp; Communication</w:t>
      </w:r>
    </w:p>
    <w:p>
      <w:pPr>
        <w:spacing w:before="60" w:after="60"/>
      </w:pPr>
      <w:r>
        <w:rPr>
          <w:rFonts w:ascii="Arial" w:cs="Arial" w:eastAsia="Arial" w:hAnsi="Arial"/>
          <w:b w:val="false"/>
          <w:bCs w:val="false"/>
          <w:color w:val="1A1A1A"/>
          <w:sz w:val="20"/>
          <w:szCs w:val="20"/>
        </w:rPr>
        <w:t xml:space="preserve">Objective: Meet all legal notification obligations and communicate appropriately with affected parties. Communications must be approved by the IC and Legal Lead before issue.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220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Step</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Timeframe</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4.1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UK GDPR: If personal data of individuals has been breached, notify the ICO within 72 hours of becoming aware. Use the ICO online portal. Document the notification.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Legal / DPO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72 hours of confirmed breach</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4.2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If high-risk individuals are affected (e.g. client personal data, sensitive categories), notify affected individuals directly without undue delay.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Legal / Communications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As soon as practicable</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4.3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Notify affected clients of service disruption. Communicate expected timeline, what is known, and what actions they should take. Avoid speculation.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Communications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24 hours of disruption</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4.4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Brief all staff on the situation. Instruct them not to discuss the incident externally, on social media, or with the press.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Communications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4 hours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4.5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If the attack involved financial fraud or data theft, report to Action Fraud (0300 123 2040).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Legal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24 hours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4.6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If ransom payment is being considered (strongly discouraged), obtain legal advice. OFAC sanctions may apply to certain payments. Notify NCSC.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Legal Lead / 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Before any payment decision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160"/>
              <w:bottom w:type="dxa" w:w="120"/>
              <w:right w:type="dxa" w:w="160"/>
            </w:tcMar>
          </w:tcPr>
          <w:p>
            <w:r>
              <w:rPr>
                <w:rFonts w:ascii="Arial" w:cs="Arial" w:eastAsia="Arial" w:hAnsi="Arial"/>
                <w:b/>
                <w:bCs/>
                <w:color w:val="C0392B"/>
                <w:sz w:val="20"/>
                <w:szCs w:val="20"/>
              </w:rPr>
              <w:t xml:space="preserve">IMPORTANT — Ransom Payment Warning</w:t>
            </w:r>
          </w:p>
          <w:p>
            <w:pPr>
              <w:spacing w:before="80"/>
            </w:pPr>
            <w:r>
              <w:rPr>
                <w:rFonts w:ascii="Arial" w:cs="Arial" w:eastAsia="Arial" w:hAnsi="Arial"/>
                <w:color w:val="5D0000"/>
                <w:sz w:val="18"/>
                <w:szCs w:val="18"/>
              </w:rPr>
              <w:t xml:space="preserve">Paying a ransom does not guarantee file recovery, does not prevent attackers publishing stolen data, and may fund criminal or sanctioned organisations. The NCSC and UK Government strongly advise against payment. Any decision to pay must involve legal counsel and be reported to NCSC.</w:t>
            </w:r>
          </w:p>
        </w:tc>
      </w:tr>
    </w:tbl>
    <w:p>
      <w:pPr>
        <w:spacing w:before="100" w:after="100"/>
      </w:pPr>
      <w:r>
        <w:t xml:space="preserve"/>
      </w:r>
    </w:p>
    <w:p>
      <w:pPr>
        <w:pStyle w:val="Heading2"/>
        <w:spacing w:before="240" w:after="120"/>
      </w:pPr>
      <w:r>
        <w:rPr>
          <w:rFonts w:ascii="Arial" w:cs="Arial" w:eastAsia="Arial" w:hAnsi="Arial"/>
          <w:b/>
          <w:bCs/>
          <w:color w:val="006B6B"/>
          <w:sz w:val="24"/>
          <w:szCs w:val="24"/>
        </w:rPr>
        <w:t xml:space="preserve">Phase 5 — Recovery</w:t>
      </w:r>
    </w:p>
    <w:p>
      <w:pPr>
        <w:spacing w:before="60" w:after="60"/>
      </w:pPr>
      <w:r>
        <w:rPr>
          <w:rFonts w:ascii="Arial" w:cs="Arial" w:eastAsia="Arial" w:hAnsi="Arial"/>
          <w:b w:val="false"/>
          <w:bCs w:val="false"/>
          <w:color w:val="1A1A1A"/>
          <w:sz w:val="20"/>
          <w:szCs w:val="20"/>
        </w:rPr>
        <w:t xml:space="preserve">Objective: Restore systems to normal operation from known-clean backups. No system should be reconnected until cleared by the Technical Lead.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220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Step</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Timeframe</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5.1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Verify backup integrity BEFORE restoration. Confirm backups are clean and pre-date the infection. Use checksums/hash verification where possible.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Before recovery begins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5.2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Restore systems in priority order: business-critical systems first (email, client management, finance), then secondary systems.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Day 3–7</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5.3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Reconnect restored systems to the network in a controlled, staged manner. Monitor closely for re-infection or residual attacker activity.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Day 3–7</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5.4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Force password resets for all user accounts across the organisation — not just those on affected systems.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Before user access restored</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5.5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Verify that all critical business processes are functioning correctly before declaring recovery complete.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BC Lead / 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Day 5–10</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5.6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Communicate recovery status to clients, staff, and stakeholders. Confirm service restoration.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Communications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When applicable</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5.7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Incident Commander formally declares the incident closed once all recovery steps are confirmed complete.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Incident Commander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When verified</w:t>
            </w:r>
          </w:p>
        </w:tc>
      </w:tr>
    </w:tbl>
    <w:p>
      <w:pPr>
        <w:spacing w:before="100" w:after="100"/>
      </w:pPr>
      <w:r>
        <w:t xml:space="preserve"/>
      </w:r>
    </w:p>
    <w:p>
      <w:pPr>
        <w:pStyle w:val="Heading2"/>
        <w:spacing w:before="240" w:after="120"/>
      </w:pPr>
      <w:r>
        <w:rPr>
          <w:rFonts w:ascii="Arial" w:cs="Arial" w:eastAsia="Arial" w:hAnsi="Arial"/>
          <w:b/>
          <w:bCs/>
          <w:color w:val="006B6B"/>
          <w:sz w:val="24"/>
          <w:szCs w:val="24"/>
        </w:rPr>
        <w:t xml:space="preserve">Phase 6 — Post-Incident Review (Lessons Learned)</w:t>
      </w:r>
    </w:p>
    <w:p>
      <w:pPr>
        <w:spacing w:before="60" w:after="60"/>
      </w:pPr>
      <w:r>
        <w:rPr>
          <w:rFonts w:ascii="Arial" w:cs="Arial" w:eastAsia="Arial" w:hAnsi="Arial"/>
          <w:b w:val="false"/>
          <w:bCs w:val="false"/>
          <w:color w:val="1A1A1A"/>
          <w:sz w:val="20"/>
          <w:szCs w:val="20"/>
        </w:rPr>
        <w:t xml:space="preserve">A post-incident review must be conducted within 14 days of incident closure. This is a mandatory step — skipping this phase means the organisation fails to learn from the attack and remains vulnerable to recurrence.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220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Step</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Timeframe</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6.1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Schedule a lessons-learned meeting with all IRT members within 14 days of incident closure.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Incident Commander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14 days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6.2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Produce a Post-Incident Report (PIR) covering: timeline of events, root cause, impact assessment, response effectiveness, and recommendations.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Documentation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21 days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6.3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Review and update this IRP based on lessons learned. Revise any procedures that proved ineffective during the incident.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 / 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30 days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6.4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Identify and implement technical improvements: patching gaps, detection gaps, backup failures, access control weaknesses.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Technical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30 days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6.5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Deliver a targeted staff awareness session based on the attack vector used (e.g. phishing simulation if phishing was the entry 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Communications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30 days</w:t>
            </w:r>
          </w:p>
        </w:tc>
      </w:tr>
      <w:tr>
        <w:tc>
          <w:tcPr>
            <w:tcW w:type="dxa" w:w="1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6.6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File the completed PIR in the ISMS document library. Update the risk register to reflect post-incident risk treatment decisions.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Documentation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Within 30 days</w:t>
            </w:r>
          </w:p>
        </w:tc>
      </w:tr>
    </w:tbl>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5. Communication Templates</w:t>
      </w:r>
    </w:p>
    <w:p>
      <w:pPr>
        <w:pStyle w:val="Heading2"/>
        <w:spacing w:before="240" w:after="120"/>
      </w:pPr>
      <w:r>
        <w:rPr>
          <w:rFonts w:ascii="Arial" w:cs="Arial" w:eastAsia="Arial" w:hAnsi="Arial"/>
          <w:b/>
          <w:bCs/>
          <w:color w:val="006B6B"/>
          <w:sz w:val="24"/>
          <w:szCs w:val="24"/>
        </w:rPr>
        <w:t xml:space="preserve">5.1 Internal Staff Notification</w:t>
      </w:r>
    </w:p>
    <w:p>
      <w:pPr>
        <w:shd w:fill="D6E4F0" w:val="clea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b/>
                <w:bCs/>
                <w:color w:val="1B3A5C"/>
                <w:sz w:val="20"/>
                <w:szCs w:val="20"/>
              </w:rPr>
              <w:t xml:space="preserve">Subject: Important — IT Security Incident [DO NOT DISCUSS EXTERNALLY]</w:t>
            </w:r>
          </w:p>
          <w:p>
            <w:pPr>
              <w:spacing w:before="120"/>
            </w:pPr>
            <w:r>
              <w:rPr>
                <w:rFonts w:ascii="Arial" w:cs="Arial" w:eastAsia="Arial" w:hAnsi="Arial"/>
                <w:sz w:val="20"/>
                <w:szCs w:val="20"/>
              </w:rPr>
              <w:t xml:space="preserve">All Staff,</w:t>
            </w:r>
          </w:p>
          <w:p>
            <w:pPr>
              <w:spacing w:before="80"/>
            </w:pPr>
            <w:r>
              <w:rPr>
                <w:rFonts w:ascii="Arial" w:cs="Arial" w:eastAsia="Arial" w:hAnsi="Arial"/>
                <w:sz w:val="20"/>
                <w:szCs w:val="20"/>
              </w:rPr>
              <w:t xml:space="preserve">We are currently managing an IT security incident affecting [describe systems]. Our IT team is working to resolve this as quickly as possible.</w:t>
            </w:r>
          </w:p>
          <w:p>
            <w:pPr>
              <w:spacing w:before="80"/>
            </w:pPr>
            <w:r>
              <w:rPr>
                <w:rFonts w:ascii="Arial" w:cs="Arial" w:eastAsia="Arial" w:hAnsi="Arial"/>
                <w:b/>
                <w:bCs/>
                <w:sz w:val="20"/>
                <w:szCs w:val="20"/>
              </w:rPr>
              <w:t xml:space="preserve">Please take the following actions immediately:</w:t>
            </w:r>
          </w:p>
          <w:p>
            <w:pPr>
              <w:spacing w:before="40"/>
            </w:pPr>
            <w:r>
              <w:rPr>
                <w:rFonts w:ascii="Arial" w:cs="Arial" w:eastAsia="Arial" w:hAnsi="Arial"/>
                <w:sz w:val="20"/>
                <w:szCs w:val="20"/>
              </w:rPr>
              <w:t xml:space="preserve">1. Stop using [affected systems] immediately.</w:t>
            </w:r>
          </w:p>
          <w:p>
            <w:pPr>
              <w:spacing w:before="40"/>
            </w:pPr>
            <w:r>
              <w:rPr>
                <w:rFonts w:ascii="Arial" w:cs="Arial" w:eastAsia="Arial" w:hAnsi="Arial"/>
                <w:sz w:val="20"/>
                <w:szCs w:val="20"/>
              </w:rPr>
              <w:t xml:space="preserve">2. Do not attempt to access, copy, or delete any files.</w:t>
            </w:r>
          </w:p>
          <w:p>
            <w:pPr>
              <w:spacing w:before="40"/>
            </w:pPr>
            <w:r>
              <w:rPr>
                <w:rFonts w:ascii="Arial" w:cs="Arial" w:eastAsia="Arial" w:hAnsi="Arial"/>
                <w:sz w:val="20"/>
                <w:szCs w:val="20"/>
              </w:rPr>
              <w:t xml:space="preserve">3. Report any suspicious activity or unusual system behaviour to [IT contact] immediately.</w:t>
            </w:r>
          </w:p>
          <w:p>
            <w:pPr>
              <w:spacing w:before="40"/>
            </w:pPr>
            <w:r>
              <w:rPr>
                <w:rFonts w:ascii="Arial" w:cs="Arial" w:eastAsia="Arial" w:hAnsi="Arial"/>
                <w:sz w:val="20"/>
                <w:szCs w:val="20"/>
              </w:rPr>
              <w:t xml:space="preserve">4. Do not discuss this incident with clients, external contacts, or on social media.</w:t>
            </w:r>
          </w:p>
          <w:p>
            <w:pPr>
              <w:spacing w:before="80"/>
            </w:pPr>
            <w:r>
              <w:rPr>
                <w:rFonts w:ascii="Arial" w:cs="Arial" w:eastAsia="Arial" w:hAnsi="Arial"/>
                <w:sz w:val="20"/>
                <w:szCs w:val="20"/>
              </w:rPr>
              <w:t xml:space="preserve">Further updates will follow as soon as they are available. Thank you for your cooperation.</w:t>
            </w:r>
          </w:p>
          <w:p>
            <w:pPr>
              <w:spacing w:before="80"/>
            </w:pPr>
            <w:r>
              <w:rPr>
                <w:rFonts w:ascii="Arial" w:cs="Arial" w:eastAsia="Arial" w:hAnsi="Arial"/>
                <w:i/>
                <w:iCs/>
                <w:color w:val="555555"/>
                <w:sz w:val="20"/>
                <w:szCs w:val="20"/>
              </w:rPr>
              <w:t xml:space="preserve">[Incident Commander Name] | [Date/Time]</w:t>
            </w:r>
          </w:p>
        </w:tc>
      </w:tr>
    </w:tbl>
    <w:p>
      <w:pPr>
        <w:spacing w:before="100" w:after="100"/>
      </w:pPr>
      <w:r>
        <w:t xml:space="preserve"/>
      </w:r>
    </w:p>
    <w:p>
      <w:pPr>
        <w:pStyle w:val="Heading2"/>
        <w:spacing w:before="240" w:after="120"/>
      </w:pPr>
      <w:r>
        <w:rPr>
          <w:rFonts w:ascii="Arial" w:cs="Arial" w:eastAsia="Arial" w:hAnsi="Arial"/>
          <w:b/>
          <w:bCs/>
          <w:color w:val="006B6B"/>
          <w:sz w:val="24"/>
          <w:szCs w:val="24"/>
        </w:rPr>
        <w:t xml:space="preserve">5.2 Client Notification (Service Disruption)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b/>
                <w:bCs/>
                <w:color w:val="1B3A5C"/>
                <w:sz w:val="20"/>
                <w:szCs w:val="20"/>
              </w:rPr>
              <w:t xml:space="preserve">Subject: Service Update — Acme Professional Services</w:t>
            </w:r>
          </w:p>
          <w:p>
            <w:pPr>
              <w:spacing w:before="120"/>
            </w:pPr>
            <w:r>
              <w:rPr>
                <w:rFonts w:ascii="Arial" w:cs="Arial" w:eastAsia="Arial" w:hAnsi="Arial"/>
                <w:sz w:val="20"/>
                <w:szCs w:val="20"/>
              </w:rPr>
              <w:t xml:space="preserve">Dear [Client Name],</w:t>
            </w:r>
          </w:p>
          <w:p>
            <w:pPr>
              <w:spacing w:before="80"/>
            </w:pPr>
            <w:r>
              <w:rPr>
                <w:rFonts w:ascii="Arial" w:cs="Arial" w:eastAsia="Arial" w:hAnsi="Arial"/>
                <w:sz w:val="20"/>
                <w:szCs w:val="20"/>
              </w:rPr>
              <w:t xml:space="preserve">We are writing to inform you that we are currently experiencing a disruption to our IT systems. Our team is working urgently to restore full service and we are treating this as our highest priority.</w:t>
            </w:r>
          </w:p>
          <w:p>
            <w:pPr>
              <w:spacing w:before="80"/>
            </w:pPr>
            <w:r>
              <w:rPr>
                <w:rFonts w:ascii="Arial" w:cs="Arial" w:eastAsia="Arial" w:hAnsi="Arial"/>
                <w:b/>
                <w:bCs/>
                <w:sz w:val="20"/>
                <w:szCs w:val="20"/>
              </w:rPr>
              <w:t xml:space="preserve">What this means for you:</w:t>
            </w:r>
          </w:p>
          <w:p>
            <w:pPr>
              <w:spacing w:before="40"/>
            </w:pPr>
            <w:r>
              <w:rPr>
                <w:rFonts w:ascii="Arial" w:cs="Arial" w:eastAsia="Arial" w:hAnsi="Arial"/>
                <w:i/>
                <w:iCs/>
                <w:color w:val="555555"/>
                <w:sz w:val="20"/>
                <w:szCs w:val="20"/>
              </w:rPr>
              <w:t xml:space="preserve">[Describe specific impact on client services, e.g. delays, limited contact channels, affected deliverables]</w:t>
            </w:r>
          </w:p>
          <w:p>
            <w:pPr>
              <w:spacing w:before="80"/>
            </w:pPr>
            <w:r>
              <w:rPr>
                <w:rFonts w:ascii="Arial" w:cs="Arial" w:eastAsia="Arial" w:hAnsi="Arial"/>
                <w:sz w:val="20"/>
                <w:szCs w:val="20"/>
              </w:rPr>
              <w:t xml:space="preserve">You can continue to reach us via [alternative contact method]. We will provide a further update by [date/time].</w:t>
            </w:r>
          </w:p>
          <w:p>
            <w:pPr>
              <w:spacing w:before="80"/>
            </w:pPr>
            <w:r>
              <w:rPr>
                <w:rFonts w:ascii="Arial" w:cs="Arial" w:eastAsia="Arial" w:hAnsi="Arial"/>
                <w:sz w:val="20"/>
                <w:szCs w:val="20"/>
              </w:rPr>
              <w:t xml:space="preserve">We apologise sincerely for any inconvenience caused and appreciate your patience.</w:t>
            </w:r>
          </w:p>
          <w:p>
            <w:pPr>
              <w:spacing w:before="80"/>
            </w:pPr>
            <w:r>
              <w:rPr>
                <w:rFonts w:ascii="Arial" w:cs="Arial" w:eastAsia="Arial" w:hAnsi="Arial"/>
                <w:i/>
                <w:iCs/>
                <w:color w:val="555555"/>
                <w:sz w:val="20"/>
                <w:szCs w:val="20"/>
              </w:rPr>
              <w:t xml:space="preserve">[Authorised Signatory] | [Date]</w:t>
            </w:r>
          </w:p>
        </w:tc>
      </w:tr>
    </w:tbl>
    <w:p>
      <w:pPr>
        <w:spacing w:before="100" w:after="100"/>
      </w:pPr>
      <w:r>
        <w:t xml:space="preserve"/>
      </w:r>
    </w:p>
    <w:p>
      <w:pPr>
        <w:pStyle w:val="Heading2"/>
        <w:spacing w:before="240" w:after="120"/>
      </w:pPr>
      <w:r>
        <w:rPr>
          <w:rFonts w:ascii="Arial" w:cs="Arial" w:eastAsia="Arial" w:hAnsi="Arial"/>
          <w:b/>
          <w:bCs/>
          <w:color w:val="006B6B"/>
          <w:sz w:val="24"/>
          <w:szCs w:val="24"/>
        </w:rPr>
        <w:t xml:space="preserve">5.3 ICO Notification Summary</w:t>
      </w:r>
    </w:p>
    <w:p>
      <w:pPr>
        <w:spacing w:before="60" w:after="60"/>
      </w:pPr>
      <w:r>
        <w:rPr>
          <w:rFonts w:ascii="Arial" w:cs="Arial" w:eastAsia="Arial" w:hAnsi="Arial"/>
          <w:b w:val="false"/>
          <w:bCs w:val="false"/>
          <w:color w:val="1A1A1A"/>
          <w:sz w:val="20"/>
          <w:szCs w:val="20"/>
        </w:rPr>
        <w:t xml:space="preserve">UK GDPR Article 33 requires notification to the ICO within 72 hours of becoming aware of a personal data breach. Use the ICO's online reporting portal at: ico.org.uk/make-a-complaint/data-security-concerns. The following information will be required:</w:t>
      </w:r>
    </w:p>
    <w:p>
      <w:pPr>
        <w:spacing w:before="100" w:after="100"/>
      </w:pPr>
      <w:r>
        <w:t xml:space="preserve"/>
      </w:r>
    </w:p>
    <w:p>
      <w:pPr>
        <w:pStyle w:val="ListParagraph"/>
        <w:numPr>
          <w:ilvl w:val="0"/>
          <w:numId w:val="2"/>
        </w:numPr>
        <w:spacing w:before="40" w:after="40"/>
      </w:pPr>
      <w:r>
        <w:rPr>
          <w:rFonts w:ascii="Arial" w:cs="Arial" w:eastAsia="Arial" w:hAnsi="Arial"/>
          <w:color w:val="1A1A1A"/>
          <w:sz w:val="20"/>
          <w:szCs w:val="20"/>
        </w:rPr>
        <w:t xml:space="preserve">Nature of the personal data breach — what happened</w:t>
      </w:r>
    </w:p>
    <w:p>
      <w:pPr>
        <w:pStyle w:val="ListParagraph"/>
        <w:numPr>
          <w:ilvl w:val="0"/>
          <w:numId w:val="2"/>
        </w:numPr>
        <w:spacing w:before="40" w:after="40"/>
      </w:pPr>
      <w:r>
        <w:rPr>
          <w:rFonts w:ascii="Arial" w:cs="Arial" w:eastAsia="Arial" w:hAnsi="Arial"/>
          <w:color w:val="1A1A1A"/>
          <w:sz w:val="20"/>
          <w:szCs w:val="20"/>
        </w:rPr>
        <w:t xml:space="preserve">Categories and approximate number of individuals concerned</w:t>
      </w:r>
    </w:p>
    <w:p>
      <w:pPr>
        <w:pStyle w:val="ListParagraph"/>
        <w:numPr>
          <w:ilvl w:val="0"/>
          <w:numId w:val="2"/>
        </w:numPr>
        <w:spacing w:before="40" w:after="40"/>
      </w:pPr>
      <w:r>
        <w:rPr>
          <w:rFonts w:ascii="Arial" w:cs="Arial" w:eastAsia="Arial" w:hAnsi="Arial"/>
          <w:color w:val="1A1A1A"/>
          <w:sz w:val="20"/>
          <w:szCs w:val="20"/>
        </w:rPr>
        <w:t xml:space="preserve">Categories and approximate number of personal data records concerned</w:t>
      </w:r>
    </w:p>
    <w:p>
      <w:pPr>
        <w:pStyle w:val="ListParagraph"/>
        <w:numPr>
          <w:ilvl w:val="0"/>
          <w:numId w:val="2"/>
        </w:numPr>
        <w:spacing w:before="40" w:after="40"/>
      </w:pPr>
      <w:r>
        <w:rPr>
          <w:rFonts w:ascii="Arial" w:cs="Arial" w:eastAsia="Arial" w:hAnsi="Arial"/>
          <w:color w:val="1A1A1A"/>
          <w:sz w:val="20"/>
          <w:szCs w:val="20"/>
        </w:rPr>
        <w:t xml:space="preserve">Name and contact details of the Data Protection Officer or other contact point</w:t>
      </w:r>
    </w:p>
    <w:p>
      <w:pPr>
        <w:pStyle w:val="ListParagraph"/>
        <w:numPr>
          <w:ilvl w:val="0"/>
          <w:numId w:val="2"/>
        </w:numPr>
        <w:spacing w:before="40" w:after="40"/>
      </w:pPr>
      <w:r>
        <w:rPr>
          <w:rFonts w:ascii="Arial" w:cs="Arial" w:eastAsia="Arial" w:hAnsi="Arial"/>
          <w:color w:val="1A1A1A"/>
          <w:sz w:val="20"/>
          <w:szCs w:val="20"/>
        </w:rPr>
        <w:t xml:space="preserve">Likely consequences of the personal data breach</w:t>
      </w:r>
    </w:p>
    <w:p>
      <w:pPr>
        <w:pStyle w:val="ListParagraph"/>
        <w:numPr>
          <w:ilvl w:val="0"/>
          <w:numId w:val="2"/>
        </w:numPr>
        <w:spacing w:before="40" w:after="40"/>
      </w:pPr>
      <w:r>
        <w:rPr>
          <w:rFonts w:ascii="Arial" w:cs="Arial" w:eastAsia="Arial" w:hAnsi="Arial"/>
          <w:color w:val="1A1A1A"/>
          <w:sz w:val="20"/>
          <w:szCs w:val="20"/>
        </w:rPr>
        <w:t xml:space="preserve">Measures taken or proposed to address the breach, including steps to mitigate possible adverse effects</w:t>
      </w:r>
    </w:p>
    <w:p>
      <w:pPr>
        <w:spacing w:before="100" w:after="100"/>
      </w:pPr>
      <w:r>
        <w:t xml:space="preserve"/>
      </w:r>
    </w:p>
    <w:p>
      <w:pPr>
        <w:spacing w:before="60" w:after="60"/>
      </w:pPr>
      <w:r>
        <w:rPr>
          <w:rFonts w:ascii="Arial" w:cs="Arial" w:eastAsia="Arial" w:hAnsi="Arial"/>
          <w:b w:val="false"/>
          <w:bCs w:val="false"/>
          <w:color w:val="1A1A1A"/>
          <w:sz w:val="20"/>
          <w:szCs w:val="20"/>
        </w:rPr>
        <w:t xml:space="preserve">If full information is not available within 72 hours, notify the ICO with what is known and supplement with additional information as it becomes available. Document the notification reference number and all subsequent correspondence.</w:t>
      </w:r>
    </w:p>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6. Appendix A — Incident Log</w:t>
      </w:r>
    </w:p>
    <w:p>
      <w:pPr>
        <w:spacing w:before="60" w:after="60"/>
      </w:pPr>
      <w:r>
        <w:rPr>
          <w:rFonts w:ascii="Arial" w:cs="Arial" w:eastAsia="Arial" w:hAnsi="Arial"/>
          <w:b w:val="false"/>
          <w:bCs w:val="false"/>
          <w:color w:val="1A1A1A"/>
          <w:sz w:val="20"/>
          <w:szCs w:val="20"/>
        </w:rPr>
        <w:t xml:space="preserve">The Incident Log must be maintained throughout the incident by the Documentation Lead. Every action, decision, and communication must be recorded with a timestamp. This log may be required as evidence by the ICO, legal counsel, cyber insurer, or law enforcement.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Entry</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Incident Reference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APS-INC-[XXX]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Unique incident reference number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Date/Time Declared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When IC declared the incident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Severity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P1 / P2 / P3 / P4</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Initial 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What was first reported and by whom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Systems Affected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List all known affected systems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Estimated Data at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Types and volume of data potentially affected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UK GDPR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Yes / No / Under Assessment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ICO Notification Deadline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72 hours from: [datetime]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Incident Closed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777777"/>
                <w:sz w:val="18"/>
                <w:szCs w:val="18"/>
              </w:rPr>
              <w:t xml:space="preserve">Date/Time IC declared incident closed</w:t>
            </w:r>
          </w:p>
        </w:tc>
      </w:tr>
    </w:tbl>
    <w:p>
      <w:pPr>
        <w:spacing w:before="100" w:after="100"/>
      </w:pPr>
      <w:r>
        <w:t xml:space="preserve"/>
      </w:r>
    </w:p>
    <w:p>
      <w:pPr>
        <w:spacing w:before="60" w:after="60"/>
      </w:pPr>
      <w:r>
        <w:rPr>
          <w:rFonts w:ascii="Arial" w:cs="Arial" w:eastAsia="Arial" w:hAnsi="Arial"/>
          <w:b/>
          <w:bCs/>
          <w:color w:val="1A1A1A"/>
          <w:sz w:val="20"/>
          <w:szCs w:val="20"/>
        </w:rPr>
        <w:t xml:space="preserve">Chronological Action Log: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2400"/>
        <w:gridCol w:w="17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Date/Time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Logged By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Action Taken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Outcome / Notes</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Next Action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bl>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7. Plan Maintenance</w:t>
      </w:r>
    </w:p>
    <w:p>
      <w:pPr>
        <w:spacing w:before="60" w:after="60"/>
      </w:pPr>
      <w:r>
        <w:rPr>
          <w:rFonts w:ascii="Arial" w:cs="Arial" w:eastAsia="Arial" w:hAnsi="Arial"/>
          <w:b w:val="false"/>
          <w:bCs w:val="false"/>
          <w:color w:val="1A1A1A"/>
          <w:sz w:val="20"/>
          <w:szCs w:val="20"/>
        </w:rPr>
        <w:t xml:space="preserve">This Incident Response Plan must be reviewed and updated on the following triggers:</w:t>
      </w:r>
    </w:p>
    <w:p>
      <w:pPr>
        <w:spacing w:before="100" w:after="100"/>
      </w:pPr>
      <w:r>
        <w:t xml:space="preserve"/>
      </w:r>
    </w:p>
    <w:p>
      <w:pPr>
        <w:pStyle w:val="ListParagraph"/>
        <w:numPr>
          <w:ilvl w:val="0"/>
          <w:numId w:val="2"/>
        </w:numPr>
        <w:spacing w:before="40" w:after="40"/>
      </w:pPr>
      <w:r>
        <w:rPr>
          <w:rFonts w:ascii="Arial" w:cs="Arial" w:eastAsia="Arial" w:hAnsi="Arial"/>
          <w:color w:val="1A1A1A"/>
          <w:sz w:val="20"/>
          <w:szCs w:val="20"/>
        </w:rPr>
        <w:t xml:space="preserve">Annually as a minimum, as part of the ISMS management review cycle</w:t>
      </w:r>
    </w:p>
    <w:p>
      <w:pPr>
        <w:pStyle w:val="ListParagraph"/>
        <w:numPr>
          <w:ilvl w:val="0"/>
          <w:numId w:val="2"/>
        </w:numPr>
        <w:spacing w:before="40" w:after="40"/>
      </w:pPr>
      <w:r>
        <w:rPr>
          <w:rFonts w:ascii="Arial" w:cs="Arial" w:eastAsia="Arial" w:hAnsi="Arial"/>
          <w:color w:val="1A1A1A"/>
          <w:sz w:val="20"/>
          <w:szCs w:val="20"/>
        </w:rPr>
        <w:t xml:space="preserve">Following any security incident where the plan was activated</w:t>
      </w:r>
    </w:p>
    <w:p>
      <w:pPr>
        <w:pStyle w:val="ListParagraph"/>
        <w:numPr>
          <w:ilvl w:val="0"/>
          <w:numId w:val="2"/>
        </w:numPr>
        <w:spacing w:before="40" w:after="40"/>
      </w:pPr>
      <w:r>
        <w:rPr>
          <w:rFonts w:ascii="Arial" w:cs="Arial" w:eastAsia="Arial" w:hAnsi="Arial"/>
          <w:color w:val="1A1A1A"/>
          <w:sz w:val="20"/>
          <w:szCs w:val="20"/>
        </w:rPr>
        <w:t xml:space="preserve">Following significant changes to the organisation's IT infrastructure, systems, or staff</w:t>
      </w:r>
    </w:p>
    <w:p>
      <w:pPr>
        <w:pStyle w:val="ListParagraph"/>
        <w:numPr>
          <w:ilvl w:val="0"/>
          <w:numId w:val="2"/>
        </w:numPr>
        <w:spacing w:before="40" w:after="40"/>
      </w:pPr>
      <w:r>
        <w:rPr>
          <w:rFonts w:ascii="Arial" w:cs="Arial" w:eastAsia="Arial" w:hAnsi="Arial"/>
          <w:color w:val="1A1A1A"/>
          <w:sz w:val="20"/>
          <w:szCs w:val="20"/>
        </w:rPr>
        <w:t xml:space="preserve">Following changes to UK GDPR, NCSC guidance, or other applicable legislation</w:t>
      </w:r>
    </w:p>
    <w:p>
      <w:pPr>
        <w:spacing w:before="100" w:after="100"/>
      </w:pPr>
      <w:r>
        <w:t xml:space="preserve"/>
      </w:r>
    </w:p>
    <w:p>
      <w:pPr>
        <w:spacing w:before="60" w:after="60"/>
      </w:pPr>
      <w:r>
        <w:rPr>
          <w:rFonts w:ascii="Arial" w:cs="Arial" w:eastAsia="Arial" w:hAnsi="Arial"/>
          <w:b w:val="false"/>
          <w:bCs w:val="false"/>
          <w:color w:val="1A1A1A"/>
          <w:sz w:val="20"/>
          <w:szCs w:val="20"/>
        </w:rPr>
        <w:t xml:space="preserve">Version control and review history must be maintained in the ISMS document register.</w:t>
      </w:r>
    </w:p>
    <w:p>
      <w:pPr>
        <w:spacing w:before="100" w:after="100"/>
      </w:pPr>
      <w:r>
        <w:t xml:space="preserve"/>
      </w:r>
    </w:p>
    <w:p>
      <w:pPr>
        <w:spacing w:before="100" w:after="100"/>
      </w:pPr>
      <w:r>
        <w:t xml:space="preserve"/>
      </w:r>
    </w:p>
    <w:p>
      <w:pPr>
        <w:pBdr>
          <w:top w:val="single" w:color="006B6B" w:sz="4" w:space="6"/>
        </w:pBdr>
        <w:spacing w:before="240" w:after="80"/>
      </w:pPr>
      <w:r>
        <w:rPr>
          <w:rFonts w:ascii="Arial" w:cs="Arial" w:eastAsia="Arial" w:hAnsi="Arial"/>
          <w:b/>
          <w:bCs/>
          <w:color w:val="1B3A5C"/>
          <w:sz w:val="22"/>
          <w:szCs w:val="22"/>
        </w:rPr>
        <w:t xml:space="preserve">Gareth Sutton</w:t>
      </w:r>
    </w:p>
    <w:p>
      <w:pPr>
        <w:spacing w:before="60" w:after="60"/>
      </w:pPr>
      <w:r>
        <w:rPr>
          <w:rFonts w:ascii="Arial" w:cs="Arial" w:eastAsia="Arial" w:hAnsi="Arial"/>
          <w:b w:val="false"/>
          <w:bCs w:val="false"/>
          <w:color w:val="1A1A1A"/>
          <w:sz w:val="20"/>
          <w:szCs w:val="20"/>
        </w:rPr>
        <w:t xml:space="preserve">Cyber Security Professional | CompTIA Security+ (SY0-701)</w:t>
      </w:r>
    </w:p>
    <w:p>
      <w:pPr>
        <w:spacing w:before="60" w:after="60"/>
      </w:pPr>
      <w:r>
        <w:rPr>
          <w:rFonts w:ascii="Arial" w:cs="Arial" w:eastAsia="Arial" w:hAnsi="Arial"/>
          <w:b w:val="false"/>
          <w:bCs w:val="false"/>
          <w:color w:val="1A1A1A"/>
          <w:sz w:val="20"/>
          <w:szCs w:val="20"/>
        </w:rPr>
        <w:t xml:space="preserve">ISO 27001 Lead Implementer (Candidate)</w:t>
      </w:r>
    </w:p>
    <w:p>
      <w:pPr>
        <w:spacing w:before="60" w:after="60"/>
      </w:pPr>
      <w:r>
        <w:rPr>
          <w:rFonts w:ascii="Arial" w:cs="Arial" w:eastAsia="Arial" w:hAnsi="Arial"/>
          <w:b w:val="false"/>
          <w:bCs w:val="false"/>
          <w:color w:val="1A1A1A"/>
          <w:sz w:val="20"/>
          <w:szCs w:val="20"/>
        </w:rPr>
        <w:t xml:space="preserve">cysecsutton@gmail.com | linkedin.com/in/gareth-sutton999</w:t>
      </w:r>
    </w:p>
    <w:p>
      <w:pPr>
        <w:spacing w:before="60" w:after="60"/>
      </w:pPr>
      <w:r>
        <w:rPr>
          <w:rFonts w:ascii="Arial" w:cs="Arial" w:eastAsia="Arial" w:hAnsi="Arial"/>
          <w:b w:val="false"/>
          <w:bCs w:val="false"/>
          <w:color w:val="1A1A1A"/>
          <w:sz w:val="20"/>
          <w:szCs w:val="20"/>
        </w:rPr>
        <w:t xml:space="preserve">March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4"/>
      </w:pBdr>
      <w:tabs>
        <w:tab w:val="right" w:pos="9026"/>
      </w:tabs>
      <w:spacing w:before="120"/>
    </w:pPr>
    <w:r>
      <w:rPr>
        <w:rFonts w:ascii="Arial" w:cs="Arial" w:eastAsia="Arial" w:hAnsi="Arial"/>
        <w:color w:val="777777"/>
        <w:sz w:val="16"/>
        <w:szCs w:val="16"/>
      </w:rPr>
      <w:t xml:space="preserve">Prepared by Gareth Sutton | APS-IRP-001 | March 2026</w:t>
    </w:r>
    <w:r>
      <w:rPr>
        <w:rFonts w:ascii="Arial" w:cs="Arial" w:eastAsia="Arial" w:hAnsi="Arial"/>
        <w:color w:val="777777"/>
        <w:sz w:val="16"/>
        <w:szCs w:val="16"/>
      </w:rPr>
      <w:t xml:space="preserve">	Page </w:t>
    </w:r>
    <w:fldSimple w:instr="PAGE">
      <w:r>
        <w:rPr>
          <w:rFonts w:ascii="Arial" w:cs="Arial" w:eastAsia="Arial" w:hAnsi="Arial"/>
          <w:color w:val="777777"/>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space="4"/>
      </w:pBdr>
      <w:tabs>
        <w:tab w:val="right" w:pos="9026"/>
      </w:tabs>
      <w:spacing w:after="120"/>
    </w:pPr>
    <w:r>
      <w:rPr>
        <w:rFonts w:ascii="Arial" w:cs="Arial" w:eastAsia="Arial" w:hAnsi="Arial"/>
        <w:b/>
        <w:bCs/>
        <w:color w:val="1B3A5C"/>
        <w:sz w:val="18"/>
        <w:szCs w:val="18"/>
      </w:rPr>
      <w:t xml:space="preserve">Ransomware Incident Response Plan — Acme Professional Services Ltd</w:t>
    </w:r>
    <w:r>
      <w:rPr>
        <w:rFonts w:ascii="Arial" w:cs="Arial" w:eastAsia="Arial" w:hAnsi="Arial"/>
        <w:sz w:val="18"/>
        <w:szCs w:val="18"/>
      </w:rP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6B6B"/>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B3A5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2026-03-26T14:58:44.463Z</dcterms:created>
  <dcterms:modified xsi:type="dcterms:W3CDTF">2026-03-26T14:58:44.464Z</dcterms:modified>
</cp:coreProperties>
</file>

<file path=docProps/custom.xml><?xml version="1.0" encoding="utf-8"?>
<Properties xmlns="http://schemas.openxmlformats.org/officeDocument/2006/custom-properties" xmlns:vt="http://schemas.openxmlformats.org/officeDocument/2006/docPropsVTypes"/>
</file>