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6B6B" w:sz="12" w:space="6"/>
        </w:pBdr>
        <w:spacing w:before="0" w:after="60"/>
      </w:pPr>
      <w:r>
        <w:rPr>
          <w:rFonts w:ascii="Calibri" w:cs="Calibri" w:eastAsia="Calibri" w:hAnsi="Calibri"/>
          <w:b/>
          <w:bCs/>
          <w:color w:val="1B3A5C"/>
          <w:sz w:val="52"/>
          <w:szCs w:val="52"/>
        </w:rPr>
        <w:t xml:space="preserve">GARETH SUTTON</w:t>
      </w:r>
    </w:p>
    <w:p>
      <w:pPr>
        <w:spacing w:before="80" w:after="60"/>
      </w:pPr>
      <w:r>
        <w:rPr>
          <w:rFonts w:ascii="Calibri" w:cs="Calibri" w:eastAsia="Calibri" w:hAnsi="Calibri"/>
          <w:b/>
          <w:bCs/>
          <w:color w:val="006B6B"/>
          <w:sz w:val="24"/>
          <w:szCs w:val="24"/>
        </w:rPr>
        <w:t xml:space="preserve">Cyber Security Professional</w:t>
      </w:r>
      <w:r>
        <w:rPr>
          <w:rFonts w:ascii="Calibri" w:cs="Calibri" w:eastAsia="Calibri" w:hAnsi="Calibri"/>
          <w:color w:val="4A5568"/>
          <w:sz w:val="22"/>
          <w:szCs w:val="22"/>
        </w:rPr>
        <w:t xml:space="preserve">  |  GRC &amp; Information Security  |  CompTIA Security+ (SY0-701)</w:t>
      </w:r>
    </w:p>
    <w:p>
      <w:pPr>
        <w:tabs>
          <w:tab w:val="left" w:pos="2200"/>
          <w:tab w:val="left" w:pos="4800"/>
          <w:tab w:val="left" w:pos="7200"/>
        </w:tabs>
        <w:spacing w:before="40" w:after="0"/>
      </w:pPr>
      <w:r>
        <w:rPr>
          <w:rFonts w:ascii="Calibri" w:cs="Calibri" w:eastAsia="Calibri" w:hAnsi="Calibri"/>
          <w:color w:val="4A5568"/>
          <w:sz w:val="18"/>
          <w:szCs w:val="18"/>
        </w:rPr>
        <w:t xml:space="preserve">Coniston, Cumbria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006B6B"/>
          <w:sz w:val="18"/>
          <w:szCs w:val="18"/>
        </w:rPr>
        <w:t xml:space="preserve">cysecsutton@gmail.com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4A5568"/>
          <w:sz w:val="18"/>
          <w:szCs w:val="18"/>
        </w:rPr>
        <w:t xml:space="preserve">+44 7506 559208</w:t>
      </w:r>
      <w:r>
        <w:rPr>
          <w:rFonts w:ascii="Calibri" w:cs="Calibri" w:eastAsia="Calibri" w:hAnsi="Calibri"/>
          <w:sz w:val="18"/>
          <w:szCs w:val="18"/>
        </w:rPr>
        <w:t xml:space="preserve">	</w:t>
      </w:r>
      <w:r>
        <w:rPr>
          <w:rFonts w:ascii="Calibri" w:cs="Calibri" w:eastAsia="Calibri" w:hAnsi="Calibri"/>
          <w:color w:val="006B6B"/>
          <w:sz w:val="18"/>
          <w:szCs w:val="18"/>
        </w:rPr>
        <w:t xml:space="preserve">linkedin.com/in/gareth-sutton999</w:t>
      </w:r>
    </w:p>
    <w:p>
      <w:pPr>
        <w:spacing w:before="30" w:after="0"/>
      </w:pPr>
      <w:r>
        <w:rPr>
          <w:rFonts w:ascii="Calibri" w:cs="Calibri" w:eastAsia="Calibri" w:hAnsi="Calibri"/>
          <w:color w:val="4A5568"/>
          <w:sz w:val="18"/>
          <w:szCs w:val="18"/>
        </w:rPr>
        <w:t xml:space="preserve">Portfolio: </w:t>
      </w:r>
      <w:r>
        <w:rPr>
          <w:rFonts w:ascii="Calibri" w:cs="Calibri" w:eastAsia="Calibri" w:hAnsi="Calibri"/>
          <w:b/>
          <w:bCs/>
          <w:color w:val="006B6B"/>
          <w:sz w:val="18"/>
          <w:szCs w:val="18"/>
        </w:rPr>
        <w:t xml:space="preserve">cysecsutton.github.io</w:t>
      </w:r>
    </w:p>
    <w:p>
      <w:pPr>
        <w:spacing w:before="160" w:after="0"/>
      </w:pPr>
      <w:r>
        <w:t xml:space="preserve"/>
      </w:r>
    </w:p>
    <w:p>
      <w:pPr>
        <w:pBdr>
          <w:bottom w:val="single" w:color="006B6B" w:sz="6" w:space="3"/>
        </w:pBdr>
        <w:spacing w:before="200" w:after="100"/>
      </w:pPr>
      <w:r>
        <w:rPr>
          <w:rFonts w:ascii="Calibri" w:cs="Calibri" w:eastAsia="Calibri" w:hAnsi="Calibri"/>
          <w:b/>
          <w:bCs/>
          <w:color w:val="1B3A5C"/>
          <w:spacing w:val="40"/>
          <w:sz w:val="22"/>
          <w:szCs w:val="22"/>
        </w:rPr>
        <w:t xml:space="preserve">PROFESSIONAL PROFILE</w:t>
      </w:r>
    </w:p>
    <w:p>
      <w:pPr>
        <w:spacing w:before="80" w:after="0"/>
      </w:pPr>
      <w: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CompTIA Security+ certified professional making a deliberate transition into Governance, Risk &amp; Compliance. With over 15 years directing a commercial business, I bring practical, real-world experience in risk management, contracts, compliance obligations, documentation, and stakeholder accountability — skills that translate directly into GRC roles.</w:t>
      </w:r>
    </w:p>
    <w:p>
      <w:pPr>
        <w:spacing w:before="60" w:after="0"/>
      </w:pPr>
      <w: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Prior to running my business I worked as a Senior IT Recruitment Consultant at Venn Group, placing technology professionals specifically within NHS and public sector organisations — giving me genuine familiarity with regulated, compliance-driven environments. I completed formal cyber security retraining in 2025–2026, passing CompTIA Security+ (SY0-701) in February 2026, and have since built a practical GRC portfolio including an ISO 27001 Gap Analysis, Ransomware Incident Response Plan, and UK GDPR Data Audit &amp; DPIA.</w:t>
      </w:r>
    </w:p>
    <w:p>
      <w:pPr>
        <w:spacing w:before="160" w:after="0"/>
      </w:pPr>
      <w:r>
        <w:t xml:space="preserve"/>
      </w:r>
    </w:p>
    <w:p>
      <w:pPr>
        <w:pBdr>
          <w:bottom w:val="single" w:color="006B6B" w:sz="6" w:space="3"/>
        </w:pBdr>
        <w:spacing w:before="200" w:after="100"/>
      </w:pPr>
      <w:r>
        <w:rPr>
          <w:rFonts w:ascii="Calibri" w:cs="Calibri" w:eastAsia="Calibri" w:hAnsi="Calibri"/>
          <w:b/>
          <w:bCs/>
          <w:color w:val="1B3A5C"/>
          <w:spacing w:val="40"/>
          <w:sz w:val="22"/>
          <w:szCs w:val="22"/>
        </w:rPr>
        <w:t xml:space="preserve">CERTIFICATIONS &amp; CREDENTIALS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800"/>
        <w:gridCol w:w="2026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Certification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CompTIA Security+ (SY0-701)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Feb 2026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✓ Active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Microsoft Purview — Information Protection Badge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2026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✓ Active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ISC2 Certified in Cybersecurity (CC)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5276"/>
                <w:sz w:val="18"/>
                <w:szCs w:val="18"/>
              </w:rPr>
              <w:t xml:space="preserve">Studying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ISO 27001 Lead Implementer (PECB)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2026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568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CompTIA CySA+ (CS0-003)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2026</w:t>
            </w:r>
          </w:p>
        </w:tc>
        <w:tc>
          <w:tcPr>
            <w:tcW w:type="dxa" w:w="2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A5568"/>
                <w:sz w:val="18"/>
                <w:szCs w:val="18"/>
              </w:rPr>
              <w:t xml:space="preserve">Planned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006B6B" w:sz="6" w:space="3"/>
        </w:pBdr>
        <w:spacing w:before="200" w:after="100"/>
      </w:pPr>
      <w:r>
        <w:rPr>
          <w:rFonts w:ascii="Calibri" w:cs="Calibri" w:eastAsia="Calibri" w:hAnsi="Calibri"/>
          <w:b/>
          <w:bCs/>
          <w:color w:val="1B3A5C"/>
          <w:spacing w:val="40"/>
          <w:sz w:val="22"/>
          <w:szCs w:val="22"/>
        </w:rPr>
        <w:t xml:space="preserve">CORE COMPETENCIES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B6B"/>
                <w:sz w:val="19"/>
                <w:szCs w:val="19"/>
              </w:rPr>
              <w:t xml:space="preserve">▪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Governance, Risk &amp; Compliance (GRC)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B6B"/>
                <w:sz w:val="19"/>
                <w:szCs w:val="19"/>
              </w:rPr>
              <w:t xml:space="preserve">▪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ISO 27001 / NIST CSF / Cyber Essentials / UK GDPR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B6B"/>
                <w:sz w:val="19"/>
                <w:szCs w:val="19"/>
              </w:rPr>
              <w:t xml:space="preserve">▪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Risk Assessment &amp; Remediation Planning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B6B"/>
                <w:sz w:val="19"/>
                <w:szCs w:val="19"/>
              </w:rPr>
              <w:t xml:space="preserve">▪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Security Policies, Controls &amp; Documentation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B6B"/>
                <w:sz w:val="19"/>
                <w:szCs w:val="19"/>
              </w:rPr>
              <w:t xml:space="preserve">▪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Incident Response Lifecycle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B6B"/>
                <w:sz w:val="19"/>
                <w:szCs w:val="19"/>
              </w:rPr>
              <w:t xml:space="preserve">▪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Vulnerability Management Principles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B6B"/>
                <w:sz w:val="19"/>
                <w:szCs w:val="19"/>
              </w:rPr>
              <w:t xml:space="preserve">▪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Microsoft Purview / Defender / Sentinel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B6B"/>
                <w:sz w:val="19"/>
                <w:szCs w:val="19"/>
              </w:rPr>
              <w:t xml:space="preserve">▪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Active Directory &amp; Entra ID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B6B"/>
                <w:sz w:val="19"/>
                <w:szCs w:val="19"/>
              </w:rPr>
              <w:t xml:space="preserve">▪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Cloud Security Awareness (IaaS/PaaS/SaaS)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B6B"/>
                <w:sz w:val="19"/>
                <w:szCs w:val="19"/>
              </w:rPr>
              <w:t xml:space="preserve">▪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Data Protection &amp; DPIA</w:t>
            </w:r>
          </w:p>
        </w:tc>
      </w:tr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B6B"/>
                <w:sz w:val="19"/>
                <w:szCs w:val="19"/>
              </w:rPr>
              <w:t xml:space="preserve">▪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Stakeholder Management &amp; Communication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B6B"/>
                <w:sz w:val="19"/>
                <w:szCs w:val="19"/>
              </w:rPr>
              <w:t xml:space="preserve">▪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Policy Writing &amp; Audit Documentation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006B6B" w:sz="6" w:space="3"/>
        </w:pBdr>
        <w:spacing w:before="200" w:after="100"/>
      </w:pPr>
      <w:r>
        <w:rPr>
          <w:rFonts w:ascii="Calibri" w:cs="Calibri" w:eastAsia="Calibri" w:hAnsi="Calibri"/>
          <w:b/>
          <w:bCs/>
          <w:color w:val="1B3A5C"/>
          <w:spacing w:val="40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Cyber Security Professional Development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4A5568"/>
          <w:sz w:val="19"/>
          <w:szCs w:val="19"/>
        </w:rPr>
        <w:t xml:space="preserve">2025 – 2026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006B6B"/>
          <w:sz w:val="19"/>
          <w:szCs w:val="19"/>
        </w:rPr>
        <w:t xml:space="preserve">Self-directed retraining — CompTIA Security+, ISC2 CC, Microsoft Purview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Passed CompTIA Security+ SY0-701 in February 2026, covering GRC frameworks, risk management, access control, network security, cryptography, and incident response.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a practical GRC portfolio: ISO 27001:2022 Gap Analysis, NIST CSF-aligned Ransomware Incident Response Plan, and UK GDPR Data Audit &amp; DPIA.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Completed Microsoft Purview Information Protection module (badge awarded 2026).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Currently studying (ISC)² Certified in Cybersecurity (CC). ISO 27001 Lead Implementer (PECB) and CompTIA CySA+ planned to follow — full portfolio at cysecsutton.github.io</w:t>
      </w: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Director — Lakes Painting &amp; Decorating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4A5568"/>
          <w:sz w:val="19"/>
          <w:szCs w:val="19"/>
        </w:rPr>
        <w:t xml:space="preserve">2010 – 2026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006B6B"/>
          <w:sz w:val="19"/>
          <w:szCs w:val="19"/>
        </w:rPr>
        <w:t xml:space="preserve">Owner-managed commercial and residential contracting business, Cumbria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Founded and directed a commercial contracting business for 15+ years — full accountability for risk, compliance, contracts, and business continuity.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Maintained compliance with Health &amp; Safety regulations including COSHH, working at height, and site-specific risk assessments — demonstrating practical, applied risk management.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Produced and managed contracts, project documentation, and client-facing reports — directly relevant to policy writing and documentation in GRC.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Managed financial planning, budgeting, and business risk across multiple concurrent projects under commercial pressure.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Handled sensitive client and supplier information with discretion, maintaining confidentiality throughout.</w:t>
      </w: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Freelance Web Developer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4A5568"/>
          <w:sz w:val="19"/>
          <w:szCs w:val="19"/>
        </w:rPr>
        <w:t xml:space="preserve">2021 – 2025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006B6B"/>
          <w:sz w:val="19"/>
          <w:szCs w:val="19"/>
        </w:rPr>
        <w:t xml:space="preserve">Subcontracted for Codev, Burnett Designs and DOT Preston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Delivered web builds alongside ongoing business operations — HTML, CSS, JavaScript, React, DNS configuration, and secure deployment practices.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Applied secure authentication handling and secure coding principles in client projects.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Managed multiple client relationships independently, maintaining delivery standards and documentation.</w:t>
      </w: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Senior IT Recruitment Consultant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4A5568"/>
          <w:sz w:val="19"/>
          <w:szCs w:val="19"/>
        </w:rPr>
        <w:t xml:space="preserve">2006 – 2009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006B6B"/>
          <w:sz w:val="19"/>
          <w:szCs w:val="19"/>
        </w:rPr>
        <w:t xml:space="preserve">Venn Group — NHS &amp; Public Sector IT, Manchester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Managed the full recruitment lifecycle for IT roles within NHS and wider public sector organisations — operating in a highly regulated, compliance-driven environment.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Built strong data handling, documentation, and stakeholder communication skills under commercial pressure.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Developed deep familiarity with technology functions across complex public sector organisations — valuable context for GRC work in regulated industries.</w:t>
      </w: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Marketing Manager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4A5568"/>
          <w:sz w:val="19"/>
          <w:szCs w:val="19"/>
        </w:rPr>
        <w:t xml:space="preserve">2005 – 2006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006B6B"/>
          <w:sz w:val="19"/>
          <w:szCs w:val="19"/>
        </w:rPr>
        <w:t xml:space="preserve">Base Systems, Blackburn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Produced performance reports and led structured marketing campaigns within a technical business environment, working to commercial targets with accountability for outputs.</w:t>
      </w: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Working Abroad — Canada &amp; New Zealand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4A5568"/>
          <w:sz w:val="19"/>
          <w:szCs w:val="19"/>
        </w:rPr>
        <w:t xml:space="preserve">2004 – 2005 / 2009 – 2010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Worked in Whistler &amp; Fernie BC (Canada) and Wanaka (NZ). Built customer relationship and operational skills in international environments.</w:t>
      </w:r>
    </w:p>
    <w:p>
      <w:pPr>
        <w:spacing w:before="160" w:after="0"/>
      </w:pPr>
      <w:r>
        <w:t xml:space="preserve"/>
      </w:r>
    </w:p>
    <w:p>
      <w:pPr>
        <w:pBdr>
          <w:bottom w:val="single" w:color="006B6B" w:sz="6" w:space="3"/>
        </w:pBdr>
        <w:spacing w:before="200" w:after="100"/>
      </w:pPr>
      <w:r>
        <w:rPr>
          <w:rFonts w:ascii="Calibri" w:cs="Calibri" w:eastAsia="Calibri" w:hAnsi="Calibri"/>
          <w:b/>
          <w:bCs/>
          <w:color w:val="1B3A5C"/>
          <w:spacing w:val="40"/>
          <w:sz w:val="22"/>
          <w:szCs w:val="22"/>
        </w:rPr>
        <w:t xml:space="preserve">EDUCATION</w:t>
      </w:r>
    </w:p>
    <w:p>
      <w:pPr>
        <w:spacing w:before="80" w:after="0"/>
      </w:pPr>
      <w:r>
        <w:t xml:space="preserve"/>
      </w: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BA (Hons) Marketing — 2:1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4A5568"/>
          <w:sz w:val="19"/>
          <w:szCs w:val="19"/>
        </w:rPr>
        <w:t xml:space="preserve">2001 – 2004</w:t>
      </w:r>
    </w:p>
    <w:p>
      <w:pPr>
        <w:spacing w:before="0" w:after="60"/>
      </w:pPr>
      <w:r>
        <w:rPr>
          <w:rFonts w:ascii="Calibri" w:cs="Calibri" w:eastAsia="Calibri" w:hAnsi="Calibri"/>
          <w:i/>
          <w:iCs/>
          <w:color w:val="006B6B"/>
          <w:sz w:val="19"/>
          <w:szCs w:val="19"/>
        </w:rPr>
        <w:t xml:space="preserve">University — including Study Abroad: SUNY Plattsburgh, New York, USA (2002–2003)</w:t>
      </w:r>
    </w:p>
    <w:p>
      <w:pPr>
        <w:spacing w:before="160" w:after="0"/>
      </w:pPr>
      <w:r>
        <w:t xml:space="preserve"/>
      </w:r>
    </w:p>
    <w:p>
      <w:pPr>
        <w:pBdr>
          <w:bottom w:val="single" w:color="006B6B" w:sz="6" w:space="3"/>
        </w:pBdr>
        <w:spacing w:before="200" w:after="100"/>
      </w:pPr>
      <w:r>
        <w:rPr>
          <w:rFonts w:ascii="Calibri" w:cs="Calibri" w:eastAsia="Calibri" w:hAnsi="Calibri"/>
          <w:b/>
          <w:bCs/>
          <w:color w:val="1B3A5C"/>
          <w:spacing w:val="40"/>
          <w:sz w:val="22"/>
          <w:szCs w:val="22"/>
        </w:rPr>
        <w:t xml:space="preserve">VOLUNTARY EXPERIENCE</w:t>
      </w:r>
    </w:p>
    <w:p>
      <w:pPr>
        <w:spacing w:before="80" w:after="0"/>
      </w:pPr>
      <w:r>
        <w:t xml:space="preserve"/>
      </w:r>
    </w:p>
    <w:p>
      <w:pPr>
        <w:tabs>
          <w:tab w:val="right" w:pos="9026"/>
        </w:tabs>
        <w:spacing w:before="160" w:after="4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Langdale &amp; Ambleside Mountain Rescue Team</w:t>
      </w:r>
      <w:r>
        <w:rPr>
          <w:rFonts w:ascii="Calibri" w:cs="Calibri" w:eastAsia="Calibri" w:hAnsi="Calibri"/>
          <w:sz w:val="21"/>
          <w:szCs w:val="21"/>
        </w:rPr>
        <w:t xml:space="preserve">	</w:t>
      </w:r>
      <w:r>
        <w:rPr>
          <w:rFonts w:ascii="Calibri" w:cs="Calibri" w:eastAsia="Calibri" w:hAnsi="Calibri"/>
          <w:b w:val="false"/>
          <w:bCs w:val="false"/>
          <w:i/>
          <w:iCs/>
          <w:color w:val="4A5568"/>
          <w:sz w:val="19"/>
          <w:szCs w:val="19"/>
        </w:rPr>
        <w:t xml:space="preserve">2011 – 2015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Responded to real-world emergency situations, operating within a disciplined, structured team environment under pressure.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Demonstrated calm decision-making, high personal responsibility and commitment — qualities directly applicable to incident response and security operations.</w:t>
      </w:r>
    </w:p>
    <w:p>
      <w:pPr>
        <w:spacing w:before="160" w:after="0"/>
      </w:pPr>
      <w:r>
        <w:t xml:space="preserve"/>
      </w:r>
    </w:p>
    <w:p>
      <w:pPr>
        <w:pBdr>
          <w:top w:val="single" w:color="D0D7E2" w:sz="4" w:space="6"/>
        </w:pBdr>
        <w:spacing w:before="0" w:after="0"/>
      </w:pPr>
    </w:p>
    <w:p>
      <w:pPr>
        <w:spacing w:before="100" w:after="0"/>
      </w:pPr>
      <w:r>
        <w:rPr>
          <w:rFonts w:ascii="Calibri" w:cs="Calibri" w:eastAsia="Calibri" w:hAnsi="Calibri"/>
          <w:color w:val="4A5568"/>
          <w:sz w:val="18"/>
          <w:szCs w:val="18"/>
        </w:rPr>
        <w:t xml:space="preserve">Portfolio of GRC work available at </w:t>
      </w:r>
      <w:r>
        <w:rPr>
          <w:rFonts w:ascii="Calibri" w:cs="Calibri" w:eastAsia="Calibri" w:hAnsi="Calibri"/>
          <w:b/>
          <w:bCs/>
          <w:color w:val="006B6B"/>
          <w:sz w:val="18"/>
          <w:szCs w:val="18"/>
        </w:rPr>
        <w:t xml:space="preserve">cysecsutton.github.io</w:t>
      </w:r>
      <w:r>
        <w:rPr>
          <w:rFonts w:ascii="Calibri" w:cs="Calibri" w:eastAsia="Calibri" w:hAnsi="Calibri"/>
          <w:color w:val="4A5568"/>
          <w:sz w:val="18"/>
          <w:szCs w:val="18"/>
        </w:rPr>
        <w:t xml:space="preserve">  —  References available on request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before="0" w:after="0"/>
    </w:pPr>
    <w:rPr>
      <w:rFonts w:ascii="Calibri" w:cs="Calibri" w:eastAsia="Calibri" w:hAnsi="Calibri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2026-03-28T08:43:59.157Z</dcterms:created>
  <dcterms:modified xsi:type="dcterms:W3CDTF">2026-03-28T08:43:59.158Z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